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ormal"/>
      </w:pPr>
    </w:p>
    <w:p>
      <w:pPr>
        <w:pStyle w:val="Normal"/>
      </w:pPr>
    </w:p>
    <w:p>
      <w:pPr>
        <w:pStyle w:val="Normal"/>
      </w:pPr>
    </w:p>
    <w:tbl>
      <w:tblPr>
        <w:tblStyle w:val="TableGrid"/>
        <w:tblW w:type="auto" w:w="0"/>
        <w:tblLook w:firstColumn="1" w:firstRow="1" w:lastColumn="0" w:lastRow="0" w:noHBand="0" w:noVBand="1" w:val="04A0"/>
      </w:tblPr>
      <w:tblGrid>
        <w:gridCol w:w="4320"/>
        <w:gridCol w:w="4320"/>
      </w:tblGrid>
      <w:tr>
        <w:tc>
          <w:tcPr>
            <w:tcW w:type="dxa" w:w="4320"/>
            <w:shd w:fill="003366"/>
          </w:tcPr>
          <w:p>
            <w:r>
              <w:rPr>
                <w:b/>
                <w:color w:val="FFFFFF"/>
              </w:rPr>
              <w:t>Project</w:t>
            </w:r>
          </w:p>
        </w:tc>
        <w:tc>
          <w:tcPr>
            <w:tcW w:type="dxa" w:w="4320"/>
          </w:tcPr>
          <w:p>
            <w:r>
              <w:t>Phoenix Metals VBS</w:t>
            </w:r>
          </w:p>
        </w:tc>
      </w:tr>
      <w:tr>
        <w:tc>
          <w:tcPr>
            <w:tcW w:type="dxa" w:w="4320"/>
            <w:shd w:fill="003366"/>
          </w:tcPr>
          <w:p>
            <w:r>
              <w:rPr>
                <w:b/>
                <w:color w:val="FFFFFF"/>
              </w:rPr>
              <w:t>Type</w:t>
            </w:r>
          </w:p>
        </w:tc>
        <w:tc>
          <w:tcPr>
            <w:tcW w:type="dxa" w:w="4320"/>
          </w:tcPr>
          <w:p>
            <w:r>
              <w:t>PM_VBS01_01_PBZO_Beleidsdocument_v1.2.docx</w:t>
            </w:r>
          </w:p>
        </w:tc>
      </w:tr>
      <w:tr>
        <w:tc>
          <w:tcPr>
            <w:tcW w:type="dxa" w:w="4320"/>
            <w:shd w:fill="003366"/>
          </w:tcPr>
          <w:p>
            <w:r>
              <w:rPr>
                <w:b/>
                <w:color w:val="FFFFFF"/>
              </w:rPr>
              <w:t>Auteur</w:t>
            </w:r>
          </w:p>
        </w:tc>
        <w:tc>
          <w:tcPr>
            <w:tcW w:type="dxa" w:w="4320"/>
          </w:tcPr>
          <w:p>
            <w:r>
              <w:t>JvG Consultancy</w:t>
            </w:r>
          </w:p>
        </w:tc>
      </w:tr>
      <w:tr>
        <w:tc>
          <w:tcPr>
            <w:tcW w:type="dxa" w:w="4320"/>
            <w:shd w:fill="003366"/>
          </w:tcPr>
          <w:p>
            <w:r>
              <w:rPr>
                <w:b/>
                <w:color w:val="FFFFFF"/>
              </w:rPr>
              <w:t>Versie</w:t>
            </w:r>
          </w:p>
        </w:tc>
        <w:tc>
          <w:tcPr>
            <w:tcW w:type="dxa" w:w="4320"/>
          </w:tcPr>
          <w:p>
            <w:r>
              <w:t>1.0</w:t>
            </w:r>
          </w:p>
        </w:tc>
      </w:tr>
      <w:tr>
        <w:tc>
          <w:tcPr>
            <w:tcW w:type="dxa" w:w="4320"/>
            <w:shd w:fill="003366"/>
          </w:tcPr>
          <w:p>
            <w:r>
              <w:rPr>
                <w:b/>
                <w:color w:val="FFFFFF"/>
              </w:rPr>
              <w:t>Datum</w:t>
            </w:r>
          </w:p>
        </w:tc>
        <w:tc>
          <w:tcPr>
            <w:tcW w:type="dxa" w:w="4320"/>
          </w:tcPr>
          <w:p>
            <w:r>
              <w:t>2026-04-29</w:t>
            </w:r>
          </w:p>
        </w:tc>
      </w:tr>
      <w:tr>
        <w:tc>
          <w:tcPr>
            <w:tcW w:type="dxa" w:w="4320"/>
            <w:shd w:fill="003366"/>
          </w:tcPr>
          <w:p>
            <w:r>
              <w:rPr>
                <w:b/>
                <w:color w:val="FFFFFF"/>
              </w:rPr>
              <w:t>Status</w:t>
            </w:r>
          </w:p>
        </w:tc>
        <w:tc>
          <w:tcPr>
            <w:tcW w:type="dxa" w:w="4320"/>
          </w:tcPr>
          <w:p>
            <w:r>
              <w:t>Definitief</w:t>
            </w:r>
          </w:p>
        </w:tc>
      </w:tr>
    </w:tbl>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5. Organisatorische structuur</w:t>
      </w:r>
    </w:p>
    <w:p>
      <w:pPr>
        <w:pStyle w:val="Heading2"/>
      </w:pPr>
      <w:r>
        <w:rPr>
          <w:color w:val="003366"/>
        </w:rPr>
        <w:t>5.1 Veiligheidsorganigram</w:t>
      </w:r>
    </w:p>
    <w:p>
      <w:pPr/>
      <w:r>
        <w:t>De veiligheidsorganisatiestructuur van Phoenix Metals B.V. kent de volgende hiërarchie en rapportagelijnen: (zie PE-310-03)</w:t>
      </w:r>
    </w:p>
    <w:p>
      <w:pPr>
        <w:jc w:val="center"/>
      </w:pPr>
      <w:r>
        <w:drawing>
          <wp:inline xmlns:a="http://schemas.openxmlformats.org/drawingml/2006/main" xmlns:pic="http://schemas.openxmlformats.org/drawingml/2006/picture">
            <wp:extent cx="5029200" cy="2828925"/>
            <wp:docPr id="1" name="Picture 1"/>
            <wp:cNvGraphicFramePr>
              <a:graphicFrameLocks noChangeAspect="1"/>
            </wp:cNvGraphicFramePr>
            <a:graphic>
              <a:graphicData uri="http://schemas.openxmlformats.org/drawingml/2006/picture">
                <pic:pic>
                  <pic:nvPicPr>
                    <pic:cNvPr id="0" name="organogram.png"/>
                    <pic:cNvPicPr/>
                  </pic:nvPicPr>
                  <pic:blipFill>
                    <a:blip r:embed="rId9"/>
                    <a:stretch>
                      <a:fillRect/>
                    </a:stretch>
                  </pic:blipFill>
                  <pic:spPr>
                    <a:xfrm>
                      <a:off x="0" y="0"/>
                      <a:ext cx="5029200" cy="2828925"/>
                    </a:xfrm>
                    <a:prstGeom prst="rect"/>
                  </pic:spPr>
                </pic:pic>
              </a:graphicData>
            </a:graphic>
          </wp:inline>
        </w:drawing>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Alle VBS-elementen zijn vertaald naar het bestaande documentnummersysteem van Phoenix Metals (PS- en PE-reeks) om integratie met het operationele managementsysteem te waarborgen. Het overzicht in Bijlage B toont de volledige koppeling tussen VBS-elementen en documentnummers.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7. Veiligheidsprestatie-indicatoren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7.1 Leading indicators (preventief)</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7.2 Lagging indicators (reactief)</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7.3 Targets jaar 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De targets voor het eerste jaar na invoering van het PBZO zijn vastgesteld met als uitgangspunt een haalbaar maar ambitieus niveau, rekening houdend met de omvang van de organisatie (proeffabriek, beperkt aantal medewerkers) en de complexiteit van de activiteiten: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7.4 Rapportagecyclus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8. Review en actualisatie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8.1 Jaarlijkse review door Directie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De Directie voert minimaal eenmaal per jaar een formele review uit van het PBZO en het Veiligheidsbeheersysteem. Deze review omvat: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Evaluatie van de veiligheidsprestaties ten opzichte van de gestelde targets (hoofdstuk 7)</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effectiviteit van de beheersmaatregelen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Analyse van incidenten, near-misses en auditbevindingen over het afgelopen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Herbeoordeling van de risicocontext (nieuwe stoffen, gewijzigde processen, nieuwe inzichten)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Vaststelling van bijgewerkte doelstellingen en actieplannen voor het komende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actualiteit en volledigheid van alle VBS-documenten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8.2 5-jaarlijkse herbeoordeling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Conform artikel 4.12 van het Besluit activiteiten leefomgeving (Bal) [2] wordt het PBZO minimaal elke vijf jaar integraal herbeoordeeld. Deze herbeoordeling omvat: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Volledige herziening van de risicobeoordeling in het licht van actuele kennis en technologie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Toetsing aan gewijzigde wet- en regelgeving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Evaluatie van de organisatorische structuur en competentieniveaus (zie FM-310-01-01)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prestaties van het VBS over de afgelopen vijf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Vaststelling van het geüpdatete PBZO door de Directie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8.3 Triggers voor tussentijdse actualisatie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Naast de vaste reviewcycli wordt het PBZO tussentijds geactualiseerd indien een of meer van de volgende situaties zich voordoen: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9. Bijlagen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A: Organigram</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Onderstaand organigram toont de veiligheidsstructuur van Phoenix Metals B.V.:</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DIRECTIE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Stijn van Zelst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Managing Director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PLANT MANAGER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HSE MANAGER     │     │ PROCES ENGINEER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VOORMANNEN / LIJNMANAGERS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OPERATOREN│  │ TECHNICI    │  │ ONDER-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             │  │ AANNEMERS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B: Overzicht VBS-elementen en 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C: Bronnenlijst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 Europese Richtlijn 2012/18/EU (Seveso III-richtlijn) — Preventie van zware ongevallen met gevaarlijke stoffen, Publiekblad van de Europese Unie, 2012.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[2] Besluit activiteiten leefomgeving (Bal), Stb. 2018, 218 — Afdeling 4.2: Seveso-inrichtingen, artikelen 4.10–4.12.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[3] NTA 8620 — Nederlandse praktijkrichtlijn voor het veiligheidsbeheersysteem (VBS) Seveso-inrichtingen, NEN, 2020.</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[4] Arbowet / Arbobesluit — Wet van 18 maart 1999, Stb. 1999, 199; Arbobesluit hoofdstuk 4: Gevaarlijke stoffen.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[5] PGS 15:2025 — Publicatiereeks Gevaarlijke Stoffen: Opslag van gevaarlijke stoffen in verpakking, 2025.</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[6] Verordening (EG) nr. 1907/2006 (REACH) en Verordening (EG) nr. 1272/2008 (CLP).</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[7] ISO 45001:2018 — Occupational health and safety management systems — Requirements with guidance for use.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[8] EN 14460 — Explosion protection equipment — Explosion resistance of equipment.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[9] HSE UK — ALARP Guidance: Reducing risks, protecting people (R2P2), Health and Safety Executive, 2001.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[10] IEC 61882:2016 — Hazard and operability studies (HAZOP studies) — Application guide.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tbl>
      <w:tblPr>
        <w:tblW w:type="auto" w:w="0"/>
        <w:jc w:val="center"/>
        <w:tblLook w:firstColumn="1" w:firstRow="1" w:lastColumn="0" w:lastRow="0" w:noHBand="0" w:noVBand="1" w:val="04A0"/>
      </w:tblPr>
      <w:tblGrid>
        <w:gridCol w:w="2160"/>
        <w:gridCol w:w="2160"/>
        <w:gridCol w:w="2160"/>
        <w:gridCol w:w="2160"/>
      </w:tblGrid>
      <w:tr>
        <w:tc>
          <w:tcPr>
            <w:tcW w:type="dxa" w:w="680"/>
            <w:shd w:fill="003368" w:val="clear"/>
          </w:tcPr>
          <w:p>
            <w:pPr>
              <w:jc w:val="center"/>
            </w:pPr>
            <w:r/>
            <w:r>
              <w:rPr>
                <w:b/>
                <w:color w:val="FFFFFF"/>
                <w:sz w:val="20"/>
              </w:rPr>
              <w:t>Nr</w:t>
            </w:r>
          </w:p>
        </w:tc>
        <w:tc>
          <w:tcPr>
            <w:tcW w:type="dxa" w:w="3118"/>
            <w:shd w:fill="003368" w:val="clear"/>
          </w:tcPr>
          <w:p>
            <w:pPr>
              <w:jc w:val="center"/>
            </w:pPr>
            <w:r/>
            <w:r>
              <w:rPr>
                <w:b/>
                <w:color w:val="FFFFFF"/>
                <w:sz w:val="20"/>
              </w:rPr>
              <w:t>Document</w:t>
            </w:r>
          </w:p>
        </w:tc>
        <w:tc>
          <w:tcPr>
            <w:tcW w:type="dxa" w:w="1701"/>
            <w:shd w:fill="003368" w:val="clear"/>
          </w:tcPr>
          <w:p>
            <w:pPr>
              <w:jc w:val="center"/>
            </w:pPr>
            <w:r/>
            <w:r>
              <w:rPr>
                <w:b/>
                <w:color w:val="FFFFFF"/>
                <w:sz w:val="20"/>
              </w:rPr>
              <w:t>Code</w:t>
            </w:r>
          </w:p>
        </w:tc>
        <w:tc>
          <w:tcPr>
            <w:tcW w:type="dxa" w:w="4252"/>
            <w:shd w:fill="003368" w:val="clear"/>
          </w:tcPr>
          <w:p>
            <w:pPr>
              <w:jc w:val="center"/>
            </w:pPr>
            <w:r/>
            <w:r>
              <w:rPr>
                <w:b/>
                <w:color w:val="FFFFFF"/>
                <w:sz w:val="20"/>
              </w:rPr>
              <w:t>Relatie tot dit document</w:t>
            </w:r>
          </w:p>
        </w:tc>
      </w:tr>
      <w:tr>
        <w:tc>
          <w:tcPr>
            <w:tcW w:type="dxa" w:w="680"/>
          </w:tcPr>
          <w:p>
            <w:r/>
            <w:r>
              <w:rPr>
                <w:sz w:val="18"/>
              </w:rPr>
              <w:t>1</w:t>
            </w:r>
          </w:p>
        </w:tc>
        <w:tc>
          <w:tcPr>
            <w:tcW w:type="dxa" w:w="3118"/>
          </w:tcPr>
          <w:p>
            <w:r/>
            <w:r>
              <w:rPr>
                <w:sz w:val="18"/>
              </w:rPr>
              <w:t>PBZO Beleidsdocument</w:t>
            </w:r>
          </w:p>
        </w:tc>
        <w:tc>
          <w:tcPr>
            <w:tcW w:type="dxa" w:w="1701"/>
          </w:tcPr>
          <w:p>
            <w:r/>
            <w:r>
              <w:rPr>
                <w:sz w:val="18"/>
              </w:rPr>
              <w:t>PS-230</w:t>
            </w:r>
          </w:p>
        </w:tc>
        <w:tc>
          <w:tcPr>
            <w:tcW w:type="dxa" w:w="4252"/>
          </w:tcPr>
          <w:p>
            <w:r/>
            <w:r>
              <w:rPr>
                <w:i/>
                <w:sz w:val="18"/>
              </w:rPr>
              <w:t>(dit document)</w:t>
            </w:r>
          </w:p>
        </w:tc>
      </w:tr>
      <w:tr>
        <w:tc>
          <w:tcPr>
            <w:tcW w:type="dxa" w:w="680"/>
            <w:shd w:fill="F2F6FA" w:val="clear"/>
          </w:tcPr>
          <w:p>
            <w:r/>
            <w:r>
              <w:rPr>
                <w:sz w:val="18"/>
              </w:rPr>
              <w:t>2</w:t>
            </w:r>
          </w:p>
        </w:tc>
        <w:tc>
          <w:tcPr>
            <w:tcW w:type="dxa" w:w="3118"/>
            <w:shd w:fill="F2F6FA" w:val="clear"/>
          </w:tcPr>
          <w:p>
            <w:r/>
            <w:r>
              <w:rPr>
                <w:sz w:val="18"/>
              </w:rPr>
              <w:t>Functieprofielen Veiligheid</w:t>
            </w:r>
          </w:p>
        </w:tc>
        <w:tc>
          <w:tcPr>
            <w:tcW w:type="dxa" w:w="1701"/>
            <w:shd w:fill="F2F6FA" w:val="clear"/>
          </w:tcPr>
          <w:p>
            <w:r/>
            <w:r>
              <w:rPr>
                <w:sz w:val="18"/>
              </w:rPr>
              <w:t>PE-310-02</w:t>
            </w:r>
          </w:p>
        </w:tc>
        <w:tc>
          <w:tcPr>
            <w:tcW w:type="dxa" w:w="4252"/>
            <w:shd w:fill="F2F6FA" w:val="clear"/>
          </w:tcPr>
          <w:p>
            <w:r/>
            <w:r>
              <w:rPr>
                <w:sz w:val="18"/>
              </w:rPr>
              <w:t>Functieprofielen van de in het beleid gedefinieerde veiligheidsrollen</w:t>
            </w:r>
          </w:p>
        </w:tc>
      </w:tr>
      <w:tr>
        <w:tc>
          <w:tcPr>
            <w:tcW w:type="dxa" w:w="680"/>
          </w:tcPr>
          <w:p>
            <w:r/>
            <w:r>
              <w:rPr>
                <w:sz w:val="18"/>
              </w:rPr>
              <w:t>3</w:t>
            </w:r>
          </w:p>
        </w:tc>
        <w:tc>
          <w:tcPr>
            <w:tcW w:type="dxa" w:w="3118"/>
          </w:tcPr>
          <w:p>
            <w:r/>
            <w:r>
              <w:rPr>
                <w:sz w:val="18"/>
              </w:rPr>
              <w:t>Organigram Veiligheidsstructuur</w:t>
            </w:r>
          </w:p>
        </w:tc>
        <w:tc>
          <w:tcPr>
            <w:tcW w:type="dxa" w:w="1701"/>
          </w:tcPr>
          <w:p>
            <w:r/>
            <w:r>
              <w:rPr>
                <w:sz w:val="18"/>
              </w:rPr>
              <w:t>PE-310-03</w:t>
            </w:r>
          </w:p>
        </w:tc>
        <w:tc>
          <w:tcPr>
            <w:tcW w:type="dxa" w:w="4252"/>
          </w:tcPr>
          <w:p>
            <w:r/>
            <w:r>
              <w:rPr>
                <w:sz w:val="18"/>
              </w:rPr>
              <w:t>Organisatorische structuur die het beleid inricht</w:t>
            </w:r>
          </w:p>
        </w:tc>
      </w:tr>
      <w:tr>
        <w:tc>
          <w:tcPr>
            <w:tcW w:type="dxa" w:w="680"/>
            <w:shd w:fill="F2F6FA" w:val="clear"/>
          </w:tcPr>
          <w:p>
            <w:r/>
            <w:r>
              <w:rPr>
                <w:sz w:val="18"/>
              </w:rPr>
              <w:t>4</w:t>
            </w:r>
          </w:p>
        </w:tc>
        <w:tc>
          <w:tcPr>
            <w:tcW w:type="dxa" w:w="3118"/>
            <w:shd w:fill="F2F6FA" w:val="clear"/>
          </w:tcPr>
          <w:p>
            <w:r/>
            <w:r>
              <w:rPr>
                <w:sz w:val="18"/>
              </w:rPr>
              <w:t>Training Matrix</w:t>
            </w:r>
          </w:p>
        </w:tc>
        <w:tc>
          <w:tcPr>
            <w:tcW w:type="dxa" w:w="1701"/>
            <w:shd w:fill="F2F6FA" w:val="clear"/>
          </w:tcPr>
          <w:p>
            <w:r/>
            <w:r>
              <w:rPr>
                <w:sz w:val="18"/>
              </w:rPr>
              <w:t>FM-310-01-01</w:t>
            </w:r>
          </w:p>
        </w:tc>
        <w:tc>
          <w:tcPr>
            <w:tcW w:type="dxa" w:w="4252"/>
            <w:shd w:fill="F2F6FA" w:val="clear"/>
          </w:tcPr>
          <w:p>
            <w:r/>
            <w:r>
              <w:rPr>
                <w:sz w:val="18"/>
              </w:rPr>
              <w:t>Trainingseisen afgeleid uit de beleidsdoelstellingen</w:t>
            </w:r>
          </w:p>
        </w:tc>
      </w:tr>
      <w:tr>
        <w:tc>
          <w:tcPr>
            <w:tcW w:type="dxa" w:w="680"/>
          </w:tcPr>
          <w:p>
            <w:r/>
            <w:r>
              <w:rPr>
                <w:sz w:val="18"/>
              </w:rPr>
              <w:t>5</w:t>
            </w:r>
          </w:p>
        </w:tc>
        <w:tc>
          <w:tcPr>
            <w:tcW w:type="dxa" w:w="3118"/>
          </w:tcPr>
          <w:p>
            <w:r/>
            <w:r>
              <w:rPr>
                <w:sz w:val="18"/>
              </w:rPr>
              <w:t>Inwerkprogramma Nieuwe Medewerkers</w:t>
            </w:r>
          </w:p>
        </w:tc>
        <w:tc>
          <w:tcPr>
            <w:tcW w:type="dxa" w:w="1701"/>
          </w:tcPr>
          <w:p>
            <w:r/>
            <w:r>
              <w:rPr>
                <w:sz w:val="18"/>
              </w:rPr>
              <w:t>PE-310-01</w:t>
            </w:r>
          </w:p>
        </w:tc>
        <w:tc>
          <w:tcPr>
            <w:tcW w:type="dxa" w:w="4252"/>
          </w:tcPr>
          <w:p>
            <w:r/>
            <w:r>
              <w:rPr>
                <w:sz w:val="18"/>
              </w:rPr>
              <w:t>Inwerkprogramma voor nieuwe medewerkers conform beleidskader</w:t>
            </w:r>
          </w:p>
        </w:tc>
      </w:tr>
    </w:tbl>
    <w:sectPr w:rsidR="00FC693F" w:rsidRPr="0006063C" w:rsidSect="00034616">
      <w:footerReference w:type="default" r:id="rId10"/>
      <w:pgSz w:w="12240" w:h="15840"/>
      <w:pgMar w:top="1440" w:right="1800" w:bottom="1440" w:left="1800" w:header="720" w:footer="720" w:gutter="0"/>
      <w:cols w:space="720"/>
      <w:docGrid w:linePitch="360"/>
    </w:sectPr>
    <w:p>
      <w:pPr>
        <w:pStyle w:val="Heading1"/>
      </w:pPr>
      <w:r>
        <w:rPr>
          <w:color w:val="003366"/>
        </w:rPr>
        <w:t>TierVerify — Verificatielog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Dit document is geverifieerd conform de TierVerify-methodiek (STYLEGUIDE §13). Onderstaand overzicht toont de uitgevoerde checks.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TierVerify uitgevoerd door: HSEQ Specialist via Kas (Director of Operations)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Datum verificatie: 28 april 2026</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Status: Geverifieerd — gereed voor Directie-goedkeuring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A: Organigram</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Onderstaand organigram toont de veiligheidsstructuur van Phoenix Metals B.V.:</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DIRECTIE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Stijn van Zelst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Managing Director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PLANT MANAGER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HSE MANAGER     │     │ PROCES ENGINEER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VOORMANNEN / LIJNMANAGERS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OPERATOREN│  │ TECHNICI    │  │ ONDER-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             │  │ AANNEMERS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B: Overzicht VBS-elementen en 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C: Bronnenlijst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 Europese Richtlijn 2012/18/EU (Seveso III-richtlijn) — Preventie van zware ongevallen met gevaarlijke stoffen, Publiekblad van de Europese Unie, 2012.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[2] Besluit activiteiten leefomgeving (Bal), Stb. 2018, 218 — Afdeling 4.2: Seveso-inrichtingen, artikelen 4.10–4.12.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[3] NTA 8620 — Nederlandse praktijkrichtlijn voor het veiligheidsbeheersysteem (VBS) Seveso-inrichtingen, NEN, 2020.</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[4] Arbowet / Arbobesluit — Wet van 18 maart 1999, Stb. 1999, 199; Arbobesluit hoofdstuk 4: Gevaarlijke stoffen.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[5] PGS 15:2025 — Publicatiereeks Gevaarlijke Stoffen: Opslag van gevaarlijke stoffen in verpakking, 2025.</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[6] Verordening (EG) nr. 1907/2006 (REACH) en Verordening (EG) nr. 1272/2008 (CLP).</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[7] ISO 45001:2018 — Occupational health and safety management systems — Requirements with guidance for use.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[8] EN 14460 — Explosion protection equipment — Explosion resistance of equipment.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[9] HSE UK — ALARP Guidance: Reducing risks, protecting people (R2P2), Health and Safety Executive, 2001.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[10] IEC 61882:2016 — Hazard and operability studies (HAZOP studies) — Application guide.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TierVerify — Verificatielog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Dit document is geverifieerd conform de TierVerify-methodiek (STYLEGUIDE §13). Onderstaand overzicht toont de uitgevoerde checks.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TierVerify uitgevoerd door: HSEQ Specialist via Kas (Director of Operations)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Datum verificatie: 28 april 2026</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Status: Geverifieerd — gereed voor Directie-goedkeuring</w:t>
      </w:r>
    </w:p>
    <w:p>
      <w:pPr>
        <w:pStyle w:val="Heading1"/>
      </w:pPr>
      <w:r>
        <w:rPr>
          <w:b/>
          <w:color w:val="003366"/>
          <w:sz w:val="28"/>
        </w:rPr>
        <w:t>Gerelateerde Documenten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280"/>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