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pPr>
    </w:p>
    <w:p>
      <w:pPr>
        <w:pStyle w:val="Normal"/>
      </w:pPr>
    </w:p>
    <w:p>
      <w:pPr>
        <w:pStyle w:val="Normal"/>
      </w:pPr>
    </w:p>
    <w:tbl>
      <w:tblPr>
        <w:tblStyle w:val="TableGrid"/>
        <w:tblW w:type="auto" w:w="0"/>
        <w:tblLook w:firstColumn="1" w:firstRow="1" w:lastColumn="0" w:lastRow="0" w:noHBand="0" w:noVBand="1" w:val="04A0"/>
      </w:tblPr>
      <w:tblGrid>
        <w:gridCol w:w="4320"/>
        <w:gridCol w:w="4320"/>
      </w:tblGrid>
      <w:tr>
        <w:tc>
          <w:tcPr>
            <w:tcW w:type="dxa" w:w="4320"/>
            <w:shd w:fill="003366"/>
          </w:tcPr>
          <w:p>
            <w:r>
              <w:rPr>
                <w:b/>
                <w:color w:val="FFFFFF"/>
              </w:rPr>
              <w:t>Project</w:t>
            </w:r>
          </w:p>
        </w:tc>
        <w:tc>
          <w:tcPr>
            <w:tcW w:type="dxa" w:w="4320"/>
          </w:tcPr>
          <w:p>
            <w:r>
              <w:t>Phoenix Metals VBS</w:t>
            </w:r>
          </w:p>
        </w:tc>
      </w:tr>
      <w:tr>
        <w:tc>
          <w:tcPr>
            <w:tcW w:type="dxa" w:w="4320"/>
            <w:shd w:fill="003366"/>
          </w:tcPr>
          <w:p>
            <w:r>
              <w:rPr>
                <w:b/>
                <w:color w:val="FFFFFF"/>
              </w:rPr>
              <w:t>Type</w:t>
            </w:r>
          </w:p>
        </w:tc>
        <w:tc>
          <w:tcPr>
            <w:tcW w:type="dxa" w:w="4320"/>
          </w:tcPr>
          <w:p>
            <w:r>
              <w:t>PM_VBS01_01_PBZO_Beleidsdocument_v1.1.docx</w:t>
            </w:r>
          </w:p>
        </w:tc>
      </w:tr>
      <w:tr>
        <w:tc>
          <w:tcPr>
            <w:tcW w:type="dxa" w:w="4320"/>
            <w:shd w:fill="003366"/>
          </w:tcPr>
          <w:p>
            <w:r>
              <w:rPr>
                <w:b/>
                <w:color w:val="FFFFFF"/>
              </w:rPr>
              <w:t>Auteur</w:t>
            </w:r>
          </w:p>
        </w:tc>
        <w:tc>
          <w:tcPr>
            <w:tcW w:type="dxa" w:w="4320"/>
          </w:tcPr>
          <w:p>
            <w:r>
              <w:t>JvG Consultancy</w:t>
            </w:r>
          </w:p>
        </w:tc>
      </w:tr>
      <w:tr>
        <w:tc>
          <w:tcPr>
            <w:tcW w:type="dxa" w:w="4320"/>
            <w:shd w:fill="003366"/>
          </w:tcPr>
          <w:p>
            <w:r>
              <w:rPr>
                <w:b/>
                <w:color w:val="FFFFFF"/>
              </w:rPr>
              <w:t>Versie</w:t>
            </w:r>
          </w:p>
        </w:tc>
        <w:tc>
          <w:tcPr>
            <w:tcW w:type="dxa" w:w="4320"/>
          </w:tcPr>
          <w:p>
            <w:r>
              <w:t>1.0</w:t>
            </w:r>
          </w:p>
        </w:tc>
      </w:tr>
      <w:tr>
        <w:tc>
          <w:tcPr>
            <w:tcW w:type="dxa" w:w="4320"/>
            <w:shd w:fill="003366"/>
          </w:tcPr>
          <w:p>
            <w:r>
              <w:rPr>
                <w:b/>
                <w:color w:val="FFFFFF"/>
              </w:rPr>
              <w:t>Datum</w:t>
            </w:r>
          </w:p>
        </w:tc>
        <w:tc>
          <w:tcPr>
            <w:tcW w:type="dxa" w:w="4320"/>
          </w:tcPr>
          <w:p>
            <w:r>
              <w:t>2026-04-29</w:t>
            </w:r>
          </w:p>
        </w:tc>
      </w:tr>
      <w:tr>
        <w:tc>
          <w:tcPr>
            <w:tcW w:type="dxa" w:w="4320"/>
            <w:shd w:fill="003366"/>
          </w:tcPr>
          <w:p>
            <w:r>
              <w:rPr>
                <w:b/>
                <w:color w:val="FFFFFF"/>
              </w:rPr>
              <w:t>Status</w:t>
            </w:r>
          </w:p>
        </w:tc>
        <w:tc>
          <w:tcPr>
            <w:tcW w:type="dxa" w:w="4320"/>
          </w:tcPr>
          <w:p>
            <w:r>
              <w:t>Definitief</w:t>
            </w:r>
          </w:p>
        </w:tc>
      </w:tr>
    </w:tbl>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5. Organisatorische structuur</w:t>
      </w:r>
    </w:p>
    <w:p>
      <w:pPr>
        <w:pStyle w:val="Heading2"/>
      </w:pPr>
      <w:r>
        <w:rPr>
          <w:color w:val="003366"/>
        </w:rPr>
        <w:t>5.1 Veiligheidsorganigram</w:t>
      </w:r>
    </w:p>
    <w:p>
      <w:pPr/>
      <w:r>
        <w:t>De veiligheidsorganisatiestructuur van Phoenix Metals B.V. kent de volgende hiërarchie en rapportagelijnen:</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organogram.png"/>
                    <pic:cNvPicPr/>
                  </pic:nvPicPr>
                  <pic:blipFill>
                    <a:blip r:embed="rId9"/>
                    <a:stretch>
                      <a:fillRect/>
                    </a:stretch>
                  </pic:blipFill>
                  <pic:spPr>
                    <a:xfrm>
                      <a:off x="0" y="0"/>
                      <a:ext cx="5029200" cy="2828925"/>
                    </a:xfrm>
                    <a:prstGeom prst="rect"/>
                  </pic:spPr>
                </pic:pic>
              </a:graphicData>
            </a:graphic>
          </wp:inline>
        </w:drawing>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7. Veiligheidsprestatie-indicatoren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7.1 Leading indicators (preventief)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7.2 Lagging indicators (reactief)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7.3 Targets jaar 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targets voor het eerste jaar na invoering van het PBZO zijn vastgesteld met als uitgangspunt een haalbaar maar ambitieus niveau, rekening houdend met de omvang van de organisatie (proeffabriek, beperkt aantal medewerkers) en de complexiteit van de activiteiten: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7.4 Rapportagecyclus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8. Review en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8.1 Jaarlijkse review door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Directie voert minimaal eenmaal per jaar een formele review uit van het PBZO en het Veiligheidsbeheersysteem. Deze review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veiligheidsprestaties ten opzichte van de gestelde targets (hoofdstuk 7)</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effectiviteit van de beheersmaatregelen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Analyse van incidenten, near-misses en auditbevindingen over het afgelopen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Herbeoordeling van de risicocontext (nieuwe stoffen, gewijzigde processen, nieuwe inzichten)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bijgewerkte doelstellingen en actieplannen voor het komende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actualiteit en volledigheid van alle VBS-documenten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8.2 5-jaarlijkse herbeoordeling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Conform artikel 4.12 van het Besluit activiteiten leefomgeving (Bal) [2] wordt het PBZO minimaal elke vijf jaar integraal herbeoordeeld. Deze herbeoordeling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Volledige herziening van de risicobeoordeling in het licht van actuele kennis en technologie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Toetsing aan gewijzigde wet- en regelgeving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organisatorische structuur en competentieniveaus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prestaties van het VBS over de afgelopen vijf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het geüpdatete PBZO door de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8.3 Triggers voor tussentijdse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Naast de vaste reviewcycli wordt het PBZO tussentijds geactualiseerd indien een of meer van de volgende situaties zich voordoen: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9. Bijlagen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rPr>
          <w:color w:val="003366"/>
        </w:rP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rPr>
          <w:color w:val="003366"/>
        </w:rP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rPr>
          <w:color w:val="003366"/>
        </w:rP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rPr>
          <w:color w:val="003366"/>
        </w:rP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rPr>
          <w:color w:val="003366"/>
        </w:rPr>
        <w:t>2. Bedrijfscontext</w:t>
      </w:r>
    </w:p>
    <w:p>
      <w:pPr>
        <w:pStyle w:val="Heading2"/>
      </w:pPr>
      <w:r>
        <w:rPr>
          <w:color w:val="003366"/>
        </w:rP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rPr>
          <w:color w:val="003366"/>
        </w:rP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rPr>
          <w:color w:val="003366"/>
        </w:rP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rPr>
          <w:color w:val="003366"/>
        </w:rP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rPr>
          <w:color w:val="003366"/>
        </w:rPr>
        <w:t>4. Beleidsuitgangspunten</w:t>
      </w:r>
    </w:p>
    <w:p>
      <w:pPr>
        <w:pStyle w:val="Heading2"/>
      </w:pPr>
      <w:r>
        <w:rPr>
          <w:color w:val="003366"/>
        </w:rPr>
        <w:t>4.1 Algemene doelen en uitgangspunten voor handelen</w:t>
      </w:r>
    </w:p>
    <w:p>
      <w:pPr>
        <w:pStyle w:val="Normal"/>
      </w:pPr>
      <w:r>
        <w:t>Phoenix Metals B.V. hanteert de volgende algemene doelen voor de preventie van zware ongevallen:</w:t>
      </w:r>
    </w:p>
    <w:p>
      <w:pPr>
        <w:pStyle w:val="Heading2"/>
      </w:pPr>
      <w:r>
        <w:rPr>
          <w:color w:val="003366"/>
        </w:rP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rPr>
          <w:color w:val="003366"/>
        </w:rP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rPr>
          <w:color w:val="003366"/>
        </w:rPr>
        <w:t>4.4 Maatregelen om ongevallen te voorkomen en gevolgen te beperken</w:t>
      </w:r>
    </w:p>
    <w:p>
      <w:pPr>
        <w:pStyle w:val="Normal"/>
      </w:pPr>
      <w:r>
        <w:t>Phoenix Metals hanteert een gelaagde set preventieve en beschermende maatregelen:</w:t>
      </w:r>
    </w:p>
    <w:p>
      <w:pPr>
        <w:pStyle w:val="Heading2"/>
      </w:pPr>
      <w:r>
        <w:rPr>
          <w:color w:val="003366"/>
        </w:rP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rPr>
          <w:color w:val="003366"/>
        </w:rP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280"/>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