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24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2400"/>
                    </a:xfrm>
                    <a:prstGeom prst="rect"/>
                  </pic:spPr>
                </pic:pic>
              </a:graphicData>
            </a:graphic>
          </wp:inline>
        </w:drawing>
      </w:r>
    </w:p>
    <w:p/>
    <w:p>
      <w:pPr>
        <w:spacing w:after="0"/>
        <w:jc w:val="center"/>
      </w:pPr>
      <w:r>
        <w:rPr>
          <w:rFonts w:ascii="Calibri" w:hAnsi="Calibri"/>
          <w:b/>
          <w:i w:val="0"/>
          <w:color w:val="003366"/>
          <w:sz w:val="48"/>
        </w:rPr>
        <w:t>PREVENTIEBELEID</w:t>
      </w:r>
    </w:p>
    <w:p>
      <w:pPr>
        <w:spacing w:after="240"/>
        <w:jc w:val="center"/>
      </w:pPr>
      <w:r>
        <w:rPr>
          <w:rFonts w:ascii="Calibri" w:hAnsi="Calibri"/>
          <w:b/>
          <w:i w:val="0"/>
          <w:color w:val="003366"/>
          <w:sz w:val="48"/>
        </w:rPr>
        <w:t>ZWARE ONGEVALLEN</w:t>
      </w:r>
    </w:p>
    <w:p>
      <w:pPr>
        <w:spacing w:after="400"/>
        <w:jc w:val="center"/>
      </w:pPr>
      <w:r>
        <w:rPr>
          <w:rFonts w:ascii="Calibri" w:hAnsi="Calibri"/>
          <w:b w:val="0"/>
          <w:i w:val="0"/>
          <w:color w:val="1F2937"/>
          <w:sz w:val="28"/>
        </w:rPr>
        <w:t>Phoenix Metals B.V. — Vrijwillige Seveso III Compliance</w:t>
      </w:r>
    </w:p>
    <w:p>
      <w:pPr>
        <w:jc w:val="center"/>
        <w:pBdr>
          <w:bottom w:val="single" w:sz="6" w:space="1" w:color="003366"/>
        </w:pBdr>
      </w:pPr>
    </w:p>
    <w:p/>
    <w:tbl>
      <w:tblPr>
        <w:tblW w:type="auto" w:w="0"/>
        <w:jc w:val="center"/>
        <w:tblLook w:firstColumn="1" w:firstRow="1" w:lastColumn="0" w:lastRow="0" w:noHBand="0" w:noVBand="1" w:val="04A0"/>
      </w:tblPr>
      <w:tblGrid>
        <w:gridCol w:w="4536"/>
        <w:gridCol w:w="4536"/>
      </w:tblGrid>
      <w:tr>
        <w:tc>
          <w:tcPr>
            <w:tcW w:type="dxa" w:w="2835"/>
          </w:tcPr>
          <w:p>
            <w:r/>
            <w:r>
              <w:rPr>
                <w:rFonts w:ascii="Calibri" w:hAnsi="Calibri"/>
                <w:b/>
                <w:color w:val="003366"/>
                <w:sz w:val="22"/>
              </w:rPr>
              <w:t>Documentcode</w:t>
            </w:r>
          </w:p>
        </w:tc>
        <w:tc>
          <w:tcPr>
            <w:tcW w:type="dxa" w:w="6236"/>
          </w:tcPr>
          <w:p>
            <w:r/>
            <w:r>
              <w:rPr>
                <w:rFonts w:ascii="Calibri" w:hAnsi="Calibri"/>
                <w:color w:val="1F2937"/>
                <w:sz w:val="22"/>
              </w:rPr>
              <w:t>PS-230</w:t>
            </w:r>
          </w:p>
        </w:tc>
      </w:tr>
      <w:tr>
        <w:tc>
          <w:tcPr>
            <w:tcW w:type="dxa" w:w="2835"/>
          </w:tcPr>
          <w:p>
            <w:r/>
            <w:r>
              <w:rPr>
                <w:rFonts w:ascii="Calibri" w:hAnsi="Calibri"/>
                <w:b/>
                <w:color w:val="003366"/>
                <w:sz w:val="22"/>
              </w:rPr>
              <w:t>Versie</w:t>
            </w:r>
          </w:p>
        </w:tc>
        <w:tc>
          <w:tcPr>
            <w:tcW w:type="dxa" w:w="6236"/>
          </w:tcPr>
          <w:p>
            <w:r/>
            <w:r>
              <w:rPr>
                <w:rFonts w:ascii="Calibri" w:hAnsi="Calibri"/>
                <w:color w:val="1F2937"/>
                <w:sz w:val="22"/>
              </w:rPr>
              <w:t>1.0</w:t>
            </w:r>
          </w:p>
        </w:tc>
      </w:tr>
      <w:tr>
        <w:tc>
          <w:tcPr>
            <w:tcW w:type="dxa" w:w="2835"/>
          </w:tcPr>
          <w:p>
            <w:r/>
            <w:r>
              <w:rPr>
                <w:rFonts w:ascii="Calibri" w:hAnsi="Calibri"/>
                <w:b/>
                <w:color w:val="003366"/>
                <w:sz w:val="22"/>
              </w:rPr>
              <w:t>Datum</w:t>
            </w:r>
          </w:p>
        </w:tc>
        <w:tc>
          <w:tcPr>
            <w:tcW w:type="dxa" w:w="6236"/>
          </w:tcPr>
          <w:p>
            <w:r/>
            <w:r>
              <w:rPr>
                <w:rFonts w:ascii="Calibri" w:hAnsi="Calibri"/>
                <w:color w:val="1F2937"/>
                <w:sz w:val="22"/>
              </w:rPr>
              <w:t>28 april 2026</w:t>
            </w:r>
          </w:p>
        </w:tc>
      </w:tr>
      <w:tr>
        <w:tc>
          <w:tcPr>
            <w:tcW w:type="dxa" w:w="2835"/>
          </w:tcPr>
          <w:p>
            <w:r/>
            <w:r>
              <w:rPr>
                <w:rFonts w:ascii="Calibri" w:hAnsi="Calibri"/>
                <w:b/>
                <w:color w:val="003366"/>
                <w:sz w:val="22"/>
              </w:rPr>
              <w:t>Auteur</w:t>
            </w:r>
          </w:p>
        </w:tc>
        <w:tc>
          <w:tcPr>
            <w:tcW w:type="dxa" w:w="6236"/>
          </w:tcPr>
          <w:p>
            <w:r/>
            <w:r>
              <w:rPr>
                <w:rFonts w:ascii="Calibri" w:hAnsi="Calibri"/>
                <w:color w:val="1F2937"/>
                <w:sz w:val="22"/>
              </w:rPr>
              <w:t>JvG Consultancy (in opdracht van Phoenix Metals B.V.)</w:t>
            </w:r>
          </w:p>
        </w:tc>
      </w:tr>
      <w:tr>
        <w:tc>
          <w:tcPr>
            <w:tcW w:type="dxa" w:w="2835"/>
          </w:tcPr>
          <w:p>
            <w:r/>
            <w:r>
              <w:rPr>
                <w:rFonts w:ascii="Calibri" w:hAnsi="Calibri"/>
                <w:b/>
                <w:color w:val="003366"/>
                <w:sz w:val="22"/>
              </w:rPr>
              <w:t>Goedkeuring</w:t>
            </w:r>
          </w:p>
        </w:tc>
        <w:tc>
          <w:tcPr>
            <w:tcW w:type="dxa" w:w="6236"/>
          </w:tcPr>
          <w:p>
            <w:r/>
            <w:r>
              <w:rPr>
                <w:rFonts w:ascii="Calibri" w:hAnsi="Calibri"/>
                <w:color w:val="1F2937"/>
                <w:sz w:val="22"/>
              </w:rPr>
              <w:t>Stijn van Zelst, Managing Director</w:t>
            </w:r>
          </w:p>
        </w:tc>
      </w:tr>
      <w:tr>
        <w:tc>
          <w:tcPr>
            <w:tcW w:type="dxa" w:w="2835"/>
          </w:tcPr>
          <w:p>
            <w:r/>
            <w:r>
              <w:rPr>
                <w:rFonts w:ascii="Calibri" w:hAnsi="Calibri"/>
                <w:b/>
                <w:color w:val="003366"/>
                <w:sz w:val="22"/>
              </w:rPr>
              <w:t>Status</w:t>
            </w:r>
          </w:p>
        </w:tc>
        <w:tc>
          <w:tcPr>
            <w:tcW w:type="dxa" w:w="6236"/>
          </w:tcPr>
          <w:p>
            <w:r/>
            <w:r>
              <w:rPr>
                <w:rFonts w:ascii="Calibri" w:hAnsi="Calibri"/>
                <w:color w:val="1F2937"/>
                <w:sz w:val="22"/>
              </w:rPr>
              <w:t>Ter goedkeuring</w:t>
            </w:r>
          </w:p>
        </w:tc>
      </w:tr>
      <w:tr>
        <w:tc>
          <w:tcPr>
            <w:tcW w:type="dxa" w:w="2835"/>
          </w:tcPr>
          <w:p>
            <w:r/>
            <w:r>
              <w:rPr>
                <w:rFonts w:ascii="Calibri" w:hAnsi="Calibri"/>
                <w:b/>
                <w:color w:val="003366"/>
                <w:sz w:val="22"/>
              </w:rPr>
              <w:t>Classificatie</w:t>
            </w:r>
          </w:p>
        </w:tc>
        <w:tc>
          <w:tcPr>
            <w:tcW w:type="dxa" w:w="6236"/>
          </w:tcPr>
          <w:p>
            <w:r/>
            <w:r>
              <w:rPr>
                <w:rFonts w:ascii="Calibri" w:hAnsi="Calibri"/>
                <w:color w:val="1F2937"/>
                <w:sz w:val="22"/>
              </w:rPr>
              <w:t>Vertrouwelijk</w:t>
            </w:r>
          </w:p>
        </w:tc>
      </w:tr>
    </w:tbl>
    <w:p>
      <w:r>
        <w:br w:type="page"/>
      </w:r>
    </w:p>
    <w:p>
      <w:pPr>
        <w:pStyle w:val="Heading1"/>
      </w:pPr>
      <w:r>
        <w:rPr>
          <w:color w:val="003366"/>
        </w:rPr>
        <w:t>Inhoudsopgave</w:t>
      </w:r>
    </w:p>
    <w:p>
      <w:pPr>
        <w:spacing w:after="40"/>
      </w:pPr>
      <w:r>
        <w:rPr>
          <w:rFonts w:ascii="Calibri" w:hAnsi="Calibri"/>
          <w:color w:val="1F2937"/>
          <w:sz w:val="20"/>
        </w:rPr>
        <w:t>1. Managementverklaring</w:t>
      </w:r>
    </w:p>
    <w:p>
      <w:pPr>
        <w:spacing w:after="40"/>
      </w:pPr>
      <w:r>
        <w:rPr>
          <w:rFonts w:ascii="Calibri" w:hAnsi="Calibri"/>
          <w:color w:val="1F2937"/>
          <w:sz w:val="20"/>
        </w:rPr>
        <w:t>2. Bedrijfscontext</w:t>
      </w:r>
    </w:p>
    <w:p>
      <w:pPr>
        <w:spacing w:after="40"/>
      </w:pPr>
      <w:r>
        <w:rPr>
          <w:rFonts w:ascii="Calibri" w:hAnsi="Calibri"/>
          <w:color w:val="1F2937"/>
          <w:sz w:val="20"/>
        </w:rPr>
        <w:t xml:space="preserve">   2.1 Organisatieprofiel</w:t>
      </w:r>
    </w:p>
    <w:p>
      <w:pPr>
        <w:spacing w:after="40"/>
      </w:pPr>
      <w:r>
        <w:rPr>
          <w:rFonts w:ascii="Calibri" w:hAnsi="Calibri"/>
          <w:color w:val="1F2937"/>
          <w:sz w:val="20"/>
        </w:rPr>
        <w:t xml:space="preserve">   2.2 Locaties en activiteiten</w:t>
      </w:r>
    </w:p>
    <w:p>
      <w:pPr>
        <w:spacing w:after="40"/>
      </w:pPr>
      <w:r>
        <w:rPr>
          <w:rFonts w:ascii="Calibri" w:hAnsi="Calibri"/>
          <w:color w:val="1F2937"/>
          <w:sz w:val="20"/>
        </w:rPr>
        <w:t xml:space="preserve">   2.3 Vrijwillige Seveso compliance</w:t>
      </w:r>
    </w:p>
    <w:p>
      <w:pPr>
        <w:spacing w:after="40"/>
      </w:pPr>
      <w:r>
        <w:rPr>
          <w:rFonts w:ascii="Calibri" w:hAnsi="Calibri"/>
          <w:color w:val="1F2937"/>
          <w:sz w:val="20"/>
        </w:rPr>
        <w:t>3. Wettelijk kader</w:t>
      </w:r>
    </w:p>
    <w:p>
      <w:pPr>
        <w:spacing w:after="40"/>
      </w:pPr>
      <w:r>
        <w:rPr>
          <w:rFonts w:ascii="Calibri" w:hAnsi="Calibri"/>
          <w:color w:val="1F2937"/>
          <w:sz w:val="20"/>
        </w:rPr>
        <w:t>4. Beleidsuitgangspunten</w:t>
      </w:r>
    </w:p>
    <w:p>
      <w:pPr>
        <w:spacing w:after="40"/>
      </w:pPr>
      <w:r>
        <w:rPr>
          <w:rFonts w:ascii="Calibri" w:hAnsi="Calibri"/>
          <w:color w:val="1F2937"/>
          <w:sz w:val="20"/>
        </w:rPr>
        <w:t xml:space="preserve">   4.1 Algemene doelen en uitgangspunten</w:t>
      </w:r>
    </w:p>
    <w:p>
      <w:pPr>
        <w:spacing w:after="40"/>
      </w:pPr>
      <w:r>
        <w:rPr>
          <w:rFonts w:ascii="Calibri" w:hAnsi="Calibri"/>
          <w:color w:val="1F2937"/>
          <w:sz w:val="20"/>
        </w:rPr>
        <w:t xml:space="preserve">   4.2 Aard en omvang van risico's</w:t>
      </w:r>
    </w:p>
    <w:p>
      <w:pPr>
        <w:spacing w:after="40"/>
      </w:pPr>
      <w:r>
        <w:rPr>
          <w:rFonts w:ascii="Calibri" w:hAnsi="Calibri"/>
          <w:color w:val="1F2937"/>
          <w:sz w:val="20"/>
        </w:rPr>
        <w:t xml:space="preserve">   4.3 Criteria voor risicovaststelling</w:t>
      </w:r>
    </w:p>
    <w:p>
      <w:pPr>
        <w:spacing w:after="40"/>
      </w:pPr>
      <w:r>
        <w:rPr>
          <w:rFonts w:ascii="Calibri" w:hAnsi="Calibri"/>
          <w:color w:val="1F2937"/>
          <w:sz w:val="20"/>
        </w:rPr>
        <w:t xml:space="preserve">   4.4 Maatregelen ter preventie en beperking</w:t>
      </w:r>
    </w:p>
    <w:p>
      <w:pPr>
        <w:spacing w:after="40"/>
      </w:pPr>
      <w:r>
        <w:rPr>
          <w:rFonts w:ascii="Calibri" w:hAnsi="Calibri"/>
          <w:color w:val="1F2937"/>
          <w:sz w:val="20"/>
        </w:rPr>
        <w:t xml:space="preserve">   4.5 Rol en verantwoordelijkheid management</w:t>
      </w:r>
    </w:p>
    <w:p>
      <w:pPr>
        <w:spacing w:after="40"/>
      </w:pPr>
      <w:r>
        <w:rPr>
          <w:rFonts w:ascii="Calibri" w:hAnsi="Calibri"/>
          <w:color w:val="1F2937"/>
          <w:sz w:val="20"/>
        </w:rPr>
        <w:t xml:space="preserve">   4.6 Continue verbetering en hoog beschermingsniveau</w:t>
      </w:r>
    </w:p>
    <w:p>
      <w:pPr>
        <w:spacing w:after="40"/>
      </w:pPr>
      <w:r>
        <w:rPr>
          <w:rFonts w:ascii="Calibri" w:hAnsi="Calibri"/>
          <w:color w:val="1F2937"/>
          <w:sz w:val="20"/>
        </w:rPr>
        <w:t>5. Organisatorische structuur</w:t>
      </w:r>
    </w:p>
    <w:p>
      <w:pPr>
        <w:spacing w:after="40"/>
      </w:pPr>
      <w:r>
        <w:rPr>
          <w:rFonts w:ascii="Calibri" w:hAnsi="Calibri"/>
          <w:color w:val="1F2937"/>
          <w:sz w:val="20"/>
        </w:rPr>
        <w:t xml:space="preserve">   5.1 Veiligheidsorganigram</w:t>
      </w:r>
    </w:p>
    <w:p>
      <w:pPr>
        <w:spacing w:after="40"/>
      </w:pPr>
      <w:r>
        <w:rPr>
          <w:rFonts w:ascii="Calibri" w:hAnsi="Calibri"/>
          <w:color w:val="1F2937"/>
          <w:sz w:val="20"/>
        </w:rPr>
        <w:t xml:space="preserve">   5.2 Rollen en verantwoordelijkheden</w:t>
      </w:r>
    </w:p>
    <w:p>
      <w:pPr>
        <w:spacing w:after="40"/>
      </w:pPr>
      <w:r>
        <w:rPr>
          <w:rFonts w:ascii="Calibri" w:hAnsi="Calibri"/>
          <w:color w:val="1F2937"/>
          <w:sz w:val="20"/>
        </w:rPr>
        <w:t xml:space="preserve">   5.3 Rapportagelijnen</w:t>
      </w:r>
    </w:p>
    <w:p>
      <w:pPr>
        <w:spacing w:after="40"/>
      </w:pPr>
      <w:r>
        <w:rPr>
          <w:rFonts w:ascii="Calibri" w:hAnsi="Calibri"/>
          <w:color w:val="1F2937"/>
          <w:sz w:val="20"/>
        </w:rPr>
        <w:t>6. Veiligheidsbeheersysteem — 7 elementen</w:t>
      </w:r>
    </w:p>
    <w:p>
      <w:pPr>
        <w:spacing w:after="40"/>
      </w:pPr>
      <w:r>
        <w:rPr>
          <w:rFonts w:ascii="Calibri" w:hAnsi="Calibri"/>
          <w:color w:val="1F2937"/>
          <w:sz w:val="20"/>
        </w:rPr>
        <w:t>7. Veiligheidsprestatie-indicatoren</w:t>
      </w:r>
    </w:p>
    <w:p>
      <w:pPr>
        <w:spacing w:after="40"/>
      </w:pPr>
      <w:r>
        <w:rPr>
          <w:rFonts w:ascii="Calibri" w:hAnsi="Calibri"/>
          <w:color w:val="1F2937"/>
          <w:sz w:val="20"/>
        </w:rPr>
        <w:t xml:space="preserve">   7.1 Leading indicators</w:t>
      </w:r>
    </w:p>
    <w:p>
      <w:pPr>
        <w:spacing w:after="40"/>
      </w:pPr>
      <w:r>
        <w:rPr>
          <w:rFonts w:ascii="Calibri" w:hAnsi="Calibri"/>
          <w:color w:val="1F2937"/>
          <w:sz w:val="20"/>
        </w:rPr>
        <w:t xml:space="preserve">   7.2 Lagging indicators</w:t>
      </w:r>
    </w:p>
    <w:p>
      <w:pPr>
        <w:spacing w:after="40"/>
      </w:pPr>
      <w:r>
        <w:rPr>
          <w:rFonts w:ascii="Calibri" w:hAnsi="Calibri"/>
          <w:color w:val="1F2937"/>
          <w:sz w:val="20"/>
        </w:rPr>
        <w:t xml:space="preserve">   7.3 Targets jaar 1</w:t>
      </w:r>
    </w:p>
    <w:p>
      <w:pPr>
        <w:spacing w:after="40"/>
      </w:pPr>
      <w:r>
        <w:rPr>
          <w:rFonts w:ascii="Calibri" w:hAnsi="Calibri"/>
          <w:color w:val="1F2937"/>
          <w:sz w:val="20"/>
        </w:rPr>
        <w:t xml:space="preserve">   7.4 Rapportagecyclus</w:t>
      </w:r>
    </w:p>
    <w:p>
      <w:pPr>
        <w:spacing w:after="40"/>
      </w:pPr>
      <w:r>
        <w:rPr>
          <w:rFonts w:ascii="Calibri" w:hAnsi="Calibri"/>
          <w:color w:val="1F2937"/>
          <w:sz w:val="20"/>
        </w:rPr>
        <w:t>8. Review en actualisatie</w:t>
      </w:r>
    </w:p>
    <w:p>
      <w:pPr>
        <w:spacing w:after="40"/>
      </w:pPr>
      <w:r>
        <w:rPr>
          <w:rFonts w:ascii="Calibri" w:hAnsi="Calibri"/>
          <w:color w:val="1F2937"/>
          <w:sz w:val="20"/>
        </w:rPr>
        <w:t>9. Bijlagen</w:t>
      </w:r>
    </w:p>
    <w:p>
      <w:pPr>
        <w:spacing w:after="40"/>
      </w:pPr>
      <w:r>
        <w:rPr>
          <w:rFonts w:ascii="Calibri" w:hAnsi="Calibri"/>
          <w:color w:val="1F2937"/>
          <w:sz w:val="20"/>
        </w:rPr>
        <w:t xml:space="preserve">   Bijlage A: Organigram</w:t>
      </w:r>
    </w:p>
    <w:p>
      <w:pPr>
        <w:spacing w:after="40"/>
      </w:pPr>
      <w:r>
        <w:rPr>
          <w:rFonts w:ascii="Calibri" w:hAnsi="Calibri"/>
          <w:color w:val="1F2937"/>
          <w:sz w:val="20"/>
        </w:rPr>
        <w:t xml:space="preserve">   Bijlage B: Overzicht VBS-elementen en documenten</w:t>
      </w:r>
    </w:p>
    <w:p>
      <w:pPr>
        <w:spacing w:after="40"/>
      </w:pPr>
      <w:r>
        <w:rPr>
          <w:rFonts w:ascii="Calibri" w:hAnsi="Calibri"/>
          <w:color w:val="1F2937"/>
          <w:sz w:val="20"/>
        </w:rPr>
        <w:t xml:space="preserve">   Bijlage C: Bronnenlijst</w:t>
      </w:r>
    </w:p>
    <w:p>
      <w:r>
        <w:br w:type="page"/>
      </w:r>
    </w:p>
    <w:p>
      <w:pPr>
        <w:pStyle w:val="Heading1"/>
      </w:pPr>
      <w:r>
        <w:rPr>
          <w:color w:val="003366"/>
        </w:rPr>
        <w:t>1. Managementverklaring</w:t>
      </w:r>
    </w:p>
    <w:p>
      <w:pPr>
        <w:spacing w:after="120"/>
      </w:pPr>
      <w:r>
        <w:rPr>
          <w:rFonts w:ascii="Calibri" w:hAnsi="Calibri"/>
          <w:b w:val="0"/>
          <w:i w:val="0"/>
          <w:color w:val="1F2937"/>
          <w:sz w:val="22"/>
        </w:rPr>
        <w:t>Ondergetekende, Stijn van Zelst, in zijn hoedanigheid van Managing Director van Phoenix Metals B.V., verklaart hierbij:</w:t>
      </w:r>
    </w:p>
    <w:p>
      <w:pPr>
        <w:pStyle w:val="ListBullet"/>
      </w:pPr>
      <w:r>
        <w:rPr>
          <w:rFonts w:ascii="Calibri" w:hAnsi="Calibri"/>
          <w:color w:val="1F2937"/>
          <w:sz w:val="22"/>
        </w:rP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rPr>
          <w:rFonts w:ascii="Calibri" w:hAnsi="Calibri"/>
          <w:color w:val="1F2937"/>
          <w:sz w:val="22"/>
        </w:rP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rPr>
          <w:rFonts w:ascii="Calibri" w:hAnsi="Calibri"/>
          <w:color w:val="1F2937"/>
          <w:sz w:val="22"/>
        </w:rPr>
        <w:t>Dat Directie de noodzakelijke financiële, materiële en menselijke middelen beschikbaar stelt om dit beleid uit te voeren en het Veiligheidsbeheersysteem operationeel te houden.</w:t>
      </w:r>
    </w:p>
    <w:p>
      <w:pPr>
        <w:pStyle w:val="ListBullet"/>
      </w:pPr>
      <w:r>
        <w:rPr>
          <w:rFonts w:ascii="Calibri" w:hAnsi="Calibri"/>
          <w:color w:val="1F2937"/>
          <w:sz w:val="22"/>
        </w:rPr>
        <w:t>Dat alle medewerkers, inclusief onderaannemers en uitzendkrachten, zich dienen te houden aan de in dit document beschreven uitgangspunten en de daaruit afgeleide procedures.</w:t>
      </w:r>
    </w:p>
    <w:p>
      <w:pPr>
        <w:pStyle w:val="ListBullet"/>
      </w:pPr>
      <w:r>
        <w:rPr>
          <w:rFonts w:ascii="Calibri" w:hAnsi="Calibri"/>
          <w:color w:val="1F2937"/>
          <w:sz w:val="22"/>
        </w:rPr>
        <w:t>Dat dit PBZO jaarlijks wordt geëvalueerd en waar nodig wordt herzien, teneinde een continue verbetering van de veiligheidsprestaties te waarborgen.</w:t>
      </w:r>
    </w:p>
    <w:p>
      <w:pPr>
        <w:spacing w:after="120"/>
      </w:pPr>
      <w:r>
        <w:rPr>
          <w:rFonts w:ascii="Calibri" w:hAnsi="Calibri"/>
          <w:b w:val="0"/>
          <w:i w:val="0"/>
          <w:color w:val="1F2937"/>
          <w:sz w:val="22"/>
        </w:rPr>
      </w:r>
    </w:p>
    <w:p>
      <w:pPr>
        <w:spacing w:after="120"/>
      </w:pPr>
      <w:r>
        <w:rPr>
          <w:rFonts w:ascii="Calibri" w:hAnsi="Calibri"/>
          <w:b w:val="0"/>
          <w:i w:val="0"/>
          <w:color w:val="1F2937"/>
          <w:sz w:val="22"/>
        </w:rPr>
        <w:t>Rotterdam, 28 april 2026</w:t>
      </w:r>
    </w:p>
    <w:p>
      <w:pPr>
        <w:spacing w:after="120"/>
      </w:pPr>
      <w:r>
        <w:rPr>
          <w:rFonts w:ascii="Calibri" w:hAnsi="Calibri"/>
          <w:b w:val="0"/>
          <w:i w:val="0"/>
          <w:color w:val="1F2937"/>
          <w:sz w:val="22"/>
        </w:rPr>
      </w:r>
    </w:p>
    <w:p>
      <w:pPr>
        <w:spacing w:after="120"/>
      </w:pPr>
      <w:r>
        <w:rPr>
          <w:rFonts w:ascii="Calibri" w:hAnsi="Calibri"/>
          <w:b w:val="0"/>
          <w:i w:val="0"/>
          <w:color w:val="1F2937"/>
          <w:sz w:val="22"/>
        </w:rPr>
        <w:t>_____________________________________</w:t>
      </w:r>
    </w:p>
    <w:p>
      <w:pPr>
        <w:spacing w:after="120"/>
      </w:pPr>
      <w:r>
        <w:rPr>
          <w:rFonts w:ascii="Calibri" w:hAnsi="Calibri"/>
          <w:b/>
          <w:i w:val="0"/>
          <w:color w:val="003366"/>
          <w:sz w:val="22"/>
        </w:rPr>
        <w:t>Stijn van Zelst</w:t>
      </w:r>
    </w:p>
    <w:p>
      <w:pPr>
        <w:spacing w:after="120"/>
      </w:pPr>
      <w:r>
        <w:rPr>
          <w:rFonts w:ascii="Calibri" w:hAnsi="Calibri"/>
          <w:b w:val="0"/>
          <w:i w:val="0"/>
          <w:color w:val="1F2937"/>
          <w:sz w:val="20"/>
        </w:rPr>
        <w:t>Managing Director, Phoenix Metals B.V.</w:t>
      </w:r>
    </w:p>
    <w:p>
      <w:r>
        <w:br w:type="page"/>
      </w:r>
    </w:p>
    <w:p>
      <w:pPr>
        <w:pStyle w:val="Heading1"/>
      </w:pPr>
      <w:r>
        <w:rPr>
          <w:color w:val="003366"/>
        </w:rPr>
        <w:t>2. Bedrijfscontext</w:t>
      </w:r>
    </w:p>
    <w:p>
      <w:pPr>
        <w:pStyle w:val="Heading2"/>
      </w:pPr>
      <w:r>
        <w:rPr>
          <w:color w:val="003366"/>
        </w:rPr>
        <w:t>2.1 Organisatieprofiel</w:t>
      </w:r>
    </w:p>
    <w:p>
      <w:pPr>
        <w:spacing w:after="120"/>
      </w:pPr>
      <w:r>
        <w:rPr>
          <w:rFonts w:ascii="Calibri" w:hAnsi="Calibri"/>
          <w:b w:val="0"/>
          <w:i w:val="0"/>
          <w:color w:val="1F2937"/>
          <w:sz w:val="22"/>
        </w:rP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spacing w:after="120"/>
      </w:pPr>
      <w:r>
        <w:rPr>
          <w:rFonts w:ascii="Calibri" w:hAnsi="Calibri"/>
          <w:b w:val="0"/>
          <w:i w:val="0"/>
          <w:color w:val="1F2937"/>
          <w:sz w:val="22"/>
        </w:rPr>
        <w:t>De bedrijfsactiviteiten omvatten:</w:t>
      </w:r>
    </w:p>
    <w:p>
      <w:pPr>
        <w:pStyle w:val="ListBullet"/>
      </w:pPr>
      <w:r>
        <w:rPr>
          <w:rFonts w:ascii="Calibri" w:hAnsi="Calibri"/>
          <w:sz w:val="22"/>
        </w:rPr>
        <w:t>Ontvangst, opslag en preprocessing van vanadiumhoudende grondstoffen (waaronder VO₂, V₂O₃, V₂O₅) en staalslakken</w:t>
      </w:r>
    </w:p>
    <w:p>
      <w:pPr>
        <w:pStyle w:val="ListBullet"/>
      </w:pPr>
      <w:r>
        <w:rPr>
          <w:rFonts w:ascii="Calibri" w:hAnsi="Calibri"/>
          <w:sz w:val="22"/>
        </w:rPr>
        <w:t>Zure uitloging (leaching) met zwavelzuur (H₂SO₄) en/of zoutzuur (HCl) voor de extractie van vanadium</w:t>
      </w:r>
    </w:p>
    <w:p>
      <w:pPr>
        <w:pStyle w:val="ListBullet"/>
      </w:pPr>
      <w:r>
        <w:rPr>
          <w:rFonts w:ascii="Calibri" w:hAnsi="Calibri"/>
          <w:sz w:val="22"/>
        </w:rPr>
        <w:t>Vloeistof-vloeistof extractie (solvent extraction) met organische oplosmiddelen</w:t>
      </w:r>
    </w:p>
    <w:p>
      <w:pPr>
        <w:pStyle w:val="ListBullet"/>
      </w:pPr>
      <w:r>
        <w:rPr>
          <w:rFonts w:ascii="Calibri" w:hAnsi="Calibri"/>
          <w:sz w:val="22"/>
        </w:rPr>
        <w:t>Neerslag- en calcinatieprocessen voor de productie van vanadiumpentoxide</w:t>
      </w:r>
    </w:p>
    <w:p>
      <w:pPr>
        <w:pStyle w:val="ListBullet"/>
      </w:pPr>
      <w:r>
        <w:rPr>
          <w:rFonts w:ascii="Calibri" w:hAnsi="Calibri"/>
          <w:sz w:val="22"/>
        </w:rPr>
        <w:t>Opslag en intern transport van gevaarlijke stoffen (zuren, basen, oplosmiddelen)</w:t>
      </w:r>
    </w:p>
    <w:p>
      <w:pPr>
        <w:pStyle w:val="ListBullet"/>
      </w:pPr>
      <w:r>
        <w:rPr>
          <w:rFonts w:ascii="Calibri" w:hAnsi="Calibri"/>
          <w:sz w:val="22"/>
        </w:rPr>
        <w:t>Onderzoek en ontwikkeling van nieuwe procesroutes en proefopstellingen</w:t>
      </w:r>
    </w:p>
    <w:p>
      <w:pPr>
        <w:pStyle w:val="Heading2"/>
      </w:pPr>
      <w:r>
        <w:rPr>
          <w:color w:val="003366"/>
        </w:rPr>
        <w:t>2.2 Locaties en activiteiten</w:t>
      </w:r>
    </w:p>
    <w:p>
      <w:pPr>
        <w:spacing w:after="120"/>
      </w:pPr>
      <w:r>
        <w:rPr>
          <w:rFonts w:ascii="Calibri" w:hAnsi="Calibri"/>
          <w:b w:val="0"/>
          <w:i w:val="0"/>
          <w:color w:val="1F2937"/>
          <w:sz w:val="22"/>
        </w:rPr>
        <w:t>Phoenix Metals B.V. is gehuisvest in twee locaties: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Locatie</w:t>
            </w:r>
          </w:p>
        </w:tc>
        <w:tc>
          <w:tcPr>
            <w:tcW w:type="dxa" w:w="1701"/>
            <w:shd w:fill="003366"/>
          </w:tcPr>
          <w:p>
            <w:pPr>
              <w:jc w:val="left"/>
            </w:pPr>
            <w:r/>
            <w:r>
              <w:rPr>
                <w:rFonts w:ascii="Calibri" w:hAnsi="Calibri"/>
                <w:b/>
                <w:color w:val="FFFFFF"/>
                <w:sz w:val="20"/>
              </w:rPr>
              <w:t>Adres</w:t>
            </w:r>
          </w:p>
        </w:tc>
        <w:tc>
          <w:tcPr>
            <w:tcW w:type="dxa" w:w="3402"/>
            <w:shd w:fill="003366"/>
          </w:tcPr>
          <w:p>
            <w:pPr>
              <w:jc w:val="left"/>
            </w:pPr>
            <w:r/>
            <w:r>
              <w:rPr>
                <w:rFonts w:ascii="Calibri" w:hAnsi="Calibri"/>
                <w:b/>
                <w:color w:val="FFFFFF"/>
                <w:sz w:val="20"/>
              </w:rPr>
              <w:t>Activiteiten</w:t>
            </w:r>
          </w:p>
        </w:tc>
        <w:tc>
          <w:tcPr>
            <w:tcW w:type="dxa" w:w="2835"/>
            <w:shd w:fill="003366"/>
          </w:tcPr>
          <w:p>
            <w:pPr>
              <w:jc w:val="left"/>
            </w:pPr>
            <w:r/>
            <w:r>
              <w:rPr>
                <w:rFonts w:ascii="Calibri" w:hAnsi="Calibri"/>
                <w:b/>
                <w:color w:val="FFFFFF"/>
                <w:sz w:val="20"/>
              </w:rPr>
              <w:t>Opmerkingen</w:t>
            </w:r>
          </w:p>
        </w:tc>
      </w:tr>
      <w:tr>
        <w:tc>
          <w:tcPr>
            <w:tcW w:type="dxa" w:w="2268"/>
          </w:tcPr>
          <w:p>
            <w:r/>
            <w:r>
              <w:rPr>
                <w:rFonts w:ascii="Calibri" w:hAnsi="Calibri"/>
                <w:color w:val="1F2937"/>
                <w:sz w:val="20"/>
              </w:rPr>
              <w:t>PlantOne faciliteit</w:t>
            </w:r>
          </w:p>
        </w:tc>
        <w:tc>
          <w:tcPr>
            <w:tcW w:type="dxa" w:w="1701"/>
          </w:tcPr>
          <w:p>
            <w:r/>
            <w:r>
              <w:rPr>
                <w:rFonts w:ascii="Calibri" w:hAnsi="Calibri"/>
                <w:color w:val="1F2937"/>
                <w:sz w:val="20"/>
              </w:rPr>
              <w:t>IJmuiden</w:t>
            </w:r>
          </w:p>
        </w:tc>
        <w:tc>
          <w:tcPr>
            <w:tcW w:type="dxa" w:w="3402"/>
          </w:tcPr>
          <w:p>
            <w:r/>
            <w:r>
              <w:rPr>
                <w:rFonts w:ascii="Calibri" w:hAnsi="Calibri"/>
                <w:color w:val="1F2937"/>
                <w:sz w:val="20"/>
              </w:rPr>
              <w:t>Proeffabriek: uitloging, extractie, calcinatie, opslag</w:t>
            </w:r>
          </w:p>
        </w:tc>
        <w:tc>
          <w:tcPr>
            <w:tcW w:type="dxa" w:w="2835"/>
          </w:tcPr>
          <w:p>
            <w:r/>
            <w:r>
              <w:rPr>
                <w:rFonts w:ascii="Calibri" w:hAnsi="Calibri"/>
                <w:color w:val="1F2937"/>
                <w:sz w:val="20"/>
              </w:rPr>
              <w:t>Hoofdlocatie productieprocessen</w:t>
            </w:r>
          </w:p>
        </w:tc>
      </w:tr>
      <w:tr>
        <w:tc>
          <w:tcPr>
            <w:tcW w:type="dxa" w:w="2268"/>
            <w:shd w:fill="F3F4F6"/>
          </w:tcPr>
          <w:p>
            <w:r/>
            <w:r>
              <w:rPr>
                <w:rFonts w:ascii="Calibri" w:hAnsi="Calibri"/>
                <w:color w:val="1F2937"/>
                <w:sz w:val="20"/>
              </w:rPr>
              <w:t>Kantoor / Lab</w:t>
            </w:r>
          </w:p>
        </w:tc>
        <w:tc>
          <w:tcPr>
            <w:tcW w:type="dxa" w:w="1701"/>
            <w:shd w:fill="F3F4F6"/>
          </w:tcPr>
          <w:p>
            <w:r/>
            <w:r>
              <w:rPr>
                <w:rFonts w:ascii="Calibri" w:hAnsi="Calibri"/>
                <w:color w:val="1F2937"/>
                <w:sz w:val="20"/>
              </w:rPr>
              <w:t>Rotterdam</w:t>
            </w:r>
          </w:p>
        </w:tc>
        <w:tc>
          <w:tcPr>
            <w:tcW w:type="dxa" w:w="3402"/>
            <w:shd w:fill="F3F4F6"/>
          </w:tcPr>
          <w:p>
            <w:r/>
            <w:r>
              <w:rPr>
                <w:rFonts w:ascii="Calibri" w:hAnsi="Calibri"/>
                <w:color w:val="1F2937"/>
                <w:sz w:val="20"/>
              </w:rPr>
              <w:t>R&amp;D, administratie, kwaliteitscontrole</w:t>
            </w:r>
          </w:p>
        </w:tc>
        <w:tc>
          <w:tcPr>
            <w:tcW w:type="dxa" w:w="2835"/>
            <w:shd w:fill="F3F4F6"/>
          </w:tcPr>
          <w:p>
            <w:r/>
            <w:r>
              <w:rPr>
                <w:rFonts w:ascii="Calibri" w:hAnsi="Calibri"/>
                <w:color w:val="1F2937"/>
                <w:sz w:val="20"/>
              </w:rPr>
              <w:t>Geen Seveso-relevante stoffen</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spacing w:after="120"/>
      </w:pPr>
      <w:r>
        <w:rPr>
          <w:rFonts w:ascii="Calibri" w:hAnsi="Calibri"/>
          <w:b w:val="0"/>
          <w:i w:val="0"/>
          <w:color w:val="1F2937"/>
          <w:sz w:val="22"/>
        </w:rP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rPr>
          <w:rFonts w:ascii="Calibri" w:hAnsi="Calibri"/>
          <w:sz w:val="22"/>
        </w:rPr>
        <w:t>Het streven naar het hoogste veiligheidsniveau voor medewerkers, omgeving en milieu, onafhankelijk van wettelijke verplichtingen</w:t>
      </w:r>
    </w:p>
    <w:p>
      <w:pPr>
        <w:pStyle w:val="ListBullet"/>
      </w:pPr>
      <w:r>
        <w:rPr>
          <w:rFonts w:ascii="Calibri" w:hAnsi="Calibri"/>
          <w:sz w:val="22"/>
        </w:rPr>
        <w:t>De complexiteit en risico's inherent aan het werken met zuren, oplosmiddelen en metaalhoudende stoffen in een proeffabriekomgeving</w:t>
      </w:r>
    </w:p>
    <w:p>
      <w:pPr>
        <w:pStyle w:val="ListBullet"/>
      </w:pPr>
      <w:r>
        <w:rPr>
          <w:rFonts w:ascii="Calibri" w:hAnsi="Calibri"/>
          <w:sz w:val="22"/>
        </w:rPr>
        <w:t>De verwachting dat opschaling van productiecapaciteit in toekomstige fasen leidt tot Seveso-drempeloverschrijding — proactieve voorbereiding voorkomt achterstand</w:t>
      </w:r>
    </w:p>
    <w:p>
      <w:pPr>
        <w:pStyle w:val="ListBullet"/>
      </w:pPr>
      <w:r>
        <w:rPr>
          <w:rFonts w:ascii="Calibri" w:hAnsi="Calibri"/>
          <w:sz w:val="22"/>
        </w:rPr>
        <w:t>Maatschappelijke verantwoordelijkheid en reputatie: een bedrijf dat werkt met gevaarlijke stoffen toont aan de ernst van veiligheidsmanagement te begrijpen</w:t>
      </w:r>
    </w:p>
    <w:p>
      <w:pPr>
        <w:pStyle w:val="ListBullet"/>
      </w:pPr>
      <w:r>
        <w:rPr>
          <w:rFonts w:ascii="Calibri" w:hAnsi="Calibri"/>
          <w:sz w:val="22"/>
        </w:rPr>
        <w:t>Versterking van de vergunningspositie en relatie met toezichthouders (Omgevingsdienst, DCMR)</w:t>
      </w:r>
    </w:p>
    <w:p>
      <w:r>
        <w:br w:type="page"/>
      </w:r>
    </w:p>
    <w:p>
      <w:pPr>
        <w:pStyle w:val="Heading1"/>
      </w:pPr>
      <w:r>
        <w:rPr>
          <w:color w:val="003366"/>
        </w:rPr>
        <w:t>3. Wettelijk kader</w:t>
      </w:r>
    </w:p>
    <w:p>
      <w:pPr>
        <w:spacing w:after="120"/>
      </w:pPr>
      <w:r>
        <w:rPr>
          <w:rFonts w:ascii="Calibri" w:hAnsi="Calibri"/>
          <w:b w:val="0"/>
          <w:i w:val="0"/>
          <w:color w:val="1F2937"/>
          <w:sz w:val="22"/>
        </w:rPr>
        <w:t>Dit PBZO is opgebouwd conform de eisen en richtlijnen uit de volgende wettelijke en normatieve kaders:</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Kader</w:t>
            </w:r>
          </w:p>
        </w:tc>
        <w:tc>
          <w:tcPr>
            <w:tcW w:type="dxa" w:w="2835"/>
            <w:shd w:fill="003366"/>
          </w:tcPr>
          <w:p>
            <w:pPr>
              <w:jc w:val="left"/>
            </w:pPr>
            <w:r/>
            <w:r>
              <w:rPr>
                <w:rFonts w:ascii="Calibri" w:hAnsi="Calibri"/>
                <w:b/>
                <w:color w:val="FFFFFF"/>
                <w:sz w:val="20"/>
              </w:rPr>
              <w:t>Toepassingsgebied</w:t>
            </w:r>
          </w:p>
        </w:tc>
        <w:tc>
          <w:tcPr>
            <w:tcW w:type="dxa" w:w="3969"/>
            <w:shd w:fill="003366"/>
          </w:tcPr>
          <w:p>
            <w:pPr>
              <w:jc w:val="left"/>
            </w:pPr>
            <w:r/>
            <w:r>
              <w:rPr>
                <w:rFonts w:ascii="Calibri" w:hAnsi="Calibri"/>
                <w:b/>
                <w:color w:val="FFFFFF"/>
                <w:sz w:val="20"/>
              </w:rPr>
              <w:t>Relevantie Phoenix Metals</w:t>
            </w:r>
          </w:p>
        </w:tc>
      </w:tr>
      <w:tr>
        <w:tc>
          <w:tcPr>
            <w:tcW w:type="dxa" w:w="2835"/>
          </w:tcPr>
          <w:p>
            <w:r/>
            <w:r>
              <w:rPr>
                <w:rFonts w:ascii="Calibri" w:hAnsi="Calibri"/>
                <w:color w:val="1F2937"/>
                <w:sz w:val="20"/>
              </w:rPr>
              <w:t>Seveso III-richtlijn 2012/18/EU [1]</w:t>
            </w:r>
          </w:p>
        </w:tc>
        <w:tc>
          <w:tcPr>
            <w:tcW w:type="dxa" w:w="2835"/>
          </w:tcPr>
          <w:p>
            <w:r/>
            <w:r>
              <w:rPr>
                <w:rFonts w:ascii="Calibri" w:hAnsi="Calibri"/>
                <w:color w:val="1F2937"/>
                <w:sz w:val="20"/>
              </w:rPr>
              <w:t>Preventie van zware ongevallen met gevaarlijke stoffen</w:t>
            </w:r>
          </w:p>
        </w:tc>
        <w:tc>
          <w:tcPr>
            <w:tcW w:type="dxa" w:w="3969"/>
          </w:tcPr>
          <w:p>
            <w:r/>
            <w:r>
              <w:rPr>
                <w:rFonts w:ascii="Calibri" w:hAnsi="Calibri"/>
                <w:color w:val="1F2937"/>
                <w:sz w:val="20"/>
              </w:rPr>
              <w:t>Richtlijn voor VBS-structuur, PBZO-inhoud en rapportageverplichtingen</w:t>
            </w:r>
          </w:p>
        </w:tc>
      </w:tr>
      <w:tr>
        <w:tc>
          <w:tcPr>
            <w:tcW w:type="dxa" w:w="2835"/>
            <w:shd w:fill="F3F4F6"/>
          </w:tcPr>
          <w:p>
            <w:r/>
            <w:r>
              <w:rPr>
                <w:rFonts w:ascii="Calibri" w:hAnsi="Calibri"/>
                <w:color w:val="1F2937"/>
                <w:sz w:val="20"/>
              </w:rPr>
              <w:t>Besluit activiteiten leefomgeving (Bal) art. 4.10–4.12 [2]</w:t>
            </w:r>
          </w:p>
        </w:tc>
        <w:tc>
          <w:tcPr>
            <w:tcW w:type="dxa" w:w="2835"/>
            <w:shd w:fill="F3F4F6"/>
          </w:tcPr>
          <w:p>
            <w:r/>
            <w:r>
              <w:rPr>
                <w:rFonts w:ascii="Calibri" w:hAnsi="Calibri"/>
                <w:color w:val="1F2937"/>
                <w:sz w:val="20"/>
              </w:rPr>
              <w:t>Nationale implementatie Seveso III in Omgevingswet</w:t>
            </w:r>
          </w:p>
        </w:tc>
        <w:tc>
          <w:tcPr>
            <w:tcW w:type="dxa" w:w="3969"/>
            <w:shd w:fill="F3F4F6"/>
          </w:tcPr>
          <w:p>
            <w:r/>
            <w:r>
              <w:rPr>
                <w:rFonts w:ascii="Calibri" w:hAnsi="Calibri"/>
                <w:color w:val="1F2937"/>
                <w:sz w:val="20"/>
              </w:rPr>
              <w:t>Kader voor PBZO-eisen, VBS-elementen en reviewfrequentie</w:t>
            </w:r>
          </w:p>
        </w:tc>
      </w:tr>
      <w:tr>
        <w:tc>
          <w:tcPr>
            <w:tcW w:type="dxa" w:w="2835"/>
          </w:tcPr>
          <w:p>
            <w:r/>
            <w:r>
              <w:rPr>
                <w:rFonts w:ascii="Calibri" w:hAnsi="Calibri"/>
                <w:color w:val="1F2937"/>
                <w:sz w:val="20"/>
              </w:rPr>
              <w:t>NTA 8620 [3]</w:t>
            </w:r>
          </w:p>
        </w:tc>
        <w:tc>
          <w:tcPr>
            <w:tcW w:type="dxa" w:w="2835"/>
          </w:tcPr>
          <w:p>
            <w:r/>
            <w:r>
              <w:rPr>
                <w:rFonts w:ascii="Calibri" w:hAnsi="Calibri"/>
                <w:color w:val="1F2937"/>
                <w:sz w:val="20"/>
              </w:rPr>
              <w:t>Nederlandse praktijkrichtlijn Veiligheidsbeheersysteem</w:t>
            </w:r>
          </w:p>
        </w:tc>
        <w:tc>
          <w:tcPr>
            <w:tcW w:type="dxa" w:w="3969"/>
          </w:tcPr>
          <w:p>
            <w:r/>
            <w:r>
              <w:rPr>
                <w:rFonts w:ascii="Calibri" w:hAnsi="Calibri"/>
                <w:color w:val="1F2937"/>
                <w:sz w:val="20"/>
              </w:rPr>
              <w:t>Brug tussen Seveso-eisen en praktische VBS-uitwerking voor niet-Seveso-bedrijven</w:t>
            </w:r>
          </w:p>
        </w:tc>
      </w:tr>
      <w:tr>
        <w:tc>
          <w:tcPr>
            <w:tcW w:type="dxa" w:w="2835"/>
            <w:shd w:fill="F3F4F6"/>
          </w:tcPr>
          <w:p>
            <w:r/>
            <w:r>
              <w:rPr>
                <w:rFonts w:ascii="Calibri" w:hAnsi="Calibri"/>
                <w:color w:val="1F2937"/>
                <w:sz w:val="20"/>
              </w:rPr>
              <w:t>Arbowet / Arbobesluit [4]</w:t>
            </w:r>
          </w:p>
        </w:tc>
        <w:tc>
          <w:tcPr>
            <w:tcW w:type="dxa" w:w="2835"/>
            <w:shd w:fill="F3F4F6"/>
          </w:tcPr>
          <w:p>
            <w:r/>
            <w:r>
              <w:rPr>
                <w:rFonts w:ascii="Calibri" w:hAnsi="Calibri"/>
                <w:color w:val="1F2937"/>
                <w:sz w:val="20"/>
              </w:rPr>
              <w:t>Arbeidsomstandigheden, RI&amp;E, PSA</w:t>
            </w:r>
          </w:p>
        </w:tc>
        <w:tc>
          <w:tcPr>
            <w:tcW w:type="dxa" w:w="3969"/>
            <w:shd w:fill="F3F4F6"/>
          </w:tcPr>
          <w:p>
            <w:r/>
            <w:r>
              <w:rPr>
                <w:rFonts w:ascii="Calibri" w:hAnsi="Calibri"/>
                <w:color w:val="1F2937"/>
                <w:sz w:val="20"/>
              </w:rPr>
              <w:t>Basisveiligheidswerk, inclusief werken met gevaarlijke stoffen (Arbobesluit hoofdstuk 4)</w:t>
            </w:r>
          </w:p>
        </w:tc>
      </w:tr>
      <w:tr>
        <w:tc>
          <w:tcPr>
            <w:tcW w:type="dxa" w:w="2835"/>
          </w:tcPr>
          <w:p>
            <w:r/>
            <w:r>
              <w:rPr>
                <w:rFonts w:ascii="Calibri" w:hAnsi="Calibri"/>
                <w:color w:val="1F2937"/>
                <w:sz w:val="20"/>
              </w:rPr>
              <w:t>PGS 15:2025 [5]</w:t>
            </w:r>
          </w:p>
        </w:tc>
        <w:tc>
          <w:tcPr>
            <w:tcW w:type="dxa" w:w="2835"/>
          </w:tcPr>
          <w:p>
            <w:r/>
            <w:r>
              <w:rPr>
                <w:rFonts w:ascii="Calibri" w:hAnsi="Calibri"/>
                <w:color w:val="1F2937"/>
                <w:sz w:val="20"/>
              </w:rPr>
              <w:t>Opslag gevaarlijke stoffen</w:t>
            </w:r>
          </w:p>
        </w:tc>
        <w:tc>
          <w:tcPr>
            <w:tcW w:type="dxa" w:w="3969"/>
          </w:tcPr>
          <w:p>
            <w:r/>
            <w:r>
              <w:rPr>
                <w:rFonts w:ascii="Calibri" w:hAnsi="Calibri"/>
                <w:color w:val="1F2937"/>
                <w:sz w:val="20"/>
              </w:rPr>
              <w:t>Van toepassing op opslag van zuren, oplosmiddelen en metaalhoudende stoffen</w:t>
            </w:r>
          </w:p>
        </w:tc>
      </w:tr>
      <w:tr>
        <w:tc>
          <w:tcPr>
            <w:tcW w:type="dxa" w:w="2835"/>
            <w:shd w:fill="F3F4F6"/>
          </w:tcPr>
          <w:p>
            <w:r/>
            <w:r>
              <w:rPr>
                <w:rFonts w:ascii="Calibri" w:hAnsi="Calibri"/>
                <w:color w:val="1F2937"/>
                <w:sz w:val="20"/>
              </w:rPr>
              <w:t>REACH / CLP [6]</w:t>
            </w:r>
          </w:p>
        </w:tc>
        <w:tc>
          <w:tcPr>
            <w:tcW w:type="dxa" w:w="2835"/>
            <w:shd w:fill="F3F4F6"/>
          </w:tcPr>
          <w:p>
            <w:r/>
            <w:r>
              <w:rPr>
                <w:rFonts w:ascii="Calibri" w:hAnsi="Calibri"/>
                <w:color w:val="1F2937"/>
                <w:sz w:val="20"/>
              </w:rPr>
              <w:t>Registratie, classificatie en etikettering chemische stoffen</w:t>
            </w:r>
          </w:p>
        </w:tc>
        <w:tc>
          <w:tcPr>
            <w:tcW w:type="dxa" w:w="3969"/>
            <w:shd w:fill="F3F4F6"/>
          </w:tcPr>
          <w:p>
            <w:r/>
            <w:r>
              <w:rPr>
                <w:rFonts w:ascii="Calibri" w:hAnsi="Calibri"/>
                <w:color w:val="1F2937"/>
                <w:sz w:val="20"/>
              </w:rPr>
              <w:t>Vanadiumverbindingen zijn REACH-geregistreerd; CLP-classificatie bepalend voor risicobeoordeling</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r>
        <w:br w:type="page"/>
      </w:r>
    </w:p>
    <w:p>
      <w:pPr>
        <w:pStyle w:val="Heading1"/>
      </w:pPr>
      <w:r>
        <w:rPr>
          <w:color w:val="003366"/>
        </w:rPr>
        <w:t>4. Beleidsuitgangspunten</w:t>
      </w:r>
    </w:p>
    <w:p>
      <w:pPr>
        <w:pStyle w:val="Heading2"/>
      </w:pPr>
      <w:r>
        <w:rPr>
          <w:color w:val="003366"/>
        </w:rPr>
        <w:t>4.1 Algemene doelen en uitgangspunten voor handelen</w:t>
      </w:r>
    </w:p>
    <w:p>
      <w:pPr>
        <w:spacing w:after="120"/>
      </w:pPr>
      <w:r>
        <w:rPr>
          <w:rFonts w:ascii="Calibri" w:hAnsi="Calibri"/>
          <w:b w:val="0"/>
          <w:i w:val="0"/>
          <w:color w:val="1F2937"/>
          <w:sz w:val="22"/>
        </w:rPr>
        <w:t>Phoenix Metals B.V. hanteert de volgende algemene doelen voor de preventie van zware ongevallen:</w:t>
      </w:r>
    </w:p>
    <w:tbl>
      <w:tblPr>
        <w:tblStyle w:val="TableGrid"/>
        <w:tblW w:type="auto" w:w="0"/>
        <w:jc w:val="center"/>
        <w:tblLook w:firstColumn="1" w:firstRow="1" w:lastColumn="0" w:lastRow="0" w:noHBand="0" w:noVBand="1" w:val="04A0"/>
      </w:tblPr>
      <w:tblGrid>
        <w:gridCol w:w="4536"/>
        <w:gridCol w:w="4536"/>
      </w:tblGrid>
      <w:tr>
        <w:tc>
          <w:tcPr>
            <w:tcW w:type="dxa" w:w="2835"/>
            <w:shd w:fill="003366"/>
          </w:tcPr>
          <w:p>
            <w:pPr>
              <w:jc w:val="left"/>
            </w:pPr>
            <w:r/>
            <w:r>
              <w:rPr>
                <w:rFonts w:ascii="Calibri" w:hAnsi="Calibri"/>
                <w:b/>
                <w:color w:val="FFFFFF"/>
                <w:sz w:val="20"/>
              </w:rPr>
              <w:t>Uitgangspunt</w:t>
            </w:r>
          </w:p>
        </w:tc>
        <w:tc>
          <w:tcPr>
            <w:tcW w:type="dxa" w:w="6803"/>
            <w:shd w:fill="003366"/>
          </w:tcPr>
          <w:p>
            <w:pPr>
              <w:jc w:val="left"/>
            </w:pPr>
            <w:r/>
            <w:r>
              <w:rPr>
                <w:rFonts w:ascii="Calibri" w:hAnsi="Calibri"/>
                <w:b/>
                <w:color w:val="FFFFFF"/>
                <w:sz w:val="20"/>
              </w:rPr>
              <w:t>Invulling Phoenix Metals</w:t>
            </w:r>
          </w:p>
        </w:tc>
      </w:tr>
      <w:tr>
        <w:tc>
          <w:tcPr>
            <w:tcW w:type="dxa" w:w="2835"/>
          </w:tcPr>
          <w:p>
            <w:r/>
            <w:r>
              <w:rPr>
                <w:rFonts w:ascii="Calibri" w:hAnsi="Calibri"/>
                <w:color w:val="1F2937"/>
                <w:sz w:val="20"/>
              </w:rPr>
              <w:t>Veiligheid als randvoorwaarde</w:t>
            </w:r>
          </w:p>
        </w:tc>
        <w:tc>
          <w:tcPr>
            <w:tcW w:type="dxa" w:w="6803"/>
          </w:tcPr>
          <w:p>
            <w:r/>
            <w:r>
              <w:rPr>
                <w:rFonts w:ascii="Calibri" w:hAnsi="Calibri"/>
                <w:color w:val="1F2937"/>
                <w:sz w:val="20"/>
              </w:rPr>
              <w:t>Elke activiteit op de PlantOne-locatie start met een veiligheidsafweging. Geen enkele operationele druk rechtvaardigt het nemen van onaanvaardbare risico's.</w:t>
            </w:r>
          </w:p>
        </w:tc>
      </w:tr>
      <w:tr>
        <w:tc>
          <w:tcPr>
            <w:tcW w:type="dxa" w:w="2835"/>
            <w:shd w:fill="F3F4F6"/>
          </w:tcPr>
          <w:p>
            <w:r/>
            <w:r>
              <w:rPr>
                <w:rFonts w:ascii="Calibri" w:hAnsi="Calibri"/>
                <w:color w:val="1F2937"/>
                <w:sz w:val="20"/>
              </w:rPr>
              <w:t>ALARP-principe</w:t>
            </w:r>
          </w:p>
        </w:tc>
        <w:tc>
          <w:tcPr>
            <w:tcW w:type="dxa" w:w="6803"/>
            <w:shd w:fill="F3F4F6"/>
          </w:tcPr>
          <w:p>
            <w:r/>
            <w:r>
              <w:rPr>
                <w:rFonts w:ascii="Calibri" w:hAnsi="Calibri"/>
                <w:color w:val="1F2937"/>
                <w:sz w:val="20"/>
              </w:rPr>
              <w:t>Risico's op zware ongevallen worden gereduceerd tot een niveau dat zo laag als redelijkerwijs mogelijk is (As Low As Reasonably Practicable) [9].</w:t>
            </w:r>
          </w:p>
        </w:tc>
      </w:tr>
      <w:tr>
        <w:tc>
          <w:tcPr>
            <w:tcW w:type="dxa" w:w="2835"/>
          </w:tcPr>
          <w:p>
            <w:r/>
            <w:r>
              <w:rPr>
                <w:rFonts w:ascii="Calibri" w:hAnsi="Calibri"/>
                <w:color w:val="1F2937"/>
                <w:sz w:val="20"/>
              </w:rPr>
              <w:t>Preventie boven reactie</w:t>
            </w:r>
          </w:p>
        </w:tc>
        <w:tc>
          <w:tcPr>
            <w:tcW w:type="dxa" w:w="6803"/>
          </w:tcPr>
          <w:p>
            <w:r/>
            <w:r>
              <w:rPr>
                <w:rFonts w:ascii="Calibri" w:hAnsi="Calibri"/>
                <w:color w:val="1F2937"/>
                <w:sz w:val="20"/>
              </w:rPr>
              <w:t>Het systeem is gericht op het voorkomen van incidenten, niet op het beperken van gevolgen achteraf. Leading indicators prevaleren boven lagging indicators.</w:t>
            </w:r>
          </w:p>
        </w:tc>
      </w:tr>
      <w:tr>
        <w:tc>
          <w:tcPr>
            <w:tcW w:type="dxa" w:w="2835"/>
            <w:shd w:fill="F3F4F6"/>
          </w:tcPr>
          <w:p>
            <w:r/>
            <w:r>
              <w:rPr>
                <w:rFonts w:ascii="Calibri" w:hAnsi="Calibri"/>
                <w:color w:val="1F2937"/>
                <w:sz w:val="20"/>
              </w:rPr>
              <w:t>Hiërarchie van beheersmaatregelen</w:t>
            </w:r>
          </w:p>
        </w:tc>
        <w:tc>
          <w:tcPr>
            <w:tcW w:type="dxa" w:w="6803"/>
            <w:shd w:fill="F3F4F6"/>
          </w:tcPr>
          <w:p>
            <w:r/>
            <w:r>
              <w:rPr>
                <w:rFonts w:ascii="Calibri" w:hAnsi="Calibri"/>
                <w:color w:val="1F2937"/>
                <w:sz w:val="20"/>
              </w:rPr>
              <w:t>Bronbestrijding → Technische maatregelen → Organisatorische maatregelen → Persoonlijke beschermingsmiddelen. Deze hiërarchie wordt bij elke risicobeoordeling consequent toegepast.</w:t>
            </w:r>
          </w:p>
        </w:tc>
      </w:tr>
      <w:tr>
        <w:tc>
          <w:tcPr>
            <w:tcW w:type="dxa" w:w="2835"/>
          </w:tcPr>
          <w:p>
            <w:r/>
            <w:r>
              <w:rPr>
                <w:rFonts w:ascii="Calibri" w:hAnsi="Calibri"/>
                <w:color w:val="1F2937"/>
                <w:sz w:val="20"/>
              </w:rPr>
              <w:t>Leren van incidenten</w:t>
            </w:r>
          </w:p>
        </w:tc>
        <w:tc>
          <w:tcPr>
            <w:tcW w:type="dxa" w:w="6803"/>
          </w:tcPr>
          <w:p>
            <w:r/>
            <w:r>
              <w:rPr>
                <w:rFonts w:ascii="Calibri" w:hAnsi="Calibri"/>
                <w:color w:val="1F2937"/>
                <w:sz w:val="20"/>
              </w:rPr>
              <w:t>Elk incident, near-miss en afwijking wordt geanalyseerd op root causes. De organisatie hanteert een no-blame cultuur voor het melden van onveilige situaties.</w:t>
            </w:r>
          </w:p>
        </w:tc>
      </w:tr>
      <w:tr>
        <w:tc>
          <w:tcPr>
            <w:tcW w:type="dxa" w:w="2835"/>
            <w:shd w:fill="F3F4F6"/>
          </w:tcPr>
          <w:p>
            <w:r/>
            <w:r>
              <w:rPr>
                <w:rFonts w:ascii="Calibri" w:hAnsi="Calibri"/>
                <w:color w:val="1F2937"/>
                <w:sz w:val="20"/>
              </w:rPr>
              <w:t>Betrokkenheid werkvloer</w:t>
            </w:r>
          </w:p>
        </w:tc>
        <w:tc>
          <w:tcPr>
            <w:tcW w:type="dxa" w:w="6803"/>
            <w:shd w:fill="F3F4F6"/>
          </w:tcPr>
          <w:p>
            <w:r/>
            <w:r>
              <w:rPr>
                <w:rFonts w:ascii="Calibri" w:hAnsi="Calibri"/>
                <w:color w:val="1F2937"/>
                <w:sz w:val="20"/>
              </w:rPr>
              <w:t>Operatoren zijn mede-eigenaar van veiligheid. Taakrisico-analyses (TRA) worden gezamenlijk uitgevoerd door uitvoerenden en toezichthouders.</w:t>
            </w:r>
          </w:p>
        </w:tc>
      </w:tr>
    </w:tbl>
    <w:p>
      <w:pPr>
        <w:pStyle w:val="Heading2"/>
      </w:pPr>
      <w:r>
        <w:rPr>
          <w:color w:val="003366"/>
        </w:rPr>
        <w:t>4.2 Aard en omvang van risico's zware ongevallen</w:t>
      </w:r>
    </w:p>
    <w:p>
      <w:pPr>
        <w:spacing w:after="120"/>
      </w:pPr>
      <w:r>
        <w:rPr>
          <w:rFonts w:ascii="Calibri" w:hAnsi="Calibri"/>
          <w:b w:val="0"/>
          <w:i w:val="0"/>
          <w:color w:val="1F2937"/>
          <w:sz w:val="22"/>
        </w:rPr>
        <w:t>De risico's op zware ongevallen bij Phoenix Metals zijn specifiek verbonden aan de aard van de bedrijfsactiviteiten. De volgende risicocategorieën zijn geïdentificeerd:</w:t>
      </w:r>
    </w:p>
    <w:tbl>
      <w:tblPr>
        <w:tblStyle w:val="TableGrid"/>
        <w:tblW w:type="auto" w:w="0"/>
        <w:jc w:val="center"/>
        <w:tblLook w:firstColumn="1" w:firstRow="1" w:lastColumn="0" w:lastRow="0" w:noHBand="0" w:noVBand="1" w:val="04A0"/>
      </w:tblPr>
      <w:tblGrid>
        <w:gridCol w:w="3024"/>
        <w:gridCol w:w="3024"/>
        <w:gridCol w:w="3024"/>
      </w:tblGrid>
      <w:tr>
        <w:tc>
          <w:tcPr>
            <w:tcW w:type="dxa" w:w="2268"/>
            <w:shd w:fill="003366"/>
          </w:tcPr>
          <w:p>
            <w:pPr>
              <w:jc w:val="left"/>
            </w:pPr>
            <w:r/>
            <w:r>
              <w:rPr>
                <w:rFonts w:ascii="Calibri" w:hAnsi="Calibri"/>
                <w:b/>
                <w:color w:val="FFFFFF"/>
                <w:sz w:val="20"/>
              </w:rPr>
              <w:t>Risicocategorie</w:t>
            </w:r>
          </w:p>
        </w:tc>
        <w:tc>
          <w:tcPr>
            <w:tcW w:type="dxa" w:w="3402"/>
            <w:shd w:fill="003366"/>
          </w:tcPr>
          <w:p>
            <w:pPr>
              <w:jc w:val="left"/>
            </w:pPr>
            <w:r/>
            <w:r>
              <w:rPr>
                <w:rFonts w:ascii="Calibri" w:hAnsi="Calibri"/>
                <w:b/>
                <w:color w:val="FFFFFF"/>
                <w:sz w:val="20"/>
              </w:rPr>
              <w:t>Specifiek voor Phoenix Metals</w:t>
            </w:r>
          </w:p>
        </w:tc>
        <w:tc>
          <w:tcPr>
            <w:tcW w:type="dxa" w:w="3969"/>
            <w:shd w:fill="003366"/>
          </w:tcPr>
          <w:p>
            <w:pPr>
              <w:jc w:val="left"/>
            </w:pPr>
            <w:r/>
            <w:r>
              <w:rPr>
                <w:rFonts w:ascii="Calibri" w:hAnsi="Calibri"/>
                <w:b/>
                <w:color w:val="FFFFFF"/>
                <w:sz w:val="20"/>
              </w:rPr>
              <w:t>Potentieel scenario</w:t>
            </w:r>
          </w:p>
        </w:tc>
      </w:tr>
      <w:tr>
        <w:tc>
          <w:tcPr>
            <w:tcW w:type="dxa" w:w="2268"/>
          </w:tcPr>
          <w:p>
            <w:r/>
            <w:r>
              <w:rPr>
                <w:rFonts w:ascii="Calibri" w:hAnsi="Calibri"/>
                <w:color w:val="1F2937"/>
                <w:sz w:val="20"/>
              </w:rPr>
              <w:t>Chemische blootstelling (zuren)</w:t>
            </w:r>
          </w:p>
        </w:tc>
        <w:tc>
          <w:tcPr>
            <w:tcW w:type="dxa" w:w="3402"/>
          </w:tcPr>
          <w:p>
            <w:r/>
            <w:r>
              <w:rPr>
                <w:rFonts w:ascii="Calibri" w:hAnsi="Calibri"/>
                <w:color w:val="1F2937"/>
                <w:sz w:val="20"/>
              </w:rPr>
              <w:t>Zwavelzuur (H₂SO₄) en zoutzuur (HCl) worden in geconcentreerde vorm gebruikt voor uitloging. Opslag in IBC's en procesvaten.</w:t>
            </w:r>
          </w:p>
        </w:tc>
        <w:tc>
          <w:tcPr>
            <w:tcW w:type="dxa" w:w="3969"/>
          </w:tcPr>
          <w:p>
            <w:r/>
            <w:r>
              <w:rPr>
                <w:rFonts w:ascii="Calibri" w:hAnsi="Calibri"/>
                <w:color w:val="1F2937"/>
                <w:sz w:val="20"/>
              </w:rPr>
              <w:t>Loss of containment (LoC) door lekkage of vatfalen → brandwonden, toxiciteit, bodemverontreiniging</w:t>
            </w:r>
          </w:p>
        </w:tc>
      </w:tr>
      <w:tr>
        <w:tc>
          <w:tcPr>
            <w:tcW w:type="dxa" w:w="2268"/>
            <w:shd w:fill="F3F4F6"/>
          </w:tcPr>
          <w:p>
            <w:r/>
            <w:r>
              <w:rPr>
                <w:rFonts w:ascii="Calibri" w:hAnsi="Calibri"/>
                <w:color w:val="1F2937"/>
                <w:sz w:val="20"/>
              </w:rPr>
              <w:t>Brand- en explosiegevaar (oplosmiddelen)</w:t>
            </w:r>
          </w:p>
        </w:tc>
        <w:tc>
          <w:tcPr>
            <w:tcW w:type="dxa" w:w="3402"/>
            <w:shd w:fill="F3F4F6"/>
          </w:tcPr>
          <w:p>
            <w:r/>
            <w:r>
              <w:rPr>
                <w:rFonts w:ascii="Calibri" w:hAnsi="Calibri"/>
                <w:color w:val="1F2937"/>
                <w:sz w:val="20"/>
              </w:rPr>
              <w:t>Organische oplosmiddelen voor solvent extractie (bijv. kerosine, extractanten). Opslag in PGS 15-conforme kasten.</w:t>
            </w:r>
          </w:p>
        </w:tc>
        <w:tc>
          <w:tcPr>
            <w:tcW w:type="dxa" w:w="3969"/>
            <w:shd w:fill="F3F4F6"/>
          </w:tcPr>
          <w:p>
            <w:r/>
            <w:r>
              <w:rPr>
                <w:rFonts w:ascii="Calibri" w:hAnsi="Calibri"/>
                <w:color w:val="1F2937"/>
                <w:sz w:val="20"/>
              </w:rPr>
              <w:t>LoC oplosmiddel → brandbaar dampmengsel → ontsteking → brand/explosie</w:t>
            </w:r>
          </w:p>
        </w:tc>
      </w:tr>
      <w:tr>
        <w:tc>
          <w:tcPr>
            <w:tcW w:type="dxa" w:w="2268"/>
          </w:tcPr>
          <w:p>
            <w:r/>
            <w:r>
              <w:rPr>
                <w:rFonts w:ascii="Calibri" w:hAnsi="Calibri"/>
                <w:color w:val="1F2937"/>
                <w:sz w:val="20"/>
              </w:rPr>
              <w:t>Metaalstof en stofexplosie</w:t>
            </w:r>
          </w:p>
        </w:tc>
        <w:tc>
          <w:tcPr>
            <w:tcW w:type="dxa" w:w="3402"/>
          </w:tcPr>
          <w:p>
            <w:r/>
            <w:r>
              <w:rPr>
                <w:rFonts w:ascii="Calibri" w:hAnsi="Calibri"/>
                <w:color w:val="1F2937"/>
                <w:sz w:val="20"/>
              </w:rPr>
              <w:t>Droge bewerking van vanadiumhoudende residuen, slijpen, zeven, transport van poeders.</w:t>
            </w:r>
          </w:p>
        </w:tc>
        <w:tc>
          <w:tcPr>
            <w:tcW w:type="dxa" w:w="3969"/>
          </w:tcPr>
          <w:p>
            <w:r/>
            <w:r>
              <w:rPr>
                <w:rFonts w:ascii="Calibri" w:hAnsi="Calibri"/>
                <w:color w:val="1F2937"/>
                <w:sz w:val="20"/>
              </w:rPr>
              <w:t>Opwarming van stofwolk → stofexplosie (Kst-waarde afhankelijk van materiaal)</w:t>
            </w:r>
          </w:p>
        </w:tc>
      </w:tr>
      <w:tr>
        <w:tc>
          <w:tcPr>
            <w:tcW w:type="dxa" w:w="2268"/>
            <w:shd w:fill="F3F4F6"/>
          </w:tcPr>
          <w:p>
            <w:r/>
            <w:r>
              <w:rPr>
                <w:rFonts w:ascii="Calibri" w:hAnsi="Calibri"/>
                <w:color w:val="1F2937"/>
                <w:sz w:val="20"/>
              </w:rPr>
              <w:t>Toxiciteit vanadiumverbindingen</w:t>
            </w:r>
          </w:p>
        </w:tc>
        <w:tc>
          <w:tcPr>
            <w:tcW w:type="dxa" w:w="3402"/>
            <w:shd w:fill="F3F4F6"/>
          </w:tcPr>
          <w:p>
            <w:r/>
            <w:r>
              <w:rPr>
                <w:rFonts w:ascii="Calibri" w:hAnsi="Calibri"/>
                <w:color w:val="1F2937"/>
                <w:sz w:val="20"/>
              </w:rPr>
              <w:t>V₂O₅ is ingedeeld als toxisch bij inademing (H331) en irriterend (H335) conform CLP [6]. REACH-geregistreerd.</w:t>
            </w:r>
          </w:p>
        </w:tc>
        <w:tc>
          <w:tcPr>
            <w:tcW w:type="dxa" w:w="3969"/>
            <w:shd w:fill="F3F4F6"/>
          </w:tcPr>
          <w:p>
            <w:r/>
            <w:r>
              <w:rPr>
                <w:rFonts w:ascii="Calibri" w:hAnsi="Calibri"/>
                <w:color w:val="1F2937"/>
                <w:sz w:val="20"/>
              </w:rPr>
              <w:t>Inademing van V₂O₅-stof bij LoC → acute en chronische gezondheidseffecten</w:t>
            </w:r>
          </w:p>
        </w:tc>
      </w:tr>
      <w:tr>
        <w:tc>
          <w:tcPr>
            <w:tcW w:type="dxa" w:w="2268"/>
          </w:tcPr>
          <w:p>
            <w:r/>
            <w:r>
              <w:rPr>
                <w:rFonts w:ascii="Calibri" w:hAnsi="Calibri"/>
                <w:color w:val="1F2937"/>
                <w:sz w:val="20"/>
              </w:rPr>
              <w:t>Reactieve stoffencombinaties</w:t>
            </w:r>
          </w:p>
        </w:tc>
        <w:tc>
          <w:tcPr>
            <w:tcW w:type="dxa" w:w="3402"/>
          </w:tcPr>
          <w:p>
            <w:r/>
            <w:r>
              <w:rPr>
                <w:rFonts w:ascii="Calibri" w:hAnsi="Calibri"/>
                <w:color w:val="1F2937"/>
                <w:sz w:val="20"/>
              </w:rPr>
              <w:t>Zuren in combinatie met metalen kunnen waterstofgas ontwikkelen. Mengen van onverenigbare stoffen.</w:t>
            </w:r>
          </w:p>
        </w:tc>
        <w:tc>
          <w:tcPr>
            <w:tcW w:type="dxa" w:w="3969"/>
          </w:tcPr>
          <w:p>
            <w:r/>
            <w:r>
              <w:rPr>
                <w:rFonts w:ascii="Calibri" w:hAnsi="Calibri"/>
                <w:color w:val="1F2937"/>
                <w:sz w:val="20"/>
              </w:rPr>
              <w:t>Exotherme reactie → gasontwikkeling → overdruk → vatruptuur</w:t>
            </w:r>
          </w:p>
        </w:tc>
      </w:tr>
      <w:tr>
        <w:tc>
          <w:tcPr>
            <w:tcW w:type="dxa" w:w="2268"/>
            <w:shd w:fill="F3F4F6"/>
          </w:tcPr>
          <w:p>
            <w:r/>
            <w:r>
              <w:rPr>
                <w:rFonts w:ascii="Calibri" w:hAnsi="Calibri"/>
                <w:color w:val="1F2937"/>
                <w:sz w:val="20"/>
              </w:rPr>
              <w:t>Procesafwijkingen</w:t>
            </w:r>
          </w:p>
        </w:tc>
        <w:tc>
          <w:tcPr>
            <w:tcW w:type="dxa" w:w="3402"/>
            <w:shd w:fill="F3F4F6"/>
          </w:tcPr>
          <w:p>
            <w:r/>
            <w:r>
              <w:rPr>
                <w:rFonts w:ascii="Calibri" w:hAnsi="Calibri"/>
                <w:color w:val="1F2937"/>
                <w:sz w:val="20"/>
              </w:rPr>
              <w:t>Proeffabriek met experimentele procesvoering; parameterafwijkingen komen vaker voor dan in routineuze productie.</w:t>
            </w:r>
          </w:p>
        </w:tc>
        <w:tc>
          <w:tcPr>
            <w:tcW w:type="dxa" w:w="3969"/>
            <w:shd w:fill="F3F4F6"/>
          </w:tcPr>
          <w:p>
            <w:r/>
            <w:r>
              <w:rPr>
                <w:rFonts w:ascii="Calibri" w:hAnsi="Calibri"/>
                <w:color w:val="1F2937"/>
                <w:sz w:val="20"/>
              </w:rPr>
              <w:t>Temperatuur- of druksafwijking → LoC → kettingreactie</w:t>
            </w:r>
          </w:p>
        </w:tc>
      </w:tr>
    </w:tbl>
    <w:p>
      <w:pPr>
        <w:pStyle w:val="Heading2"/>
      </w:pPr>
      <w:r>
        <w:rPr>
          <w:color w:val="003366"/>
        </w:rPr>
        <w:t>4.3 Criteria voor vaststelling risico's</w:t>
      </w:r>
    </w:p>
    <w:p>
      <w:pPr>
        <w:spacing w:after="120"/>
      </w:pPr>
      <w:r>
        <w:rPr>
          <w:rFonts w:ascii="Calibri" w:hAnsi="Calibri"/>
          <w:b w:val="0"/>
          <w:i w:val="0"/>
          <w:color w:val="1F2937"/>
          <w:sz w:val="22"/>
        </w:rPr>
        <w:t>Risico's worden vastgesteld conform een gestructureerde risicomatrix, gebaseerd op de combinatie van waarschijnlijkheid en effect (ernst). De volgende criteria gelden:</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2551"/>
            <w:shd w:fill="003366"/>
          </w:tcPr>
          <w:p>
            <w:pPr>
              <w:jc w:val="left"/>
            </w:pPr>
            <w:r/>
            <w:r>
              <w:rPr>
                <w:rFonts w:ascii="Calibri" w:hAnsi="Calibri"/>
                <w:b/>
                <w:color w:val="FFFFFF"/>
                <w:sz w:val="20"/>
              </w:rPr>
              <w:t>Waarschijnlijkheid →</w:t>
              <w:br/>
              <w:t>Effect ↓</w:t>
            </w:r>
          </w:p>
        </w:tc>
        <w:tc>
          <w:tcPr>
            <w:tcW w:type="dxa" w:w="1814"/>
            <w:shd w:fill="003366"/>
          </w:tcPr>
          <w:p>
            <w:pPr>
              <w:jc w:val="left"/>
            </w:pPr>
            <w:r/>
            <w:r>
              <w:rPr>
                <w:rFonts w:ascii="Calibri" w:hAnsi="Calibri"/>
                <w:b/>
                <w:color w:val="FFFFFF"/>
                <w:sz w:val="20"/>
              </w:rPr>
              <w:t>Zeer onwaarschijnlijk</w:t>
              <w:br/>
              <w:t>(1x per &gt;10 jaar)</w:t>
            </w:r>
          </w:p>
        </w:tc>
        <w:tc>
          <w:tcPr>
            <w:tcW w:type="dxa" w:w="1814"/>
            <w:shd w:fill="003366"/>
          </w:tcPr>
          <w:p>
            <w:pPr>
              <w:jc w:val="left"/>
            </w:pPr>
            <w:r/>
            <w:r>
              <w:rPr>
                <w:rFonts w:ascii="Calibri" w:hAnsi="Calibri"/>
                <w:b/>
                <w:color w:val="FFFFFF"/>
                <w:sz w:val="20"/>
              </w:rPr>
              <w:t>Onwaarschijnlijk</w:t>
              <w:br/>
              <w:t>(1x per 5–10 jaar)</w:t>
            </w:r>
          </w:p>
        </w:tc>
        <w:tc>
          <w:tcPr>
            <w:tcW w:type="dxa" w:w="1814"/>
            <w:shd w:fill="003366"/>
          </w:tcPr>
          <w:p>
            <w:pPr>
              <w:jc w:val="left"/>
            </w:pPr>
            <w:r/>
            <w:r>
              <w:rPr>
                <w:rFonts w:ascii="Calibri" w:hAnsi="Calibri"/>
                <w:b/>
                <w:color w:val="FFFFFF"/>
                <w:sz w:val="20"/>
              </w:rPr>
              <w:t>Mogelijk</w:t>
              <w:br/>
              <w:t>(1x per 1–5 jaar)</w:t>
            </w:r>
          </w:p>
        </w:tc>
        <w:tc>
          <w:tcPr>
            <w:tcW w:type="dxa" w:w="1814"/>
            <w:shd w:fill="003366"/>
          </w:tcPr>
          <w:p>
            <w:pPr>
              <w:jc w:val="left"/>
            </w:pPr>
            <w:r/>
            <w:r>
              <w:rPr>
                <w:rFonts w:ascii="Calibri" w:hAnsi="Calibri"/>
                <w:b/>
                <w:color w:val="FFFFFF"/>
                <w:sz w:val="20"/>
              </w:rPr>
              <w:t>Waarschijnlijk</w:t>
              <w:br/>
              <w:t>(&gt;1x per jaar)</w:t>
            </w:r>
          </w:p>
        </w:tc>
      </w:tr>
      <w:tr>
        <w:tc>
          <w:tcPr>
            <w:tcW w:type="dxa" w:w="2551"/>
          </w:tcPr>
          <w:p>
            <w:r/>
            <w:r>
              <w:rPr>
                <w:rFonts w:ascii="Calibri" w:hAnsi="Calibri"/>
                <w:color w:val="1F2937"/>
                <w:sz w:val="20"/>
              </w:rPr>
              <w:t>Catastrofaal</w:t>
              <w:br/>
              <w:t>(≥1 dode, impact &gt; bedrijfsgrens)</w:t>
            </w:r>
          </w:p>
        </w:tc>
        <w:tc>
          <w:tcPr>
            <w:tcW w:type="dxa" w:w="1814"/>
          </w:tcPr>
          <w:p>
            <w:r/>
            <w:r>
              <w:rPr>
                <w:rFonts w:ascii="Calibri" w:hAnsi="Calibri"/>
                <w:color w:val="1F2937"/>
                <w:sz w:val="20"/>
              </w:rPr>
              <w:t>Midden</w:t>
            </w:r>
          </w:p>
        </w:tc>
        <w:tc>
          <w:tcPr>
            <w:tcW w:type="dxa" w:w="1814"/>
          </w:tcPr>
          <w:p>
            <w:r/>
            <w:r>
              <w:rPr>
                <w:rFonts w:ascii="Calibri" w:hAnsi="Calibri"/>
                <w:color w:val="1F2937"/>
                <w:sz w:val="20"/>
              </w:rPr>
              <w:t>Hoog</w:t>
            </w:r>
          </w:p>
        </w:tc>
        <w:tc>
          <w:tcPr>
            <w:tcW w:type="dxa" w:w="1814"/>
          </w:tcPr>
          <w:p>
            <w:r/>
            <w:r>
              <w:rPr>
                <w:rFonts w:ascii="Calibri" w:hAnsi="Calibri"/>
                <w:color w:val="1F2937"/>
                <w:sz w:val="20"/>
              </w:rPr>
              <w:t>Zeer hoog</w:t>
            </w:r>
          </w:p>
        </w:tc>
        <w:tc>
          <w:tcPr>
            <w:tcW w:type="dxa" w:w="1814"/>
          </w:tcPr>
          <w:p>
            <w:r/>
            <w:r>
              <w:rPr>
                <w:rFonts w:ascii="Calibri" w:hAnsi="Calibri"/>
                <w:color w:val="1F2937"/>
                <w:sz w:val="20"/>
              </w:rPr>
              <w:t>Zeer hoog</w:t>
            </w:r>
          </w:p>
        </w:tc>
      </w:tr>
      <w:tr>
        <w:tc>
          <w:tcPr>
            <w:tcW w:type="dxa" w:w="2551"/>
            <w:shd w:fill="F3F4F6"/>
          </w:tcPr>
          <w:p>
            <w:r/>
            <w:r>
              <w:rPr>
                <w:rFonts w:ascii="Calibri" w:hAnsi="Calibri"/>
                <w:color w:val="1F2937"/>
                <w:sz w:val="20"/>
              </w:rPr>
              <w:t>Ernstig</w:t>
              <w:br/>
              <w:t>(blijvend letsel, impact &gt; afdeling)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Midden</w:t>
            </w:r>
          </w:p>
        </w:tc>
        <w:tc>
          <w:tcPr>
            <w:tcW w:type="dxa" w:w="1814"/>
            <w:shd w:fill="F3F4F6"/>
          </w:tcPr>
          <w:p>
            <w:r/>
            <w:r>
              <w:rPr>
                <w:rFonts w:ascii="Calibri" w:hAnsi="Calibri"/>
                <w:color w:val="1F2937"/>
                <w:sz w:val="20"/>
              </w:rPr>
              <w:t>Hoog</w:t>
            </w:r>
          </w:p>
        </w:tc>
        <w:tc>
          <w:tcPr>
            <w:tcW w:type="dxa" w:w="1814"/>
            <w:shd w:fill="F3F4F6"/>
          </w:tcPr>
          <w:p>
            <w:r/>
            <w:r>
              <w:rPr>
                <w:rFonts w:ascii="Calibri" w:hAnsi="Calibri"/>
                <w:color w:val="1F2937"/>
                <w:sz w:val="20"/>
              </w:rPr>
              <w:t>Zeer hoog</w:t>
            </w:r>
          </w:p>
        </w:tc>
      </w:tr>
      <w:tr>
        <w:tc>
          <w:tcPr>
            <w:tcW w:type="dxa" w:w="2551"/>
          </w:tcPr>
          <w:p>
            <w:r/>
            <w:r>
              <w:rPr>
                <w:rFonts w:ascii="Calibri" w:hAnsi="Calibri"/>
                <w:color w:val="1F2937"/>
                <w:sz w:val="20"/>
              </w:rPr>
              <w:t>Matig</w:t>
              <w:br/>
              <w:t>(verzuim, beperkte milieu-impact)</w:t>
            </w:r>
          </w:p>
        </w:tc>
        <w:tc>
          <w:tcPr>
            <w:tcW w:type="dxa" w:w="1814"/>
          </w:tcPr>
          <w:p>
            <w:r/>
            <w:r>
              <w:rPr>
                <w:rFonts w:ascii="Calibri" w:hAnsi="Calibri"/>
                <w:color w:val="1F2937"/>
                <w:sz w:val="20"/>
              </w:rPr>
              <w:t>Laag</w:t>
            </w:r>
          </w:p>
        </w:tc>
        <w:tc>
          <w:tcPr>
            <w:tcW w:type="dxa" w:w="1814"/>
          </w:tcPr>
          <w:p>
            <w:r/>
            <w:r>
              <w:rPr>
                <w:rFonts w:ascii="Calibri" w:hAnsi="Calibri"/>
                <w:color w:val="1F2937"/>
                <w:sz w:val="20"/>
              </w:rPr>
              <w:t>Laag</w:t>
            </w:r>
          </w:p>
        </w:tc>
        <w:tc>
          <w:tcPr>
            <w:tcW w:type="dxa" w:w="1814"/>
          </w:tcPr>
          <w:p>
            <w:r/>
            <w:r>
              <w:rPr>
                <w:rFonts w:ascii="Calibri" w:hAnsi="Calibri"/>
                <w:color w:val="1F2937"/>
                <w:sz w:val="20"/>
              </w:rPr>
              <w:t>Midden</w:t>
            </w:r>
          </w:p>
        </w:tc>
        <w:tc>
          <w:tcPr>
            <w:tcW w:type="dxa" w:w="1814"/>
          </w:tcPr>
          <w:p>
            <w:r/>
            <w:r>
              <w:rPr>
                <w:rFonts w:ascii="Calibri" w:hAnsi="Calibri"/>
                <w:color w:val="1F2937"/>
                <w:sz w:val="20"/>
              </w:rPr>
              <w:t>Hoog</w:t>
            </w:r>
          </w:p>
        </w:tc>
      </w:tr>
      <w:tr>
        <w:tc>
          <w:tcPr>
            <w:tcW w:type="dxa" w:w="2551"/>
            <w:shd w:fill="F3F4F6"/>
          </w:tcPr>
          <w:p>
            <w:r/>
            <w:r>
              <w:rPr>
                <w:rFonts w:ascii="Calibri" w:hAnsi="Calibri"/>
                <w:color w:val="1F2937"/>
                <w:sz w:val="20"/>
              </w:rPr>
              <w:t>Gering</w:t>
              <w:br/>
              <w:t>(EHBO, geen milieu-impact)</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Laag</w:t>
            </w:r>
          </w:p>
        </w:tc>
        <w:tc>
          <w:tcPr>
            <w:tcW w:type="dxa" w:w="1814"/>
            <w:shd w:fill="F3F4F6"/>
          </w:tcPr>
          <w:p>
            <w:r/>
            <w:r>
              <w:rPr>
                <w:rFonts w:ascii="Calibri" w:hAnsi="Calibri"/>
                <w:color w:val="1F2937"/>
                <w:sz w:val="20"/>
              </w:rPr>
              <w:t>Midden</w:t>
            </w:r>
          </w:p>
        </w:tc>
      </w:tr>
    </w:tbl>
    <w:p>
      <w:pPr>
        <w:spacing w:after="120"/>
      </w:pPr>
      <w:r>
        <w:rPr>
          <w:rFonts w:ascii="Calibri" w:hAnsi="Calibri"/>
          <w:b w:val="0"/>
          <w:i w:val="0"/>
          <w:color w:val="1F2937"/>
          <w:sz w:val="22"/>
        </w:rPr>
      </w:r>
    </w:p>
    <w:p>
      <w:pPr>
        <w:spacing w:after="120"/>
      </w:pPr>
      <w:r>
        <w:rPr>
          <w:rFonts w:ascii="Calibri" w:hAnsi="Calibri"/>
          <w:b/>
          <w:i w:val="0"/>
          <w:color w:val="1F2937"/>
          <w:sz w:val="22"/>
        </w:rPr>
        <w:t>Risicoclassificatie:</w:t>
      </w:r>
    </w:p>
    <w:p>
      <w:pPr>
        <w:pStyle w:val="ListBullet"/>
      </w:pPr>
      <w:r>
        <w:rPr>
          <w:rFonts w:ascii="Calibri" w:hAnsi="Calibri"/>
          <w:sz w:val="20"/>
        </w:rPr>
        <w:t>Zeer hoog → Onmiddellijke actie vereist; werk mag niet starten tot risico is gereduceerd</w:t>
      </w:r>
    </w:p>
    <w:p>
      <w:pPr>
        <w:pStyle w:val="ListBullet"/>
      </w:pPr>
      <w:r>
        <w:rPr>
          <w:rFonts w:ascii="Calibri" w:hAnsi="Calibri"/>
          <w:sz w:val="20"/>
        </w:rPr>
        <w:t>Hoog → Maatregelen vereist binnen 30 dagen; risicoverlagend plan nodig</w:t>
      </w:r>
    </w:p>
    <w:p>
      <w:pPr>
        <w:pStyle w:val="ListBullet"/>
      </w:pPr>
      <w:r>
        <w:rPr>
          <w:rFonts w:ascii="Calibri" w:hAnsi="Calibri"/>
          <w:sz w:val="20"/>
        </w:rPr>
        <w:t>Midden → Maatregelen vereist binnen 90 dagen; monitoring versterken</w:t>
      </w:r>
    </w:p>
    <w:p>
      <w:pPr>
        <w:pStyle w:val="ListBullet"/>
      </w:pPr>
      <w:r>
        <w:rPr>
          <w:rFonts w:ascii="Calibri" w:hAnsi="Calibri"/>
          <w:sz w:val="20"/>
        </w:rPr>
        <w:t>Laag → Acceptabel; reguliere monitoring volstaat</w:t>
      </w:r>
    </w:p>
    <w:p>
      <w:pPr>
        <w:spacing w:after="120"/>
      </w:pPr>
      <w:r>
        <w:rPr>
          <w:rFonts w:ascii="Calibri" w:hAnsi="Calibri"/>
          <w:b w:val="0"/>
          <w:i w:val="0"/>
          <w:color w:val="1F2937"/>
          <w:sz w:val="22"/>
        </w:rP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spacing w:after="120"/>
      </w:pPr>
      <w:r>
        <w:rPr>
          <w:rFonts w:ascii="Calibri" w:hAnsi="Calibri"/>
          <w:b w:val="0"/>
          <w:i w:val="0"/>
          <w:color w:val="1F2937"/>
          <w:sz w:val="22"/>
        </w:rPr>
        <w:t>Phoenix Metals hanteert een gelaagde set preventieve en beschermende maatregelen:</w:t>
      </w:r>
    </w:p>
    <w:tbl>
      <w:tblPr>
        <w:tblStyle w:val="TableGrid"/>
        <w:tblW w:type="auto" w:w="0"/>
        <w:jc w:val="center"/>
        <w:tblLook w:firstColumn="1" w:firstRow="1" w:lastColumn="0" w:lastRow="0" w:noHBand="0" w:noVBand="1" w:val="04A0"/>
      </w:tblPr>
      <w:tblGrid>
        <w:gridCol w:w="4536"/>
        <w:gridCol w:w="4536"/>
      </w:tblGrid>
      <w:tr>
        <w:tc>
          <w:tcPr>
            <w:tcW w:type="dxa" w:w="2551"/>
            <w:shd w:fill="003366"/>
          </w:tcPr>
          <w:p>
            <w:pPr>
              <w:jc w:val="left"/>
            </w:pPr>
            <w:r/>
            <w:r>
              <w:rPr>
                <w:rFonts w:ascii="Calibri" w:hAnsi="Calibri"/>
                <w:b/>
                <w:color w:val="FFFFFF"/>
                <w:sz w:val="20"/>
              </w:rPr>
              <w:t>Maatregelenniveau</w:t>
            </w:r>
          </w:p>
        </w:tc>
        <w:tc>
          <w:tcPr>
            <w:tcW w:type="dxa" w:w="7087"/>
            <w:shd w:fill="003366"/>
          </w:tcPr>
          <w:p>
            <w:pPr>
              <w:jc w:val="left"/>
            </w:pPr>
            <w:r/>
            <w:r>
              <w:rPr>
                <w:rFonts w:ascii="Calibri" w:hAnsi="Calibri"/>
                <w:b/>
                <w:color w:val="FFFFFF"/>
                <w:sz w:val="20"/>
              </w:rPr>
              <w:t>Concrete invulling Phoenix Metals</w:t>
            </w:r>
          </w:p>
        </w:tc>
      </w:tr>
      <w:tr>
        <w:tc>
          <w:tcPr>
            <w:tcW w:type="dxa" w:w="2551"/>
          </w:tcPr>
          <w:p>
            <w:r/>
            <w:r>
              <w:rPr>
                <w:rFonts w:ascii="Calibri" w:hAnsi="Calibri"/>
                <w:color w:val="1F2937"/>
                <w:sz w:val="20"/>
              </w:rPr>
              <w:t>Bronbestrijding</w:t>
            </w:r>
          </w:p>
        </w:tc>
        <w:tc>
          <w:tcPr>
            <w:tcW w:type="dxa" w:w="7087"/>
          </w:tcPr>
          <w:p>
            <w:r/>
            <w:r>
              <w:rPr>
                <w:rFonts w:ascii="Calibri" w:hAnsi="Calibri"/>
                <w:color w:val="1F2937"/>
                <w:sz w:val="20"/>
              </w:rPr>
              <w:t>Minimalisatie van opgeslagen hoeveelheden gevaarlijke stoffen (just-in-time levering); substitutie waar mogelijk (bijv. verdund zuur waar geconcentreerd niet nodig is).</w:t>
            </w:r>
          </w:p>
        </w:tc>
      </w:tr>
      <w:tr>
        <w:tc>
          <w:tcPr>
            <w:tcW w:type="dxa" w:w="2551"/>
            <w:shd w:fill="F3F4F6"/>
          </w:tcPr>
          <w:p>
            <w:r/>
            <w:r>
              <w:rPr>
                <w:rFonts w:ascii="Calibri" w:hAnsi="Calibri"/>
                <w:color w:val="1F2937"/>
                <w:sz w:val="20"/>
              </w:rPr>
              <w:t>Technische maatregelen</w:t>
            </w:r>
          </w:p>
        </w:tc>
        <w:tc>
          <w:tcPr>
            <w:tcW w:type="dxa" w:w="7087"/>
            <w:shd w:fill="F3F4F6"/>
          </w:tcPr>
          <w:p>
            <w:r/>
            <w:r>
              <w:rPr>
                <w:rFonts w:ascii="Calibri" w:hAnsi="Calibri"/>
                <w:color w:val="1F2937"/>
                <w:sz w:val="20"/>
              </w:rPr>
              <w:t>Dubbele wanden op kritieke vaten; lekbakken onder IBC's; GAS-detectie op oplosmiddelen en zuurdampen; explosiebeveiliging (venting, suppressie) op stof-kritieke apparatuur; afzuiging (LEV) op alle overgangspunten.</w:t>
            </w:r>
          </w:p>
        </w:tc>
      </w:tr>
      <w:tr>
        <w:tc>
          <w:tcPr>
            <w:tcW w:type="dxa" w:w="2551"/>
          </w:tcPr>
          <w:p>
            <w:r/>
            <w:r>
              <w:rPr>
                <w:rFonts w:ascii="Calibri" w:hAnsi="Calibri"/>
                <w:color w:val="1F2937"/>
                <w:sz w:val="20"/>
              </w:rPr>
              <w:t>Organisatorische maatregelen</w:t>
            </w:r>
          </w:p>
        </w:tc>
        <w:tc>
          <w:tcPr>
            <w:tcW w:type="dxa" w:w="7087"/>
          </w:tcPr>
          <w:p>
            <w:r/>
            <w:r>
              <w:rPr>
                <w:rFonts w:ascii="Calibri" w:hAnsi="Calibri"/>
                <w:color w:val="1F2937"/>
                <w:sz w:val="20"/>
              </w:rPr>
              <w:t>Permit-to-Work (PtW) systeem (PE-290-01) voor niet-standaard werk; Lockout/Tagout (LOTO) bij onderhoud; Taakrisico-analyse (TRA) voor elke afwijkende taak; operationele procedures (VWP's) voor alle kritieke processen.</w:t>
            </w:r>
          </w:p>
        </w:tc>
      </w:tr>
      <w:tr>
        <w:tc>
          <w:tcPr>
            <w:tcW w:type="dxa" w:w="2551"/>
            <w:shd w:fill="F3F4F6"/>
          </w:tcPr>
          <w:p>
            <w:r/>
            <w:r>
              <w:rPr>
                <w:rFonts w:ascii="Calibri" w:hAnsi="Calibri"/>
                <w:color w:val="1F2937"/>
                <w:sz w:val="20"/>
              </w:rPr>
              <w:t>Persoonlijke beschermingsmiddelen</w:t>
            </w:r>
          </w:p>
        </w:tc>
        <w:tc>
          <w:tcPr>
            <w:tcW w:type="dxa" w:w="7087"/>
            <w:shd w:fill="F3F4F6"/>
          </w:tcPr>
          <w:p>
            <w:r/>
            <w:r>
              <w:rPr>
                <w:rFonts w:ascii="Calibri" w:hAnsi="Calibri"/>
                <w:color w:val="1F2937"/>
                <w:sz w:val="20"/>
              </w:rPr>
              <w:t>Functiespecifieke PBM-matrix: zuurbestendige handschoenen, veiligheidsbril, adembescherming (bij V₂O₅-stof), gehoorbescherming. PBM is de laatste schil, nooit het primaire middel.</w:t>
            </w:r>
          </w:p>
        </w:tc>
      </w:tr>
      <w:tr>
        <w:tc>
          <w:tcPr>
            <w:tcW w:type="dxa" w:w="2551"/>
          </w:tcPr>
          <w:p>
            <w:r/>
            <w:r>
              <w:rPr>
                <w:rFonts w:ascii="Calibri" w:hAnsi="Calibri"/>
                <w:color w:val="1F2937"/>
                <w:sz w:val="20"/>
              </w:rPr>
              <w:t>Noodorganisatie</w:t>
            </w:r>
          </w:p>
        </w:tc>
        <w:tc>
          <w:tcPr>
            <w:tcW w:type="dxa" w:w="7087"/>
          </w:tcPr>
          <w:p>
            <w:r/>
            <w:r>
              <w:rPr>
                <w:rFonts w:ascii="Calibri" w:hAnsi="Calibri"/>
                <w:color w:val="1F2937"/>
                <w:sz w:val="20"/>
              </w:rPr>
              <w:t>Intern Bedrijfsnoodplan (BNP) met BNO-leider, BEDRIJFSBRANDWEER-functionaris, evacuatiecoördinator; alarmeringssystemen; oefenschema: 2x per jaar volle oefening, 4x tabletop.</w:t>
            </w:r>
          </w:p>
        </w:tc>
      </w:tr>
    </w:tbl>
    <w:p>
      <w:pPr>
        <w:pStyle w:val="Heading2"/>
      </w:pPr>
      <w:r>
        <w:rPr>
          <w:color w:val="003366"/>
        </w:rPr>
        <w:t>4.5 Rol en verantwoordelijkheid management</w:t>
      </w:r>
    </w:p>
    <w:p>
      <w:pPr>
        <w:spacing w:after="120"/>
      </w:pPr>
      <w:r>
        <w:rPr>
          <w:rFonts w:ascii="Calibri" w:hAnsi="Calibri"/>
          <w:b w:val="0"/>
          <w:i w:val="0"/>
          <w:color w:val="1F2937"/>
          <w:sz w:val="22"/>
        </w:rPr>
        <w:t>De Directie van Phoenix Metals B.V. draagt de eindverantwoordelijkheid voor de preventie van zware ongevallen. Deze verantwoordelijkheid omvat:</w:t>
      </w:r>
    </w:p>
    <w:p>
      <w:pPr>
        <w:pStyle w:val="ListBullet"/>
      </w:pPr>
      <w:r>
        <w:rPr>
          <w:rFonts w:ascii="Calibri" w:hAnsi="Calibri"/>
          <w:sz w:val="22"/>
        </w:rPr>
        <w:t>Goedkeuring en ondertekening van het PBZO</w:t>
      </w:r>
    </w:p>
    <w:p>
      <w:pPr>
        <w:pStyle w:val="ListBullet"/>
      </w:pPr>
      <w:r>
        <w:rPr>
          <w:rFonts w:ascii="Calibri" w:hAnsi="Calibri"/>
          <w:sz w:val="22"/>
        </w:rPr>
        <w:t>Toewijzing van voldoende budget en middelen voor VBS-implementatie en -handhaving</w:t>
      </w:r>
    </w:p>
    <w:p>
      <w:pPr>
        <w:pStyle w:val="ListBullet"/>
      </w:pPr>
      <w:r>
        <w:rPr>
          <w:rFonts w:ascii="Calibri" w:hAnsi="Calibri"/>
          <w:sz w:val="22"/>
        </w:rPr>
        <w:t>Benoeming van een HSE Manager belast met de dagelijkse coördinatie van het VBS</w:t>
      </w:r>
    </w:p>
    <w:p>
      <w:pPr>
        <w:pStyle w:val="ListBullet"/>
      </w:pPr>
      <w:r>
        <w:rPr>
          <w:rFonts w:ascii="Calibri" w:hAnsi="Calibri"/>
          <w:sz w:val="22"/>
        </w:rPr>
        <w:t>Zicht houden op veiligheidsprestaties via kwartaalrapportages van de HSE Manager</w:t>
      </w:r>
    </w:p>
    <w:p>
      <w:pPr>
        <w:pStyle w:val="ListBullet"/>
      </w:pPr>
      <w:r>
        <w:rPr>
          <w:rFonts w:ascii="Calibri" w:hAnsi="Calibri"/>
          <w:sz w:val="22"/>
        </w:rPr>
        <w:t>Voortouw nemen bij de jaarlijkse management review van het PBZO</w:t>
      </w:r>
    </w:p>
    <w:p>
      <w:pPr>
        <w:pStyle w:val="ListBullet"/>
      </w:pPr>
      <w:r>
        <w:rPr>
          <w:rFonts w:ascii="Calibri" w:hAnsi="Calibri"/>
          <w:sz w:val="22"/>
        </w:rPr>
        <w:t>Escalatiepunt bij incidenten met potentieel ernstige gevolgen</w:t>
      </w:r>
    </w:p>
    <w:p>
      <w:pPr>
        <w:spacing w:after="120"/>
      </w:pPr>
      <w:r>
        <w:rPr>
          <w:rFonts w:ascii="Calibri" w:hAnsi="Calibri"/>
          <w:b w:val="0"/>
          <w:i w:val="0"/>
          <w:color w:val="1F2937"/>
          <w:sz w:val="22"/>
        </w:rP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spacing w:after="120"/>
      </w:pPr>
      <w:r>
        <w:rPr>
          <w:rFonts w:ascii="Calibri" w:hAnsi="Calibri"/>
          <w:b w:val="0"/>
          <w:i w:val="0"/>
          <w:color w:val="1F2937"/>
          <w:sz w:val="22"/>
        </w:rPr>
        <w:t>Phoenix Metals B.V. is toegewijd aan een continue verbetering van de veiligheidsprestaties, conform de PDCA-cyclus (Plan-Do-Check-Act) [7]. Dit impliceert:</w:t>
      </w:r>
    </w:p>
    <w:p>
      <w:pPr>
        <w:pStyle w:val="ListBullet"/>
      </w:pPr>
      <w:r>
        <w:rPr>
          <w:rFonts w:ascii="Calibri" w:hAnsi="Calibri"/>
          <w:sz w:val="22"/>
        </w:rPr>
        <w:t>Plan: Jaarlijks vaststellen van veiligheidsdoelstellingen en bijbehorend actieplan</w:t>
      </w:r>
    </w:p>
    <w:p>
      <w:pPr>
        <w:pStyle w:val="ListBullet"/>
      </w:pPr>
      <w:r>
        <w:rPr>
          <w:rFonts w:ascii="Calibri" w:hAnsi="Calibri"/>
          <w:sz w:val="22"/>
        </w:rPr>
        <w:t>Do: Implementatie van maatregelen, trainingen en procedures conform planning</w:t>
      </w:r>
    </w:p>
    <w:p>
      <w:pPr>
        <w:pStyle w:val="ListBullet"/>
      </w:pPr>
      <w:r>
        <w:rPr>
          <w:rFonts w:ascii="Calibri" w:hAnsi="Calibri"/>
          <w:sz w:val="22"/>
        </w:rPr>
        <w:t>Check: Meten van prestaties via KPI's (zie hoofdstuk 7), interne audits en incidentanalyses</w:t>
      </w:r>
    </w:p>
    <w:p>
      <w:pPr>
        <w:pStyle w:val="ListBullet"/>
      </w:pPr>
      <w:r>
        <w:rPr>
          <w:rFonts w:ascii="Calibri" w:hAnsi="Calibri"/>
          <w:sz w:val="22"/>
        </w:rPr>
        <w:t>Act: Bijsturen op basis van bevindingen; actualiseren van procedures en het PBZO</w:t>
      </w:r>
    </w:p>
    <w:p>
      <w:pPr>
        <w:spacing w:after="120"/>
      </w:pPr>
      <w:r>
        <w:rPr>
          <w:rFonts w:ascii="Calibri" w:hAnsi="Calibri"/>
          <w:b w:val="0"/>
          <w:i w:val="0"/>
          <w:color w:val="1F2937"/>
          <w:sz w:val="22"/>
        </w:rP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r>
        <w:br w:type="page"/>
      </w:r>
    </w:p>
    <w:p>
      <w:pPr>
        <w:pStyle w:val="Heading1"/>
      </w:pPr>
      <w:r>
        <w:rPr>
          <w:color w:val="003366"/>
        </w:rPr>
        <w:t>5. Organisatorische structuur</w:t>
      </w:r>
    </w:p>
    <w:p>
      <w:pPr>
        <w:pStyle w:val="Heading2"/>
      </w:pPr>
      <w:r>
        <w:rPr>
          <w:color w:val="003366"/>
        </w:rPr>
        <w:t>5.1 Veiligheidsorganigram</w:t>
      </w:r>
    </w:p>
    <w:p>
      <w:pPr>
        <w:spacing w:after="120"/>
      </w:pPr>
      <w:r>
        <w:rPr>
          <w:rFonts w:ascii="Calibri" w:hAnsi="Calibri"/>
          <w:b w:val="0"/>
          <w:i w:val="0"/>
          <w:color w:val="1F2937"/>
          <w:sz w:val="22"/>
        </w:rPr>
        <w:t>De veiligheidsorganisatiestructuur van Phoenix Metals B.V. kent de volgende hiërarchie en rapportagelijnen:</w:t>
      </w:r>
    </w:p>
    <w:p>
      <w:pPr>
        <w:spacing w:after="120"/>
      </w:pPr>
      <w:r>
        <w:rPr>
          <w:rFonts w:ascii="Calibri" w:hAnsi="Calibri"/>
          <w:b w:val="0"/>
          <w:i w:val="0"/>
          <w:color w:val="1F2937"/>
          <w:sz w:val="22"/>
        </w:rPr>
        <w:t xml:space="preserve">                                  Directie (Stijn van Zelst)</w:t>
      </w:r>
    </w:p>
    <w:p>
      <w:pPr>
        <w:spacing w:after="120"/>
      </w:pPr>
      <w:r>
        <w:rPr>
          <w:rFonts w:ascii="Calibri" w:hAnsi="Calibri"/>
          <w:b w:val="0"/>
          <w:i w:val="0"/>
          <w:color w:val="1F2937"/>
          <w:sz w:val="22"/>
        </w:rPr>
        <w:t xml:space="preserve">                                         │</w:t>
      </w:r>
    </w:p>
    <w:p>
      <w:pPr>
        <w:spacing w:after="120"/>
      </w:pPr>
      <w:r>
        <w:rPr>
          <w:rFonts w:ascii="Calibri" w:hAnsi="Calibri"/>
          <w:b w:val="0"/>
          <w:i w:val="0"/>
          <w:color w:val="1F2937"/>
          <w:sz w:val="22"/>
        </w:rPr>
        <w:t xml:space="preserve">                              Plant Manager</w:t>
      </w:r>
    </w:p>
    <w:p>
      <w:pPr>
        <w:spacing w:after="120"/>
      </w:pPr>
      <w:r>
        <w:rPr>
          <w:rFonts w:ascii="Calibri" w:hAnsi="Calibri"/>
          <w:b w:val="0"/>
          <w:i w:val="0"/>
          <w:color w:val="1F2937"/>
          <w:sz w:val="22"/>
        </w:rPr>
        <w:t xml:space="preserve">                               ╱          ╲</w:t>
      </w:r>
    </w:p>
    <w:p>
      <w:pPr>
        <w:spacing w:after="120"/>
      </w:pPr>
      <w:r>
        <w:rPr>
          <w:rFonts w:ascii="Calibri" w:hAnsi="Calibri"/>
          <w:b w:val="0"/>
          <w:i w:val="0"/>
          <w:color w:val="1F2937"/>
          <w:sz w:val="22"/>
        </w:rPr>
        <w:t xml:space="preserve">                    HSE Manager          Proces Engineer</w:t>
      </w:r>
    </w:p>
    <w:p>
      <w:pPr>
        <w:spacing w:after="120"/>
      </w:pPr>
      <w:r>
        <w:rPr>
          <w:rFonts w:ascii="Calibri" w:hAnsi="Calibri"/>
          <w:b w:val="0"/>
          <w:i w:val="0"/>
          <w:color w:val="1F2937"/>
          <w:sz w:val="22"/>
        </w:rPr>
        <w:t xml:space="preserve">                         │                      │</w:t>
      </w:r>
    </w:p>
    <w:p>
      <w:pPr>
        <w:spacing w:after="120"/>
      </w:pPr>
      <w:r>
        <w:rPr>
          <w:rFonts w:ascii="Calibri" w:hAnsi="Calibri"/>
          <w:b w:val="0"/>
          <w:i w:val="0"/>
          <w:color w:val="1F2937"/>
          <w:sz w:val="22"/>
        </w:rPr>
        <w:t xml:space="preserve">               Voormannen / Lijnmanagers</w:t>
      </w:r>
    </w:p>
    <w:p>
      <w:pPr>
        <w:spacing w:after="120"/>
      </w:pPr>
      <w:r>
        <w:rPr>
          <w:rFonts w:ascii="Calibri" w:hAnsi="Calibri"/>
          <w:b w:val="0"/>
          <w:i w:val="0"/>
          <w:color w:val="1F2937"/>
          <w:sz w:val="22"/>
        </w:rPr>
        <w:t xml:space="preserve">                         │</w:t>
      </w:r>
    </w:p>
    <w:p>
      <w:pPr>
        <w:spacing w:after="120"/>
      </w:pPr>
      <w:r>
        <w:rPr>
          <w:rFonts w:ascii="Calibri" w:hAnsi="Calibri"/>
          <w:b w:val="0"/>
          <w:i/>
          <w:color w:val="1F2937"/>
          <w:sz w:val="22"/>
        </w:rPr>
        <w:t xml:space="preserve">              Operatoren / Technici / Onderaannemers</w:t>
      </w:r>
    </w:p>
    <w:p>
      <w:pPr>
        <w:spacing w:after="120"/>
      </w:pPr>
      <w:r>
        <w:rPr>
          <w:rFonts w:ascii="Calibri" w:hAnsi="Calibri"/>
          <w:b w:val="0"/>
          <w:i/>
          <w:color w:val="1F2937"/>
          <w:sz w:val="20"/>
        </w:rPr>
        <w:t>(Een grafisch organigram is opgenomen in Bijlage A.)</w:t>
      </w:r>
    </w:p>
    <w:p>
      <w:pPr>
        <w:pStyle w:val="Heading2"/>
      </w:pPr>
      <w:r>
        <w:rPr>
          <w:color w:val="003366"/>
        </w:rPr>
        <w:t>5.2 Rollen en verantwoordelijkheden</w:t>
      </w:r>
    </w:p>
    <w:tbl>
      <w:tblPr>
        <w:tblStyle w:val="TableGrid"/>
        <w:tblW w:type="auto" w:w="0"/>
        <w:jc w:val="center"/>
        <w:tblLook w:firstColumn="1" w:firstRow="1" w:lastColumn="0" w:lastRow="0" w:noHBand="0" w:noVBand="1" w:val="04A0"/>
      </w:tblPr>
      <w:tblGrid>
        <w:gridCol w:w="3024"/>
        <w:gridCol w:w="3024"/>
        <w:gridCol w:w="3024"/>
      </w:tblGrid>
      <w:tr>
        <w:tc>
          <w:tcPr>
            <w:tcW w:type="dxa" w:w="1984"/>
            <w:shd w:fill="003366"/>
          </w:tcPr>
          <w:p>
            <w:pPr>
              <w:jc w:val="left"/>
            </w:pPr>
            <w:r/>
            <w:r>
              <w:rPr>
                <w:rFonts w:ascii="Calibri" w:hAnsi="Calibri"/>
                <w:b/>
                <w:color w:val="FFFFFF"/>
                <w:sz w:val="20"/>
              </w:rPr>
              <w:t>Rol</w:t>
            </w:r>
          </w:p>
        </w:tc>
        <w:tc>
          <w:tcPr>
            <w:tcW w:type="dxa" w:w="5102"/>
            <w:shd w:fill="003366"/>
          </w:tcPr>
          <w:p>
            <w:pPr>
              <w:jc w:val="left"/>
            </w:pPr>
            <w:r/>
            <w:r>
              <w:rPr>
                <w:rFonts w:ascii="Calibri" w:hAnsi="Calibri"/>
                <w:b/>
                <w:color w:val="FFFFFF"/>
                <w:sz w:val="20"/>
              </w:rPr>
              <w:t>Verantwoordelijkheid m.b.t. PBZO</w:t>
            </w:r>
          </w:p>
        </w:tc>
        <w:tc>
          <w:tcPr>
            <w:tcW w:type="dxa" w:w="1984"/>
            <w:shd w:fill="003366"/>
          </w:tcPr>
          <w:p>
            <w:pPr>
              <w:jc w:val="left"/>
            </w:pPr>
            <w:r/>
            <w:r>
              <w:rPr>
                <w:rFonts w:ascii="Calibri" w:hAnsi="Calibri"/>
                <w:b/>
                <w:color w:val="FFFFFF"/>
                <w:sz w:val="20"/>
              </w:rPr>
              <w:t>Frequentie</w:t>
            </w:r>
          </w:p>
        </w:tc>
      </w:tr>
      <w:tr>
        <w:tc>
          <w:tcPr>
            <w:tcW w:type="dxa" w:w="1984"/>
          </w:tcPr>
          <w:p>
            <w:r/>
            <w:r>
              <w:rPr>
                <w:rFonts w:ascii="Calibri" w:hAnsi="Calibri"/>
                <w:color w:val="1F2937"/>
                <w:sz w:val="20"/>
              </w:rPr>
              <w:t>Directie</w:t>
              <w:br/>
              <w:t>(Managing Director)</w:t>
            </w:r>
          </w:p>
        </w:tc>
        <w:tc>
          <w:tcPr>
            <w:tcW w:type="dxa" w:w="5102"/>
          </w:tcPr>
          <w:p>
            <w:r/>
            <w:r>
              <w:rPr>
                <w:rFonts w:ascii="Calibri" w:hAnsi="Calibri"/>
                <w:color w:val="1F2937"/>
                <w:sz w:val="20"/>
              </w:rPr>
              <w:t>Eindverantwoordelijkheid PBZO; goedkeuring beleid; middelentoewijzing; jaarlijkse review</w:t>
            </w:r>
          </w:p>
        </w:tc>
        <w:tc>
          <w:tcPr>
            <w:tcW w:type="dxa" w:w="1984"/>
          </w:tcPr>
          <w:p>
            <w:r/>
            <w:r>
              <w:rPr>
                <w:rFonts w:ascii="Calibri" w:hAnsi="Calibri"/>
                <w:color w:val="1F2937"/>
                <w:sz w:val="20"/>
              </w:rPr>
              <w:t>Jaarlijks + ad hoc</w:t>
            </w:r>
          </w:p>
        </w:tc>
      </w:tr>
      <w:tr>
        <w:tc>
          <w:tcPr>
            <w:tcW w:type="dxa" w:w="1984"/>
            <w:shd w:fill="F3F4F6"/>
          </w:tcPr>
          <w:p>
            <w:r/>
            <w:r>
              <w:rPr>
                <w:rFonts w:ascii="Calibri" w:hAnsi="Calibri"/>
                <w:color w:val="1F2937"/>
                <w:sz w:val="20"/>
              </w:rPr>
              <w:t>Plant Manager</w:t>
            </w:r>
          </w:p>
        </w:tc>
        <w:tc>
          <w:tcPr>
            <w:tcW w:type="dxa" w:w="5102"/>
            <w:shd w:fill="F3F4F6"/>
          </w:tcPr>
          <w:p>
            <w:r/>
            <w:r>
              <w:rPr>
                <w:rFonts w:ascii="Calibri" w:hAnsi="Calibri"/>
                <w:color w:val="1F2937"/>
                <w:sz w:val="20"/>
              </w:rPr>
              <w:t>Operationele uitvoering PBZO; bewaken VBS-kader; escalatiepunt werkvloer; goedkeuring MoC's</w:t>
            </w:r>
          </w:p>
        </w:tc>
        <w:tc>
          <w:tcPr>
            <w:tcW w:type="dxa" w:w="1984"/>
            <w:shd w:fill="F3F4F6"/>
          </w:tcPr>
          <w:p>
            <w:r/>
            <w:r>
              <w:rPr>
                <w:rFonts w:ascii="Calibri" w:hAnsi="Calibri"/>
                <w:color w:val="1F2937"/>
                <w:sz w:val="20"/>
              </w:rPr>
              <w:t>Dagelijks</w:t>
            </w:r>
          </w:p>
        </w:tc>
      </w:tr>
      <w:tr>
        <w:tc>
          <w:tcPr>
            <w:tcW w:type="dxa" w:w="1984"/>
          </w:tcPr>
          <w:p>
            <w:r/>
            <w:r>
              <w:rPr>
                <w:rFonts w:ascii="Calibri" w:hAnsi="Calibri"/>
                <w:color w:val="1F2937"/>
                <w:sz w:val="20"/>
              </w:rPr>
              <w:t>HSE Manager</w:t>
            </w:r>
          </w:p>
        </w:tc>
        <w:tc>
          <w:tcPr>
            <w:tcW w:type="dxa" w:w="5102"/>
          </w:tcPr>
          <w:p>
            <w:r/>
            <w:r>
              <w:rPr>
                <w:rFonts w:ascii="Calibri" w:hAnsi="Calibri"/>
                <w:color w:val="1F2937"/>
                <w:sz w:val="20"/>
              </w:rPr>
              <w:t>Methodische ondersteuning VBS; RI&amp;E en TRA-toezicht; incidentanalyse; opleidingenplanning; auditcoördinatie</w:t>
            </w:r>
          </w:p>
        </w:tc>
        <w:tc>
          <w:tcPr>
            <w:tcW w:type="dxa" w:w="1984"/>
          </w:tcPr>
          <w:p>
            <w:r/>
            <w:r>
              <w:rPr>
                <w:rFonts w:ascii="Calibri" w:hAnsi="Calibri"/>
                <w:color w:val="1F2937"/>
                <w:sz w:val="20"/>
              </w:rPr>
              <w:t>Continu</w:t>
            </w:r>
          </w:p>
        </w:tc>
      </w:tr>
      <w:tr>
        <w:tc>
          <w:tcPr>
            <w:tcW w:type="dxa" w:w="1984"/>
            <w:shd w:fill="F3F4F6"/>
          </w:tcPr>
          <w:p>
            <w:r/>
            <w:r>
              <w:rPr>
                <w:rFonts w:ascii="Calibri" w:hAnsi="Calibri"/>
                <w:color w:val="1F2937"/>
                <w:sz w:val="20"/>
              </w:rPr>
              <w:t>Proces Engineer</w:t>
            </w:r>
          </w:p>
        </w:tc>
        <w:tc>
          <w:tcPr>
            <w:tcW w:type="dxa" w:w="5102"/>
            <w:shd w:fill="F3F4F6"/>
          </w:tcPr>
          <w:p>
            <w:r/>
            <w:r>
              <w:rPr>
                <w:rFonts w:ascii="Calibri" w:hAnsi="Calibri"/>
                <w:color w:val="1F2937"/>
                <w:sz w:val="20"/>
              </w:rPr>
              <w:t>Technische integriteit installaties; procesveiligheid; ontwerp beheersmaatregelen; ATEX-classificatie</w:t>
            </w:r>
          </w:p>
        </w:tc>
        <w:tc>
          <w:tcPr>
            <w:tcW w:type="dxa" w:w="1984"/>
            <w:shd w:fill="F3F4F6"/>
          </w:tcPr>
          <w:p>
            <w:r/>
            <w:r>
              <w:rPr>
                <w:rFonts w:ascii="Calibri" w:hAnsi="Calibri"/>
                <w:color w:val="1F2937"/>
                <w:sz w:val="20"/>
              </w:rPr>
              <w:t>Continu</w:t>
            </w:r>
          </w:p>
        </w:tc>
      </w:tr>
      <w:tr>
        <w:tc>
          <w:tcPr>
            <w:tcW w:type="dxa" w:w="1984"/>
          </w:tcPr>
          <w:p>
            <w:r/>
            <w:r>
              <w:rPr>
                <w:rFonts w:ascii="Calibri" w:hAnsi="Calibri"/>
                <w:color w:val="1F2937"/>
                <w:sz w:val="20"/>
              </w:rPr>
              <w:t>Voormannen / Lijnmanagers</w:t>
            </w:r>
          </w:p>
        </w:tc>
        <w:tc>
          <w:tcPr>
            <w:tcW w:type="dxa" w:w="5102"/>
          </w:tcPr>
          <w:p>
            <w:r/>
            <w:r>
              <w:rPr>
                <w:rFonts w:ascii="Calibri" w:hAnsi="Calibri"/>
                <w:color w:val="1F2937"/>
                <w:sz w:val="20"/>
              </w:rPr>
              <w:t>Dagelijkse veiligheidstools (toolbox, TRA, werkplekinspecties); toezicht op procedures</w:t>
            </w:r>
          </w:p>
        </w:tc>
        <w:tc>
          <w:tcPr>
            <w:tcW w:type="dxa" w:w="1984"/>
          </w:tcPr>
          <w:p>
            <w:r/>
            <w:r>
              <w:rPr>
                <w:rFonts w:ascii="Calibri" w:hAnsi="Calibri"/>
                <w:color w:val="1F2937"/>
                <w:sz w:val="20"/>
              </w:rPr>
              <w:t>Dagelijks</w:t>
            </w:r>
          </w:p>
        </w:tc>
      </w:tr>
      <w:tr>
        <w:tc>
          <w:tcPr>
            <w:tcW w:type="dxa" w:w="1984"/>
            <w:shd w:fill="F3F4F6"/>
          </w:tcPr>
          <w:p>
            <w:r/>
            <w:r>
              <w:rPr>
                <w:rFonts w:ascii="Calibri" w:hAnsi="Calibri"/>
                <w:color w:val="1F2937"/>
                <w:sz w:val="20"/>
              </w:rPr>
              <w:t>Operatoren</w:t>
            </w:r>
          </w:p>
        </w:tc>
        <w:tc>
          <w:tcPr>
            <w:tcW w:type="dxa" w:w="5102"/>
            <w:shd w:fill="F3F4F6"/>
          </w:tcPr>
          <w:p>
            <w:r/>
            <w:r>
              <w:rPr>
                <w:rFonts w:ascii="Calibri" w:hAnsi="Calibri"/>
                <w:color w:val="1F2937"/>
                <w:sz w:val="20"/>
              </w:rPr>
              <w:t>Veilig werken volgens procedures; near-miss rapporteren; TRA meewerken; PBM-gebruik</w:t>
            </w:r>
          </w:p>
        </w:tc>
        <w:tc>
          <w:tcPr>
            <w:tcW w:type="dxa" w:w="1984"/>
            <w:shd w:fill="F3F4F6"/>
          </w:tcPr>
          <w:p>
            <w:r/>
            <w:r>
              <w:rPr>
                <w:rFonts w:ascii="Calibri" w:hAnsi="Calibri"/>
                <w:color w:val="1F2937"/>
                <w:sz w:val="20"/>
              </w:rPr>
              <w:t>Continu</w:t>
            </w:r>
          </w:p>
        </w:tc>
      </w:tr>
      <w:tr>
        <w:tc>
          <w:tcPr>
            <w:tcW w:type="dxa" w:w="1984"/>
          </w:tcPr>
          <w:p>
            <w:r/>
            <w:r>
              <w:rPr>
                <w:rFonts w:ascii="Calibri" w:hAnsi="Calibri"/>
                <w:color w:val="1F2937"/>
                <w:sz w:val="20"/>
              </w:rPr>
              <w:t>Onderaannemers</w:t>
            </w:r>
          </w:p>
        </w:tc>
        <w:tc>
          <w:tcPr>
            <w:tcW w:type="dxa" w:w="5102"/>
          </w:tcPr>
          <w:p>
            <w:r/>
            <w:r>
              <w:rPr>
                <w:rFonts w:ascii="Calibri" w:hAnsi="Calibri"/>
                <w:color w:val="1F2937"/>
                <w:sz w:val="20"/>
              </w:rPr>
              <w:t>Voldoen aan Phoenix Metals VBS-eisen; geldige certificeringen; TRA voor alle werkzaamheden</w:t>
            </w:r>
          </w:p>
        </w:tc>
        <w:tc>
          <w:tcPr>
            <w:tcW w:type="dxa" w:w="1984"/>
          </w:tcPr>
          <w:p>
            <w:r/>
            <w:r>
              <w:rPr>
                <w:rFonts w:ascii="Calibri" w:hAnsi="Calibri"/>
                <w:color w:val="1F2937"/>
                <w:sz w:val="20"/>
              </w:rPr>
              <w:t>Per opdracht</w:t>
            </w:r>
          </w:p>
        </w:tc>
      </w:tr>
      <w:tr>
        <w:tc>
          <w:tcPr>
            <w:tcW w:type="dxa" w:w="1984"/>
            <w:shd w:fill="F3F4F6"/>
          </w:tcPr>
          <w:p>
            <w:r/>
            <w:r>
              <w:rPr>
                <w:rFonts w:ascii="Calibri" w:hAnsi="Calibri"/>
                <w:color w:val="1F2937"/>
                <w:sz w:val="20"/>
              </w:rPr>
              <w:t>Veiligheidskundige (HVK)</w:t>
            </w:r>
          </w:p>
        </w:tc>
        <w:tc>
          <w:tcPr>
            <w:tcW w:type="dxa" w:w="5102"/>
            <w:shd w:fill="F3F4F6"/>
          </w:tcPr>
          <w:p>
            <w:r/>
            <w:r>
              <w:rPr>
                <w:rFonts w:ascii="Calibri" w:hAnsi="Calibri"/>
                <w:color w:val="1F2937"/>
                <w:sz w:val="20"/>
              </w:rPr>
              <w:t>Onafhankelijk advies PBZO; scenario-analyses; afstemming toezichthouders</w:t>
            </w:r>
          </w:p>
        </w:tc>
        <w:tc>
          <w:tcPr>
            <w:tcW w:type="dxa" w:w="1984"/>
            <w:shd w:fill="F3F4F6"/>
          </w:tcPr>
          <w:p>
            <w:r/>
            <w:r>
              <w:rPr>
                <w:rFonts w:ascii="Calibri" w:hAnsi="Calibri"/>
                <w:color w:val="1F2937"/>
                <w:sz w:val="20"/>
              </w:rPr>
              <w:t>Structureel</w:t>
            </w:r>
          </w:p>
        </w:tc>
      </w:tr>
    </w:tbl>
    <w:p>
      <w:pPr>
        <w:pStyle w:val="Heading2"/>
      </w:pPr>
      <w:r>
        <w:rPr>
          <w:color w:val="003366"/>
        </w:rPr>
        <w:t>5.3 Rapportagelijnen</w:t>
      </w:r>
    </w:p>
    <w:p>
      <w:pPr>
        <w:spacing w:after="120"/>
      </w:pPr>
      <w:r>
        <w:rPr>
          <w:rFonts w:ascii="Calibri" w:hAnsi="Calibri"/>
          <w:b w:val="0"/>
          <w:i w:val="0"/>
          <w:color w:val="1F2937"/>
          <w:sz w:val="22"/>
        </w:rPr>
        <w:t>De veiligheidsrapportagestructuur is als volgt ingericht:</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551"/>
            <w:shd w:fill="003366"/>
          </w:tcPr>
          <w:p>
            <w:pPr>
              <w:jc w:val="left"/>
            </w:pPr>
            <w:r/>
            <w:r>
              <w:rPr>
                <w:rFonts w:ascii="Calibri" w:hAnsi="Calibri"/>
                <w:b/>
                <w:color w:val="FFFFFF"/>
                <w:sz w:val="20"/>
              </w:rPr>
              <w:t>Rapportage</w:t>
            </w:r>
          </w:p>
        </w:tc>
        <w:tc>
          <w:tcPr>
            <w:tcW w:type="dxa" w:w="2268"/>
            <w:shd w:fill="003366"/>
          </w:tcPr>
          <w:p>
            <w:pPr>
              <w:jc w:val="left"/>
            </w:pPr>
            <w:r/>
            <w:r>
              <w:rPr>
                <w:rFonts w:ascii="Calibri" w:hAnsi="Calibri"/>
                <w:b/>
                <w:color w:val="FFFFFF"/>
                <w:sz w:val="20"/>
              </w:rPr>
              <w:t>Door</w:t>
            </w:r>
          </w:p>
        </w:tc>
        <w:tc>
          <w:tcPr>
            <w:tcW w:type="dxa" w:w="2551"/>
            <w:shd w:fill="003366"/>
          </w:tcPr>
          <w:p>
            <w:pPr>
              <w:jc w:val="left"/>
            </w:pPr>
            <w:r/>
            <w:r>
              <w:rPr>
                <w:rFonts w:ascii="Calibri" w:hAnsi="Calibri"/>
                <w:b/>
                <w:color w:val="FFFFFF"/>
                <w:sz w:val="20"/>
              </w:rPr>
              <w:t>Aan</w:t>
            </w:r>
          </w:p>
        </w:tc>
        <w:tc>
          <w:tcPr>
            <w:tcW w:type="dxa" w:w="1984"/>
            <w:shd w:fill="003366"/>
          </w:tcPr>
          <w:p>
            <w:pPr>
              <w:jc w:val="left"/>
            </w:pPr>
            <w:r/>
            <w:r>
              <w:rPr>
                <w:rFonts w:ascii="Calibri" w:hAnsi="Calibri"/>
                <w:b/>
                <w:color w:val="FFFFFF"/>
                <w:sz w:val="20"/>
              </w:rPr>
              <w:t>Frequentie</w:t>
            </w:r>
          </w:p>
        </w:tc>
      </w:tr>
      <w:tr>
        <w:tc>
          <w:tcPr>
            <w:tcW w:type="dxa" w:w="2551"/>
          </w:tcPr>
          <w:p>
            <w:r/>
            <w:r>
              <w:rPr>
                <w:rFonts w:ascii="Calibri" w:hAnsi="Calibri"/>
                <w:color w:val="1F2937"/>
                <w:sz w:val="20"/>
              </w:rPr>
              <w:t>Veiligheidsdashboard (KPI's)</w:t>
            </w:r>
          </w:p>
        </w:tc>
        <w:tc>
          <w:tcPr>
            <w:tcW w:type="dxa" w:w="2268"/>
          </w:tcPr>
          <w:p>
            <w:r/>
            <w:r>
              <w:rPr>
                <w:rFonts w:ascii="Calibri" w:hAnsi="Calibri"/>
                <w:color w:val="1F2937"/>
                <w:sz w:val="20"/>
              </w:rPr>
              <w:t>HSE Manager</w:t>
            </w:r>
          </w:p>
        </w:tc>
        <w:tc>
          <w:tcPr>
            <w:tcW w:type="dxa" w:w="2551"/>
          </w:tcPr>
          <w:p>
            <w:r/>
            <w:r>
              <w:rPr>
                <w:rFonts w:ascii="Calibri" w:hAnsi="Calibri"/>
                <w:color w:val="1F2937"/>
                <w:sz w:val="20"/>
              </w:rPr>
              <w:t>Plant Manager + Directie</w:t>
            </w:r>
          </w:p>
        </w:tc>
        <w:tc>
          <w:tcPr>
            <w:tcW w:type="dxa" w:w="1984"/>
          </w:tcPr>
          <w:p>
            <w:r/>
            <w:r>
              <w:rPr>
                <w:rFonts w:ascii="Calibri" w:hAnsi="Calibri"/>
                <w:color w:val="1F2937"/>
                <w:sz w:val="20"/>
              </w:rPr>
              <w:t>Maandelijks</w:t>
            </w:r>
          </w:p>
        </w:tc>
      </w:tr>
      <w:tr>
        <w:tc>
          <w:tcPr>
            <w:tcW w:type="dxa" w:w="2551"/>
            <w:shd w:fill="F3F4F6"/>
          </w:tcPr>
          <w:p>
            <w:r/>
            <w:r>
              <w:rPr>
                <w:rFonts w:ascii="Calibri" w:hAnsi="Calibri"/>
                <w:color w:val="1F2937"/>
                <w:sz w:val="20"/>
              </w:rPr>
              <w:t>Incidentrapportage</w:t>
            </w:r>
          </w:p>
        </w:tc>
        <w:tc>
          <w:tcPr>
            <w:tcW w:type="dxa" w:w="2268"/>
            <w:shd w:fill="F3F4F6"/>
          </w:tcPr>
          <w:p>
            <w:r/>
            <w:r>
              <w:rPr>
                <w:rFonts w:ascii="Calibri" w:hAnsi="Calibri"/>
                <w:color w:val="1F2937"/>
                <w:sz w:val="20"/>
              </w:rPr>
              <w:t>HSE Manager</w:t>
            </w:r>
          </w:p>
        </w:tc>
        <w:tc>
          <w:tcPr>
            <w:tcW w:type="dxa" w:w="2551"/>
            <w:shd w:fill="F3F4F6"/>
          </w:tcPr>
          <w:p>
            <w:r/>
            <w:r>
              <w:rPr>
                <w:rFonts w:ascii="Calibri" w:hAnsi="Calibri"/>
                <w:color w:val="1F2937"/>
                <w:sz w:val="20"/>
              </w:rPr>
              <w:t>Plant Manager</w:t>
            </w:r>
          </w:p>
        </w:tc>
        <w:tc>
          <w:tcPr>
            <w:tcW w:type="dxa" w:w="1984"/>
            <w:shd w:fill="F3F4F6"/>
          </w:tcPr>
          <w:p>
            <w:r/>
            <w:r>
              <w:rPr>
                <w:rFonts w:ascii="Calibri" w:hAnsi="Calibri"/>
                <w:color w:val="1F2937"/>
                <w:sz w:val="20"/>
              </w:rPr>
              <w:t>Direct bij incident</w:t>
            </w:r>
          </w:p>
        </w:tc>
      </w:tr>
      <w:tr>
        <w:tc>
          <w:tcPr>
            <w:tcW w:type="dxa" w:w="2551"/>
          </w:tcPr>
          <w:p>
            <w:r/>
            <w:r>
              <w:rPr>
                <w:rFonts w:ascii="Calibri" w:hAnsi="Calibri"/>
                <w:color w:val="1F2937"/>
                <w:sz w:val="20"/>
              </w:rPr>
              <w:t>VBS-voortgangsrapport</w:t>
            </w:r>
          </w:p>
        </w:tc>
        <w:tc>
          <w:tcPr>
            <w:tcW w:type="dxa" w:w="2268"/>
          </w:tcPr>
          <w:p>
            <w:r/>
            <w:r>
              <w:rPr>
                <w:rFonts w:ascii="Calibri" w:hAnsi="Calibri"/>
                <w:color w:val="1F2937"/>
                <w:sz w:val="20"/>
              </w:rPr>
              <w:t>HSE Manager</w:t>
            </w:r>
          </w:p>
        </w:tc>
        <w:tc>
          <w:tcPr>
            <w:tcW w:type="dxa" w:w="2551"/>
          </w:tcPr>
          <w:p>
            <w:r/>
            <w:r>
              <w:rPr>
                <w:rFonts w:ascii="Calibri" w:hAnsi="Calibri"/>
                <w:color w:val="1F2937"/>
                <w:sz w:val="20"/>
              </w:rPr>
              <w:t>Directie</w:t>
            </w:r>
          </w:p>
        </w:tc>
        <w:tc>
          <w:tcPr>
            <w:tcW w:type="dxa" w:w="1984"/>
          </w:tcPr>
          <w:p>
            <w:r/>
            <w:r>
              <w:rPr>
                <w:rFonts w:ascii="Calibri" w:hAnsi="Calibri"/>
                <w:color w:val="1F2937"/>
                <w:sz w:val="20"/>
              </w:rPr>
              <w:t>Kwartaal</w:t>
            </w:r>
          </w:p>
        </w:tc>
      </w:tr>
      <w:tr>
        <w:tc>
          <w:tcPr>
            <w:tcW w:type="dxa" w:w="2551"/>
            <w:shd w:fill="F3F4F6"/>
          </w:tcPr>
          <w:p>
            <w:r/>
            <w:r>
              <w:rPr>
                <w:rFonts w:ascii="Calibri" w:hAnsi="Calibri"/>
                <w:color w:val="1F2937"/>
                <w:sz w:val="20"/>
              </w:rPr>
              <w:t>Management Review PBZO</w:t>
            </w:r>
          </w:p>
        </w:tc>
        <w:tc>
          <w:tcPr>
            <w:tcW w:type="dxa" w:w="2268"/>
            <w:shd w:fill="F3F4F6"/>
          </w:tcPr>
          <w:p>
            <w:r/>
            <w:r>
              <w:rPr>
                <w:rFonts w:ascii="Calibri" w:hAnsi="Calibri"/>
                <w:color w:val="1F2937"/>
                <w:sz w:val="20"/>
              </w:rPr>
              <w:t>HSE Manager + Directie</w:t>
            </w:r>
          </w:p>
        </w:tc>
        <w:tc>
          <w:tcPr>
            <w:tcW w:type="dxa" w:w="2551"/>
            <w:shd w:fill="F3F4F6"/>
          </w:tcPr>
          <w:p>
            <w:r/>
            <w:r>
              <w:rPr>
                <w:rFonts w:ascii="Calibri" w:hAnsi="Calibri"/>
                <w:color w:val="1F2937"/>
                <w:sz w:val="20"/>
              </w:rPr>
              <w:t>Alle stakeholders</w:t>
            </w:r>
          </w:p>
        </w:tc>
        <w:tc>
          <w:tcPr>
            <w:tcW w:type="dxa" w:w="1984"/>
            <w:shd w:fill="F3F4F6"/>
          </w:tcPr>
          <w:p>
            <w:r/>
            <w:r>
              <w:rPr>
                <w:rFonts w:ascii="Calibri" w:hAnsi="Calibri"/>
                <w:color w:val="1F2937"/>
                <w:sz w:val="20"/>
              </w:rPr>
              <w:t>Jaarlijks</w:t>
            </w:r>
          </w:p>
        </w:tc>
      </w:tr>
      <w:tr>
        <w:tc>
          <w:tcPr>
            <w:tcW w:type="dxa" w:w="2551"/>
          </w:tcPr>
          <w:p>
            <w:r/>
            <w:r>
              <w:rPr>
                <w:rFonts w:ascii="Calibri" w:hAnsi="Calibri"/>
                <w:color w:val="1F2937"/>
                <w:sz w:val="20"/>
              </w:rPr>
              <w:t>Auditresultaten</w:t>
            </w:r>
          </w:p>
        </w:tc>
        <w:tc>
          <w:tcPr>
            <w:tcW w:type="dxa" w:w="2268"/>
          </w:tcPr>
          <w:p>
            <w:r/>
            <w:r>
              <w:rPr>
                <w:rFonts w:ascii="Calibri" w:hAnsi="Calibri"/>
                <w:color w:val="1F2937"/>
                <w:sz w:val="20"/>
              </w:rPr>
              <w:t>Interne/externe auditor</w:t>
            </w:r>
          </w:p>
        </w:tc>
        <w:tc>
          <w:tcPr>
            <w:tcW w:type="dxa" w:w="2551"/>
          </w:tcPr>
          <w:p>
            <w:r/>
            <w:r>
              <w:rPr>
                <w:rFonts w:ascii="Calibri" w:hAnsi="Calibri"/>
                <w:color w:val="1F2937"/>
                <w:sz w:val="20"/>
              </w:rPr>
              <w:t>Directie + HSE Manager</w:t>
            </w:r>
          </w:p>
        </w:tc>
        <w:tc>
          <w:tcPr>
            <w:tcW w:type="dxa" w:w="1984"/>
          </w:tcPr>
          <w:p>
            <w:r/>
            <w:r>
              <w:rPr>
                <w:rFonts w:ascii="Calibri" w:hAnsi="Calibri"/>
                <w:color w:val="1F2937"/>
                <w:sz w:val="20"/>
              </w:rPr>
              <w:t>Kwartaal</w:t>
            </w:r>
          </w:p>
        </w:tc>
      </w:tr>
    </w:tbl>
    <w:p>
      <w:pPr>
        <w:spacing w:after="120"/>
      </w:pPr>
      <w:r>
        <w:rPr>
          <w:rFonts w:ascii="Calibri" w:hAnsi="Calibri"/>
          <w:b w:val="0"/>
          <w:i w:val="0"/>
          <w:color w:val="1F2937"/>
          <w:sz w:val="22"/>
        </w:rPr>
        <w:t>Verwijzing naar gedetailleerde functieprofielen met veiligheidsverantwoordelijkheden is opgenomen in de documentenreeks VBS Element II (Organisatie en Personeel).</w:t>
      </w:r>
    </w:p>
    <w:p>
      <w:r>
        <w:br w:type="page"/>
      </w:r>
    </w:p>
    <w:p>
      <w:pPr>
        <w:pStyle w:val="Heading1"/>
      </w:pPr>
      <w:r>
        <w:rPr>
          <w:color w:val="003366"/>
        </w:rPr>
        <w:t>6. Veiligheidsbeheersysteem — 7 elementen</w:t>
      </w:r>
    </w:p>
    <w:p>
      <w:pPr>
        <w:spacing w:after="120"/>
      </w:pPr>
      <w:r>
        <w:rPr>
          <w:rFonts w:ascii="Calibri" w:hAnsi="Calibri"/>
          <w:b w:val="0"/>
          <w:i w:val="0"/>
          <w:color w:val="1F2937"/>
          <w:sz w:val="22"/>
        </w:rPr>
        <w:t>Het Veiligheidsbeheersysteem (VBS) van Phoenix Metals B.V. is opgebouwd conform de structuur van Bijlage III van de Seveso III-richtlijn [1] en NTA 8620 [3]. Het VBS omvat zeven elementen, die elk in afzonderlijke documenten worden nader uitgewerkt. Het PBZO (dit document) is de koepel die deze elementen verbindt.</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984"/>
            <w:shd w:fill="003366"/>
          </w:tcPr>
          <w:p>
            <w:pPr>
              <w:jc w:val="left"/>
            </w:pPr>
            <w:r/>
            <w:r>
              <w:rPr>
                <w:rFonts w:ascii="Calibri" w:hAnsi="Calibri"/>
                <w:b/>
                <w:color w:val="FFFFFF"/>
                <w:sz w:val="20"/>
              </w:rPr>
              <w:t>Element</w:t>
            </w:r>
          </w:p>
        </w:tc>
        <w:tc>
          <w:tcPr>
            <w:tcW w:type="dxa" w:w="3118"/>
            <w:shd w:fill="003366"/>
          </w:tcPr>
          <w:p>
            <w:pPr>
              <w:jc w:val="left"/>
            </w:pPr>
            <w:r/>
            <w:r>
              <w:rPr>
                <w:rFonts w:ascii="Calibri" w:hAnsi="Calibri"/>
                <w:b/>
                <w:color w:val="FFFFFF"/>
                <w:sz w:val="20"/>
              </w:rPr>
              <w:t>Omschrijving</w:t>
            </w:r>
          </w:p>
        </w:tc>
        <w:tc>
          <w:tcPr>
            <w:tcW w:type="dxa" w:w="2551"/>
            <w:shd w:fill="003366"/>
          </w:tcPr>
          <w:p>
            <w:pPr>
              <w:jc w:val="left"/>
            </w:pPr>
            <w:r/>
            <w:r>
              <w:rPr>
                <w:rFonts w:ascii="Calibri" w:hAnsi="Calibri"/>
                <w:b/>
                <w:color w:val="FFFFFF"/>
                <w:sz w:val="20"/>
              </w:rPr>
              <w:t>Documentreferentie</w:t>
            </w:r>
          </w:p>
        </w:tc>
        <w:tc>
          <w:tcPr>
            <w:tcW w:type="dxa" w:w="1701"/>
            <w:shd w:fill="003366"/>
          </w:tcPr>
          <w:p>
            <w:pPr>
              <w:jc w:val="left"/>
            </w:pPr>
            <w:r/>
            <w:r>
              <w:rPr>
                <w:rFonts w:ascii="Calibri" w:hAnsi="Calibri"/>
                <w:b/>
                <w:color w:val="FFFFFF"/>
                <w:sz w:val="20"/>
              </w:rPr>
              <w:t>Status</w:t>
            </w:r>
          </w:p>
        </w:tc>
      </w:tr>
      <w:tr>
        <w:tc>
          <w:tcPr>
            <w:tcW w:type="dxa" w:w="1984"/>
          </w:tcPr>
          <w:p>
            <w:r/>
            <w:r>
              <w:rPr>
                <w:rFonts w:ascii="Calibri" w:hAnsi="Calibri"/>
                <w:color w:val="1F2937"/>
                <w:sz w:val="20"/>
              </w:rPr>
              <w:t>I. Preventiebeleid</w:t>
            </w:r>
          </w:p>
        </w:tc>
        <w:tc>
          <w:tcPr>
            <w:tcW w:type="dxa" w:w="3118"/>
          </w:tcPr>
          <w:p>
            <w:r/>
            <w:r>
              <w:rPr>
                <w:rFonts w:ascii="Calibri" w:hAnsi="Calibri"/>
                <w:color w:val="1F2937"/>
                <w:sz w:val="20"/>
              </w:rPr>
              <w:t>Strategische uitgangspunten, doelen en verantwoordelijkheden voor preventie van zware ongevallen</w:t>
            </w:r>
          </w:p>
        </w:tc>
        <w:tc>
          <w:tcPr>
            <w:tcW w:type="dxa" w:w="2551"/>
          </w:tcPr>
          <w:p>
            <w:r/>
            <w:r>
              <w:rPr>
                <w:rFonts w:ascii="Calibri" w:hAnsi="Calibri"/>
                <w:color w:val="1F2937"/>
                <w:sz w:val="20"/>
              </w:rPr>
              <w:t>PS-230 (dit document)</w:t>
            </w:r>
          </w:p>
        </w:tc>
        <w:tc>
          <w:tcPr>
            <w:tcW w:type="dxa" w:w="1701"/>
          </w:tcPr>
          <w:p>
            <w:r/>
            <w:r>
              <w:rPr>
                <w:rFonts w:ascii="Calibri" w:hAnsi="Calibri"/>
                <w:color w:val="1F2937"/>
                <w:sz w:val="20"/>
              </w:rPr>
              <w:t>✓ V1.0</w:t>
            </w:r>
          </w:p>
        </w:tc>
      </w:tr>
      <w:tr>
        <w:tc>
          <w:tcPr>
            <w:tcW w:type="dxa" w:w="1984"/>
            <w:shd w:fill="F3F4F6"/>
          </w:tcPr>
          <w:p>
            <w:r/>
            <w:r>
              <w:rPr>
                <w:rFonts w:ascii="Calibri" w:hAnsi="Calibri"/>
                <w:color w:val="1F2937"/>
                <w:sz w:val="20"/>
              </w:rPr>
              <w:t>II. Organisatie en Personeel</w:t>
            </w:r>
          </w:p>
        </w:tc>
        <w:tc>
          <w:tcPr>
            <w:tcW w:type="dxa" w:w="3118"/>
            <w:shd w:fill="F3F4F6"/>
          </w:tcPr>
          <w:p>
            <w:r/>
            <w:r>
              <w:rPr>
                <w:rFonts w:ascii="Calibri" w:hAnsi="Calibri"/>
                <w:color w:val="1F2937"/>
                <w:sz w:val="20"/>
              </w:rPr>
              <w:t>Functieprofielen, competenties, opleidingen, veiligheidscultuur</w:t>
            </w:r>
          </w:p>
        </w:tc>
        <w:tc>
          <w:tcPr>
            <w:tcW w:type="dxa" w:w="2551"/>
            <w:shd w:fill="F3F4F6"/>
          </w:tcPr>
          <w:p>
            <w:r/>
            <w:r>
              <w:rPr>
                <w:rFonts w:ascii="Calibri" w:hAnsi="Calibri"/>
                <w:color w:val="1F2937"/>
                <w:sz w:val="20"/>
              </w:rPr>
              <w:t>PS-231 t/m PS-239</w:t>
            </w:r>
          </w:p>
        </w:tc>
        <w:tc>
          <w:tcPr>
            <w:tcW w:type="dxa" w:w="1701"/>
            <w:shd w:fill="F3F4F6"/>
          </w:tcPr>
          <w:p>
            <w:r/>
            <w:r>
              <w:rPr>
                <w:rFonts w:ascii="Calibri" w:hAnsi="Calibri"/>
                <w:color w:val="1F2937"/>
                <w:sz w:val="20"/>
              </w:rPr>
              <w:t>In ontwikkeling</w:t>
            </w:r>
          </w:p>
        </w:tc>
      </w:tr>
      <w:tr>
        <w:tc>
          <w:tcPr>
            <w:tcW w:type="dxa" w:w="1984"/>
          </w:tcPr>
          <w:p>
            <w:r/>
            <w:r>
              <w:rPr>
                <w:rFonts w:ascii="Calibri" w:hAnsi="Calibri"/>
                <w:color w:val="1F2937"/>
                <w:sz w:val="20"/>
              </w:rPr>
              <w:t>III. Identificatie en Evaluatie van Gevaren</w:t>
            </w:r>
          </w:p>
        </w:tc>
        <w:tc>
          <w:tcPr>
            <w:tcW w:type="dxa" w:w="3118"/>
          </w:tcPr>
          <w:p>
            <w:r/>
            <w:r>
              <w:rPr>
                <w:rFonts w:ascii="Calibri" w:hAnsi="Calibri"/>
                <w:color w:val="1F2937"/>
                <w:sz w:val="20"/>
              </w:rPr>
              <w:t>Systematische identificatie, risicobeoordeling en prioritering van gevaren</w:t>
            </w:r>
          </w:p>
        </w:tc>
        <w:tc>
          <w:tcPr>
            <w:tcW w:type="dxa" w:w="2551"/>
          </w:tcPr>
          <w:p>
            <w:r/>
            <w:r>
              <w:rPr>
                <w:rFonts w:ascii="Calibri" w:hAnsi="Calibri"/>
                <w:color w:val="1F2937"/>
                <w:sz w:val="20"/>
              </w:rPr>
              <w:t>PE-505-01 (FMECA) + apart element</w:t>
            </w:r>
          </w:p>
        </w:tc>
        <w:tc>
          <w:tcPr>
            <w:tcW w:type="dxa" w:w="1701"/>
          </w:tcPr>
          <w:p>
            <w:r/>
            <w:r>
              <w:rPr>
                <w:rFonts w:ascii="Calibri" w:hAnsi="Calibri"/>
                <w:color w:val="1F2937"/>
                <w:sz w:val="20"/>
              </w:rPr>
              <w:t>In ontwikkeling</w:t>
            </w:r>
          </w:p>
        </w:tc>
      </w:tr>
      <w:tr>
        <w:tc>
          <w:tcPr>
            <w:tcW w:type="dxa" w:w="1984"/>
            <w:shd w:fill="F3F4F6"/>
          </w:tcPr>
          <w:p>
            <w:r/>
            <w:r>
              <w:rPr>
                <w:rFonts w:ascii="Calibri" w:hAnsi="Calibri"/>
                <w:color w:val="1F2937"/>
                <w:sz w:val="20"/>
              </w:rPr>
              <w:t>IV. Operationele Controle</w:t>
            </w:r>
          </w:p>
        </w:tc>
        <w:tc>
          <w:tcPr>
            <w:tcW w:type="dxa" w:w="3118"/>
            <w:shd w:fill="F3F4F6"/>
          </w:tcPr>
          <w:p>
            <w:r/>
            <w:r>
              <w:rPr>
                <w:rFonts w:ascii="Calibri" w:hAnsi="Calibri"/>
                <w:color w:val="1F2937"/>
                <w:sz w:val="20"/>
              </w:rPr>
              <w:t>Veilige werkprocedures, Permit-to-Work, LOTO, PBM-beleid</w:t>
            </w:r>
          </w:p>
        </w:tc>
        <w:tc>
          <w:tcPr>
            <w:tcW w:type="dxa" w:w="2551"/>
            <w:shd w:fill="F3F4F6"/>
          </w:tcPr>
          <w:p>
            <w:r/>
            <w:r>
              <w:rPr>
                <w:rFonts w:ascii="Calibri" w:hAnsi="Calibri"/>
                <w:color w:val="1F2937"/>
                <w:sz w:val="20"/>
              </w:rPr>
              <w:t>PE-290-01 (CoW), PE-290-01-11 (heet werk), diverse VWP's</w:t>
            </w:r>
          </w:p>
        </w:tc>
        <w:tc>
          <w:tcPr>
            <w:tcW w:type="dxa" w:w="1701"/>
            <w:shd w:fill="F3F4F6"/>
          </w:tcPr>
          <w:p>
            <w:r/>
            <w:r>
              <w:rPr>
                <w:rFonts w:ascii="Calibri" w:hAnsi="Calibri"/>
                <w:color w:val="1F2937"/>
                <w:sz w:val="20"/>
              </w:rPr>
              <w:t>Deels aanwezig</w:t>
            </w:r>
          </w:p>
        </w:tc>
      </w:tr>
      <w:tr>
        <w:tc>
          <w:tcPr>
            <w:tcW w:type="dxa" w:w="1984"/>
          </w:tcPr>
          <w:p>
            <w:r/>
            <w:r>
              <w:rPr>
                <w:rFonts w:ascii="Calibri" w:hAnsi="Calibri"/>
                <w:color w:val="1F2937"/>
                <w:sz w:val="20"/>
              </w:rPr>
              <w:t>V. Management of Change</w:t>
            </w:r>
          </w:p>
        </w:tc>
        <w:tc>
          <w:tcPr>
            <w:tcW w:type="dxa" w:w="3118"/>
          </w:tcPr>
          <w:p>
            <w:r/>
            <w:r>
              <w:rPr>
                <w:rFonts w:ascii="Calibri" w:hAnsi="Calibri"/>
                <w:color w:val="1F2937"/>
                <w:sz w:val="20"/>
              </w:rPr>
              <w:t>Systematische beoordeling van wijzigingen vóór implementatie</w:t>
            </w:r>
          </w:p>
        </w:tc>
        <w:tc>
          <w:tcPr>
            <w:tcW w:type="dxa" w:w="2551"/>
          </w:tcPr>
          <w:p>
            <w:r/>
            <w:r>
              <w:rPr>
                <w:rFonts w:ascii="Calibri" w:hAnsi="Calibri"/>
                <w:color w:val="1F2937"/>
                <w:sz w:val="20"/>
              </w:rPr>
              <w:t>PE-202-01</w:t>
            </w:r>
          </w:p>
        </w:tc>
        <w:tc>
          <w:tcPr>
            <w:tcW w:type="dxa" w:w="1701"/>
          </w:tcPr>
          <w:p>
            <w:r/>
            <w:r>
              <w:rPr>
                <w:rFonts w:ascii="Calibri" w:hAnsi="Calibri"/>
                <w:color w:val="1F2937"/>
                <w:sz w:val="20"/>
              </w:rPr>
              <w:t>Aanwezig</w:t>
            </w:r>
          </w:p>
        </w:tc>
      </w:tr>
      <w:tr>
        <w:tc>
          <w:tcPr>
            <w:tcW w:type="dxa" w:w="1984"/>
            <w:shd w:fill="F3F4F6"/>
          </w:tcPr>
          <w:p>
            <w:r/>
            <w:r>
              <w:rPr>
                <w:rFonts w:ascii="Calibri" w:hAnsi="Calibri"/>
                <w:color w:val="1F2937"/>
                <w:sz w:val="20"/>
              </w:rPr>
              <w:t>VI. Planning Noodsituaties</w:t>
            </w:r>
          </w:p>
        </w:tc>
        <w:tc>
          <w:tcPr>
            <w:tcW w:type="dxa" w:w="3118"/>
            <w:shd w:fill="F3F4F6"/>
          </w:tcPr>
          <w:p>
            <w:r/>
            <w:r>
              <w:rPr>
                <w:rFonts w:ascii="Calibri" w:hAnsi="Calibri"/>
                <w:color w:val="1F2937"/>
                <w:sz w:val="20"/>
              </w:rPr>
              <w:t>Bedrijfsnoodplan, alarmering, evacuatie, externe communicatie</w:t>
            </w:r>
          </w:p>
        </w:tc>
        <w:tc>
          <w:tcPr>
            <w:tcW w:type="dxa" w:w="2551"/>
            <w:shd w:fill="F3F4F6"/>
          </w:tcPr>
          <w:p>
            <w:r/>
            <w:r>
              <w:rPr>
                <w:rFonts w:ascii="Calibri" w:hAnsi="Calibri"/>
                <w:color w:val="1F2937"/>
                <w:sz w:val="20"/>
              </w:rPr>
              <w:t>Bestaand BNP</w:t>
            </w:r>
          </w:p>
        </w:tc>
        <w:tc>
          <w:tcPr>
            <w:tcW w:type="dxa" w:w="1701"/>
            <w:shd w:fill="F3F4F6"/>
          </w:tcPr>
          <w:p>
            <w:r/>
            <w:r>
              <w:rPr>
                <w:rFonts w:ascii="Calibri" w:hAnsi="Calibri"/>
                <w:color w:val="1F2937"/>
                <w:sz w:val="20"/>
              </w:rPr>
              <w:t>Aanwezig</w:t>
            </w:r>
          </w:p>
        </w:tc>
      </w:tr>
      <w:tr>
        <w:tc>
          <w:tcPr>
            <w:tcW w:type="dxa" w:w="1984"/>
          </w:tcPr>
          <w:p>
            <w:r/>
            <w:r>
              <w:rPr>
                <w:rFonts w:ascii="Calibri" w:hAnsi="Calibri"/>
                <w:color w:val="1F2937"/>
                <w:sz w:val="20"/>
              </w:rPr>
              <w:t>VII. Monitoring en Review</w:t>
            </w:r>
          </w:p>
        </w:tc>
        <w:tc>
          <w:tcPr>
            <w:tcW w:type="dxa" w:w="3118"/>
          </w:tcPr>
          <w:p>
            <w:r/>
            <w:r>
              <w:rPr>
                <w:rFonts w:ascii="Calibri" w:hAnsi="Calibri"/>
                <w:color w:val="1F2937"/>
                <w:sz w:val="20"/>
              </w:rPr>
              <w:t>KPI's, audits, inspecties, management review, corrigerende acties</w:t>
            </w:r>
          </w:p>
        </w:tc>
        <w:tc>
          <w:tcPr>
            <w:tcW w:type="dxa" w:w="2551"/>
          </w:tcPr>
          <w:p>
            <w:r/>
            <w:r>
              <w:rPr>
                <w:rFonts w:ascii="Calibri" w:hAnsi="Calibri"/>
                <w:color w:val="1F2937"/>
                <w:sz w:val="20"/>
              </w:rPr>
              <w:t>PS-504 (KPI), auditplanning</w:t>
            </w:r>
          </w:p>
        </w:tc>
        <w:tc>
          <w:tcPr>
            <w:tcW w:type="dxa" w:w="1701"/>
          </w:tcPr>
          <w:p>
            <w:r/>
            <w:r>
              <w:rPr>
                <w:rFonts w:ascii="Calibri" w:hAnsi="Calibri"/>
                <w:color w:val="1F2937"/>
                <w:sz w:val="20"/>
              </w:rPr>
              <w:t>In ontwikkeling</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r>
        <w:br w:type="page"/>
      </w:r>
    </w:p>
    <w:p>
      <w:pPr>
        <w:pStyle w:val="Heading1"/>
      </w:pPr>
      <w:r>
        <w:rPr>
          <w:color w:val="003366"/>
        </w:rPr>
        <w:t>7. Veiligheidsprestatie-indicatoren</w:t>
      </w:r>
    </w:p>
    <w:p>
      <w:pPr>
        <w:pStyle w:val="Heading2"/>
      </w:pPr>
      <w:r>
        <w:rPr>
          <w:color w:val="003366"/>
        </w:rPr>
        <w:t>7.1 Leading indicators (preventief)</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Indicator</w:t>
            </w:r>
          </w:p>
        </w:tc>
        <w:tc>
          <w:tcPr>
            <w:tcW w:type="dxa" w:w="2268"/>
            <w:shd w:fill="003366"/>
          </w:tcPr>
          <w:p>
            <w:pPr>
              <w:jc w:val="left"/>
            </w:pPr>
            <w:r/>
            <w:r>
              <w:rPr>
                <w:rFonts w:ascii="Calibri" w:hAnsi="Calibri"/>
                <w:b/>
                <w:color w:val="FFFFFF"/>
                <w:sz w:val="20"/>
              </w:rPr>
              <w:t>Meetmethode</w:t>
            </w:r>
          </w:p>
        </w:tc>
        <w:tc>
          <w:tcPr>
            <w:tcW w:type="dxa" w:w="1701"/>
            <w:shd w:fill="003366"/>
          </w:tcPr>
          <w:p>
            <w:pPr>
              <w:jc w:val="left"/>
            </w:pPr>
            <w:r/>
            <w:r>
              <w:rPr>
                <w:rFonts w:ascii="Calibri" w:hAnsi="Calibri"/>
                <w:b/>
                <w:color w:val="FFFFFF"/>
                <w:sz w:val="20"/>
              </w:rPr>
              <w:t>Frequentie</w:t>
            </w:r>
          </w:p>
        </w:tc>
        <w:tc>
          <w:tcPr>
            <w:tcW w:type="dxa" w:w="3118"/>
            <w:shd w:fill="003366"/>
          </w:tcPr>
          <w:p>
            <w:pPr>
              <w:jc w:val="left"/>
            </w:pPr>
            <w:r/>
            <w:r>
              <w:rPr>
                <w:rFonts w:ascii="Calibri" w:hAnsi="Calibri"/>
                <w:b/>
                <w:color w:val="FFFFFF"/>
                <w:sz w:val="20"/>
              </w:rPr>
              <w:t>Target jaar 1</w:t>
            </w:r>
          </w:p>
        </w:tc>
      </w:tr>
      <w:tr>
        <w:tc>
          <w:tcPr>
            <w:tcW w:type="dxa" w:w="2268"/>
          </w:tcPr>
          <w:p>
            <w:r/>
            <w:r>
              <w:rPr>
                <w:rFonts w:ascii="Calibri" w:hAnsi="Calibri"/>
                <w:color w:val="1F2937"/>
                <w:sz w:val="20"/>
              </w:rPr>
              <w:t>TRA-uitvoeringspercentage</w:t>
            </w:r>
          </w:p>
        </w:tc>
        <w:tc>
          <w:tcPr>
            <w:tcW w:type="dxa" w:w="2268"/>
          </w:tcPr>
          <w:p>
            <w:r/>
            <w:r>
              <w:rPr>
                <w:rFonts w:ascii="Calibri" w:hAnsi="Calibri"/>
                <w:color w:val="1F2937"/>
                <w:sz w:val="20"/>
              </w:rPr>
              <w:t>PtW-systeem rapportage</w:t>
            </w:r>
          </w:p>
        </w:tc>
        <w:tc>
          <w:tcPr>
            <w:tcW w:type="dxa" w:w="1701"/>
          </w:tcPr>
          <w:p>
            <w:r/>
            <w:r>
              <w:rPr>
                <w:rFonts w:ascii="Calibri" w:hAnsi="Calibri"/>
                <w:color w:val="1F2937"/>
                <w:sz w:val="20"/>
              </w:rPr>
              <w:t>Maandelijks</w:t>
            </w:r>
          </w:p>
        </w:tc>
        <w:tc>
          <w:tcPr>
            <w:tcW w:type="dxa" w:w="3118"/>
          </w:tcPr>
          <w:p>
            <w:r/>
            <w:r>
              <w:rPr>
                <w:rFonts w:ascii="Calibri" w:hAnsi="Calibri"/>
                <w:color w:val="1F2937"/>
                <w:sz w:val="20"/>
              </w:rPr>
              <w:t>100% bij niet-standaardwerk</w:t>
            </w:r>
          </w:p>
        </w:tc>
      </w:tr>
      <w:tr>
        <w:tc>
          <w:tcPr>
            <w:tcW w:type="dxa" w:w="2268"/>
            <w:shd w:fill="F3F4F6"/>
          </w:tcPr>
          <w:p>
            <w:r/>
            <w:r>
              <w:rPr>
                <w:rFonts w:ascii="Calibri" w:hAnsi="Calibri"/>
                <w:color w:val="1F2937"/>
                <w:sz w:val="20"/>
              </w:rPr>
              <w:t>Toolbox meetings uitgevoerd</w:t>
            </w:r>
          </w:p>
        </w:tc>
        <w:tc>
          <w:tcPr>
            <w:tcW w:type="dxa" w:w="2268"/>
            <w:shd w:fill="F3F4F6"/>
          </w:tcPr>
          <w:p>
            <w:r/>
            <w:r>
              <w:rPr>
                <w:rFonts w:ascii="Calibri" w:hAnsi="Calibri"/>
                <w:color w:val="1F2937"/>
                <w:sz w:val="20"/>
              </w:rPr>
              <w:t>Aanwezigheidslijsten</w:t>
            </w:r>
          </w:p>
        </w:tc>
        <w:tc>
          <w:tcPr>
            <w:tcW w:type="dxa" w:w="1701"/>
            <w:shd w:fill="F3F4F6"/>
          </w:tcPr>
          <w:p>
            <w:r/>
            <w:r>
              <w:rPr>
                <w:rFonts w:ascii="Calibri" w:hAnsi="Calibri"/>
                <w:color w:val="1F2937"/>
                <w:sz w:val="20"/>
              </w:rPr>
              <w:t>Wekelijks</w:t>
            </w:r>
          </w:p>
        </w:tc>
        <w:tc>
          <w:tcPr>
            <w:tcW w:type="dxa" w:w="3118"/>
            <w:shd w:fill="F3F4F6"/>
          </w:tcPr>
          <w:p>
            <w:r/>
            <w:r>
              <w:rPr>
                <w:rFonts w:ascii="Calibri" w:hAnsi="Calibri"/>
                <w:color w:val="1F2937"/>
                <w:sz w:val="20"/>
              </w:rPr>
              <w:t>≥ 1 per ploeg per week</w:t>
            </w:r>
          </w:p>
        </w:tc>
      </w:tr>
      <w:tr>
        <w:tc>
          <w:tcPr>
            <w:tcW w:type="dxa" w:w="2268"/>
          </w:tcPr>
          <w:p>
            <w:r/>
            <w:r>
              <w:rPr>
                <w:rFonts w:ascii="Calibri" w:hAnsi="Calibri"/>
                <w:color w:val="1F2937"/>
                <w:sz w:val="20"/>
              </w:rPr>
              <w:t>MoC-aanvragen binnen termijn</w:t>
            </w:r>
          </w:p>
        </w:tc>
        <w:tc>
          <w:tcPr>
            <w:tcW w:type="dxa" w:w="2268"/>
          </w:tcPr>
          <w:p>
            <w:r/>
            <w:r>
              <w:rPr>
                <w:rFonts w:ascii="Calibri" w:hAnsi="Calibri"/>
                <w:color w:val="1F2937"/>
                <w:sz w:val="20"/>
              </w:rPr>
              <w:t>MoC-register (PE-202-01)</w:t>
            </w:r>
          </w:p>
        </w:tc>
        <w:tc>
          <w:tcPr>
            <w:tcW w:type="dxa" w:w="1701"/>
          </w:tcPr>
          <w:p>
            <w:r/>
            <w:r>
              <w:rPr>
                <w:rFonts w:ascii="Calibri" w:hAnsi="Calibri"/>
                <w:color w:val="1F2937"/>
                <w:sz w:val="20"/>
              </w:rPr>
              <w:t>Maandelijks</w:t>
            </w:r>
          </w:p>
        </w:tc>
        <w:tc>
          <w:tcPr>
            <w:tcW w:type="dxa" w:w="3118"/>
          </w:tcPr>
          <w:p>
            <w:r/>
            <w:r>
              <w:rPr>
                <w:rFonts w:ascii="Calibri" w:hAnsi="Calibri"/>
                <w:color w:val="1F2937"/>
                <w:sz w:val="20"/>
              </w:rPr>
              <w:t>100% binnen 5 werkdagen</w:t>
            </w:r>
          </w:p>
        </w:tc>
      </w:tr>
      <w:tr>
        <w:tc>
          <w:tcPr>
            <w:tcW w:type="dxa" w:w="2268"/>
            <w:shd w:fill="F3F4F6"/>
          </w:tcPr>
          <w:p>
            <w:r/>
            <w:r>
              <w:rPr>
                <w:rFonts w:ascii="Calibri" w:hAnsi="Calibri"/>
                <w:color w:val="1F2937"/>
                <w:sz w:val="20"/>
              </w:rPr>
              <w:t>Openstaande inspectiebevindingen</w:t>
            </w:r>
          </w:p>
        </w:tc>
        <w:tc>
          <w:tcPr>
            <w:tcW w:type="dxa" w:w="2268"/>
            <w:shd w:fill="F3F4F6"/>
          </w:tcPr>
          <w:p>
            <w:r/>
            <w:r>
              <w:rPr>
                <w:rFonts w:ascii="Calibri" w:hAnsi="Calibri"/>
                <w:color w:val="1F2937"/>
                <w:sz w:val="20"/>
              </w:rPr>
              <w:t>Correctie-rapporten</w:t>
            </w:r>
          </w:p>
        </w:tc>
        <w:tc>
          <w:tcPr>
            <w:tcW w:type="dxa" w:w="1701"/>
            <w:shd w:fill="F3F4F6"/>
          </w:tcPr>
          <w:p>
            <w:r/>
            <w:r>
              <w:rPr>
                <w:rFonts w:ascii="Calibri" w:hAnsi="Calibri"/>
                <w:color w:val="1F2937"/>
                <w:sz w:val="20"/>
              </w:rPr>
              <w:t>Maandelijks</w:t>
            </w:r>
          </w:p>
        </w:tc>
        <w:tc>
          <w:tcPr>
            <w:tcW w:type="dxa" w:w="3118"/>
            <w:shd w:fill="F3F4F6"/>
          </w:tcPr>
          <w:p>
            <w:r/>
            <w:r>
              <w:rPr>
                <w:rFonts w:ascii="Calibri" w:hAnsi="Calibri"/>
                <w:color w:val="1F2937"/>
                <w:sz w:val="20"/>
              </w:rPr>
              <w:t>&lt; 5% ouder dan 30 dagen</w:t>
            </w:r>
          </w:p>
        </w:tc>
      </w:tr>
      <w:tr>
        <w:tc>
          <w:tcPr>
            <w:tcW w:type="dxa" w:w="2268"/>
          </w:tcPr>
          <w:p>
            <w:r/>
            <w:r>
              <w:rPr>
                <w:rFonts w:ascii="Calibri" w:hAnsi="Calibri"/>
                <w:color w:val="1F2937"/>
                <w:sz w:val="20"/>
              </w:rPr>
              <w:t>VBS-audits uitgevoerd</w:t>
            </w:r>
          </w:p>
        </w:tc>
        <w:tc>
          <w:tcPr>
            <w:tcW w:type="dxa" w:w="2268"/>
          </w:tcPr>
          <w:p>
            <w:r/>
            <w:r>
              <w:rPr>
                <w:rFonts w:ascii="Calibri" w:hAnsi="Calibri"/>
                <w:color w:val="1F2937"/>
                <w:sz w:val="20"/>
              </w:rPr>
              <w:t>Auditplanning</w:t>
            </w:r>
          </w:p>
        </w:tc>
        <w:tc>
          <w:tcPr>
            <w:tcW w:type="dxa" w:w="1701"/>
          </w:tcPr>
          <w:p>
            <w:r/>
            <w:r>
              <w:rPr>
                <w:rFonts w:ascii="Calibri" w:hAnsi="Calibri"/>
                <w:color w:val="1F2937"/>
                <w:sz w:val="20"/>
              </w:rPr>
              <w:t>Kwartaal</w:t>
            </w:r>
          </w:p>
        </w:tc>
        <w:tc>
          <w:tcPr>
            <w:tcW w:type="dxa" w:w="3118"/>
          </w:tcPr>
          <w:p>
            <w:r/>
            <w:r>
              <w:rPr>
                <w:rFonts w:ascii="Calibri" w:hAnsi="Calibri"/>
                <w:color w:val="1F2937"/>
                <w:sz w:val="20"/>
              </w:rPr>
              <w:t>100% conform planning</w:t>
            </w:r>
          </w:p>
        </w:tc>
      </w:tr>
      <w:tr>
        <w:tc>
          <w:tcPr>
            <w:tcW w:type="dxa" w:w="2268"/>
            <w:shd w:fill="F3F4F6"/>
          </w:tcPr>
          <w:p>
            <w:r/>
            <w:r>
              <w:rPr>
                <w:rFonts w:ascii="Calibri" w:hAnsi="Calibri"/>
                <w:color w:val="1F2937"/>
                <w:sz w:val="20"/>
              </w:rPr>
              <w:t>Trainingen voltooid per functie</w:t>
            </w:r>
          </w:p>
        </w:tc>
        <w:tc>
          <w:tcPr>
            <w:tcW w:type="dxa" w:w="2268"/>
            <w:shd w:fill="F3F4F6"/>
          </w:tcPr>
          <w:p>
            <w:r/>
            <w:r>
              <w:rPr>
                <w:rFonts w:ascii="Calibri" w:hAnsi="Calibri"/>
                <w:color w:val="1F2937"/>
                <w:sz w:val="20"/>
              </w:rPr>
              <w:t>Opleidingenmatrix (Phoenix Metals 2024)</w:t>
            </w:r>
          </w:p>
        </w:tc>
        <w:tc>
          <w:tcPr>
            <w:tcW w:type="dxa" w:w="1701"/>
            <w:shd w:fill="F3F4F6"/>
          </w:tcPr>
          <w:p>
            <w:r/>
            <w:r>
              <w:rPr>
                <w:rFonts w:ascii="Calibri" w:hAnsi="Calibri"/>
                <w:color w:val="1F2937"/>
                <w:sz w:val="20"/>
              </w:rPr>
              <w:t>Kwartaal</w:t>
            </w:r>
          </w:p>
        </w:tc>
        <w:tc>
          <w:tcPr>
            <w:tcW w:type="dxa" w:w="3118"/>
            <w:shd w:fill="F3F4F6"/>
          </w:tcPr>
          <w:p>
            <w:r/>
            <w:r>
              <w:rPr>
                <w:rFonts w:ascii="Calibri" w:hAnsi="Calibri"/>
                <w:color w:val="1F2937"/>
                <w:sz w:val="20"/>
              </w:rPr>
              <w:t>95% compliance</w:t>
            </w:r>
          </w:p>
        </w:tc>
      </w:tr>
      <w:tr>
        <w:tc>
          <w:tcPr>
            <w:tcW w:type="dxa" w:w="2268"/>
          </w:tcPr>
          <w:p>
            <w:r/>
            <w:r>
              <w:rPr>
                <w:rFonts w:ascii="Calibri" w:hAnsi="Calibri"/>
                <w:color w:val="1F2937"/>
                <w:sz w:val="20"/>
              </w:rPr>
              <w:t>Werkplekinspecties uitgevoerd</w:t>
            </w:r>
          </w:p>
        </w:tc>
        <w:tc>
          <w:tcPr>
            <w:tcW w:type="dxa" w:w="2268"/>
          </w:tcPr>
          <w:p>
            <w:r/>
            <w:r>
              <w:rPr>
                <w:rFonts w:ascii="Calibri" w:hAnsi="Calibri"/>
                <w:color w:val="1F2937"/>
                <w:sz w:val="20"/>
              </w:rPr>
              <w:t>Inspectieformulieren</w:t>
            </w:r>
          </w:p>
        </w:tc>
        <w:tc>
          <w:tcPr>
            <w:tcW w:type="dxa" w:w="1701"/>
          </w:tcPr>
          <w:p>
            <w:r/>
            <w:r>
              <w:rPr>
                <w:rFonts w:ascii="Calibri" w:hAnsi="Calibri"/>
                <w:color w:val="1F2937"/>
                <w:sz w:val="20"/>
              </w:rPr>
              <w:t>Wekelijks</w:t>
            </w:r>
          </w:p>
        </w:tc>
        <w:tc>
          <w:tcPr>
            <w:tcW w:type="dxa" w:w="3118"/>
          </w:tcPr>
          <w:p>
            <w:r/>
            <w:r>
              <w:rPr>
                <w:rFonts w:ascii="Calibri" w:hAnsi="Calibri"/>
                <w:color w:val="1F2937"/>
                <w:sz w:val="20"/>
              </w:rPr>
              <w:t>≥ 1 per afdeling per week</w:t>
            </w:r>
          </w:p>
        </w:tc>
      </w:tr>
    </w:tbl>
    <w:p>
      <w:pPr>
        <w:pStyle w:val="Heading2"/>
      </w:pPr>
      <w:r>
        <w:rPr>
          <w:color w:val="003366"/>
        </w:rPr>
        <w:t>7.2 Lagging indicators (reactief)</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Indicator</w:t>
            </w:r>
          </w:p>
        </w:tc>
        <w:tc>
          <w:tcPr>
            <w:tcW w:type="dxa" w:w="3402"/>
            <w:shd w:fill="003366"/>
          </w:tcPr>
          <w:p>
            <w:pPr>
              <w:jc w:val="left"/>
            </w:pPr>
            <w:r/>
            <w:r>
              <w:rPr>
                <w:rFonts w:ascii="Calibri" w:hAnsi="Calibri"/>
                <w:b/>
                <w:color w:val="FFFFFF"/>
                <w:sz w:val="20"/>
              </w:rPr>
              <w:t>Definitie</w:t>
            </w:r>
          </w:p>
        </w:tc>
        <w:tc>
          <w:tcPr>
            <w:tcW w:type="dxa" w:w="3402"/>
            <w:shd w:fill="003366"/>
          </w:tcPr>
          <w:p>
            <w:pPr>
              <w:jc w:val="left"/>
            </w:pPr>
            <w:r/>
            <w:r>
              <w:rPr>
                <w:rFonts w:ascii="Calibri" w:hAnsi="Calibri"/>
                <w:b/>
                <w:color w:val="FFFFFF"/>
                <w:sz w:val="20"/>
              </w:rPr>
              <w:t>Target jaar 1</w:t>
            </w:r>
          </w:p>
        </w:tc>
      </w:tr>
      <w:tr>
        <w:tc>
          <w:tcPr>
            <w:tcW w:type="dxa" w:w="2835"/>
          </w:tcPr>
          <w:p>
            <w:r/>
            <w:r>
              <w:rPr>
                <w:rFonts w:ascii="Calibri" w:hAnsi="Calibri"/>
                <w:color w:val="1F2937"/>
                <w:sz w:val="20"/>
              </w:rPr>
              <w:t>TRIR (Total Recordable Incident Rate)</w:t>
            </w:r>
          </w:p>
        </w:tc>
        <w:tc>
          <w:tcPr>
            <w:tcW w:type="dxa" w:w="3402"/>
          </w:tcPr>
          <w:p>
            <w:r/>
            <w:r>
              <w:rPr>
                <w:rFonts w:ascii="Calibri" w:hAnsi="Calibri"/>
                <w:color w:val="1F2937"/>
                <w:sz w:val="20"/>
              </w:rPr>
              <w:t>Aantal registreerbare incidenten per 200.000 gewerkte uren</w:t>
            </w:r>
          </w:p>
        </w:tc>
        <w:tc>
          <w:tcPr>
            <w:tcW w:type="dxa" w:w="3402"/>
          </w:tcPr>
          <w:p>
            <w:r/>
            <w:r>
              <w:rPr>
                <w:rFonts w:ascii="Calibri" w:hAnsi="Calibri"/>
                <w:color w:val="1F2937"/>
                <w:sz w:val="20"/>
              </w:rPr>
              <w:t>&lt; 2,0</w:t>
            </w:r>
          </w:p>
        </w:tc>
      </w:tr>
      <w:tr>
        <w:tc>
          <w:tcPr>
            <w:tcW w:type="dxa" w:w="2835"/>
            <w:shd w:fill="F3F4F6"/>
          </w:tcPr>
          <w:p>
            <w:r/>
            <w:r>
              <w:rPr>
                <w:rFonts w:ascii="Calibri" w:hAnsi="Calibri"/>
                <w:color w:val="1F2937"/>
                <w:sz w:val="20"/>
              </w:rPr>
              <w:t>Near-miss rapportages</w:t>
            </w:r>
          </w:p>
        </w:tc>
        <w:tc>
          <w:tcPr>
            <w:tcW w:type="dxa" w:w="3402"/>
            <w:shd w:fill="F3F4F6"/>
          </w:tcPr>
          <w:p>
            <w:r/>
            <w:r>
              <w:rPr>
                <w:rFonts w:ascii="Calibri" w:hAnsi="Calibri"/>
                <w:color w:val="1F2937"/>
                <w:sz w:val="20"/>
              </w:rPr>
              <w:t>Aantal gerapporteerde near-misses</w:t>
            </w:r>
          </w:p>
        </w:tc>
        <w:tc>
          <w:tcPr>
            <w:tcW w:type="dxa" w:w="3402"/>
            <w:shd w:fill="F3F4F6"/>
          </w:tcPr>
          <w:p>
            <w:r/>
            <w:r>
              <w:rPr>
                <w:rFonts w:ascii="Calibri" w:hAnsi="Calibri"/>
                <w:color w:val="1F2937"/>
                <w:sz w:val="20"/>
              </w:rPr>
              <w:t>+50% t.o.v. baseline</w:t>
            </w:r>
          </w:p>
        </w:tc>
      </w:tr>
      <w:tr>
        <w:tc>
          <w:tcPr>
            <w:tcW w:type="dxa" w:w="2835"/>
          </w:tcPr>
          <w:p>
            <w:r/>
            <w:r>
              <w:rPr>
                <w:rFonts w:ascii="Calibri" w:hAnsi="Calibri"/>
                <w:color w:val="1F2937"/>
                <w:sz w:val="20"/>
              </w:rPr>
              <w:t>LoC-incidenten (Loss of Containment)</w:t>
            </w:r>
          </w:p>
        </w:tc>
        <w:tc>
          <w:tcPr>
            <w:tcW w:type="dxa" w:w="3402"/>
          </w:tcPr>
          <w:p>
            <w:r/>
            <w:r>
              <w:rPr>
                <w:rFonts w:ascii="Calibri" w:hAnsi="Calibri"/>
                <w:color w:val="1F2937"/>
                <w:sz w:val="20"/>
              </w:rPr>
              <w:t>Aantal ongeplande emissies van gevaarlijke stoffen</w:t>
            </w:r>
          </w:p>
        </w:tc>
        <w:tc>
          <w:tcPr>
            <w:tcW w:type="dxa" w:w="3402"/>
          </w:tcPr>
          <w:p>
            <w:r/>
            <w:r>
              <w:rPr>
                <w:rFonts w:ascii="Calibri" w:hAnsi="Calibri"/>
                <w:color w:val="1F2937"/>
                <w:sz w:val="20"/>
              </w:rPr>
              <w:t>0</w:t>
            </w:r>
          </w:p>
        </w:tc>
      </w:tr>
      <w:tr>
        <w:tc>
          <w:tcPr>
            <w:tcW w:type="dxa" w:w="2835"/>
            <w:shd w:fill="F3F4F6"/>
          </w:tcPr>
          <w:p>
            <w:r/>
            <w:r>
              <w:rPr>
                <w:rFonts w:ascii="Calibri" w:hAnsi="Calibri"/>
                <w:color w:val="1F2937"/>
                <w:sz w:val="20"/>
              </w:rPr>
              <w:t>Brandincidenten</w:t>
            </w:r>
          </w:p>
        </w:tc>
        <w:tc>
          <w:tcPr>
            <w:tcW w:type="dxa" w:w="3402"/>
            <w:shd w:fill="F3F4F6"/>
          </w:tcPr>
          <w:p>
            <w:r/>
            <w:r>
              <w:rPr>
                <w:rFonts w:ascii="Calibri" w:hAnsi="Calibri"/>
                <w:color w:val="1F2937"/>
                <w:sz w:val="20"/>
              </w:rPr>
              <w:t>Aantal branden (inclusief beginnende brand)</w:t>
            </w:r>
          </w:p>
        </w:tc>
        <w:tc>
          <w:tcPr>
            <w:tcW w:type="dxa" w:w="3402"/>
            <w:shd w:fill="F3F4F6"/>
          </w:tcPr>
          <w:p>
            <w:r/>
            <w:r>
              <w:rPr>
                <w:rFonts w:ascii="Calibri" w:hAnsi="Calibri"/>
                <w:color w:val="1F2937"/>
                <w:sz w:val="20"/>
              </w:rPr>
              <w:t>0</w:t>
            </w:r>
          </w:p>
        </w:tc>
      </w:tr>
      <w:tr>
        <w:tc>
          <w:tcPr>
            <w:tcW w:type="dxa" w:w="2835"/>
          </w:tcPr>
          <w:p>
            <w:r/>
            <w:r>
              <w:rPr>
                <w:rFonts w:ascii="Calibri" w:hAnsi="Calibri"/>
                <w:color w:val="1F2937"/>
                <w:sz w:val="20"/>
              </w:rPr>
              <w:t>Verzuim door werkgerelateerd letsel</w:t>
            </w:r>
          </w:p>
        </w:tc>
        <w:tc>
          <w:tcPr>
            <w:tcW w:type="dxa" w:w="3402"/>
          </w:tcPr>
          <w:p>
            <w:r/>
            <w:r>
              <w:rPr>
                <w:rFonts w:ascii="Calibri" w:hAnsi="Calibri"/>
                <w:color w:val="1F2937"/>
                <w:sz w:val="20"/>
              </w:rPr>
              <w:t>Aantal verzuimdagen door arbeidsongevallen</w:t>
            </w:r>
          </w:p>
        </w:tc>
        <w:tc>
          <w:tcPr>
            <w:tcW w:type="dxa" w:w="3402"/>
          </w:tcPr>
          <w:p>
            <w:r/>
            <w:r>
              <w:rPr>
                <w:rFonts w:ascii="Calibri" w:hAnsi="Calibri"/>
                <w:color w:val="1F2937"/>
                <w:sz w:val="20"/>
              </w:rPr>
              <w:t>&lt; 10 dagen/jaar</w:t>
            </w:r>
          </w:p>
        </w:tc>
      </w:tr>
    </w:tbl>
    <w:p>
      <w:pPr>
        <w:pStyle w:val="Heading2"/>
      </w:pPr>
      <w:r>
        <w:rPr>
          <w:color w:val="003366"/>
        </w:rPr>
        <w:t>7.3 Targets jaar 1</w:t>
      </w:r>
    </w:p>
    <w:p>
      <w:pPr>
        <w:spacing w:after="120"/>
      </w:pPr>
      <w:r>
        <w:rPr>
          <w:rFonts w:ascii="Calibri" w:hAnsi="Calibri"/>
          <w:b w:val="0"/>
          <w:i w:val="0"/>
          <w:color w:val="1F2937"/>
          <w:sz w:val="22"/>
        </w:rPr>
        <w:t>De targets voor het eerste jaar na invoering van het PBZO zijn vastgesteld met als uitgangspunt een haalbaar maar ambitieus niveau, rekening houdend met de omvang van de organisatie (proeffabriek, beperkt aantal medewerkers) en de complexiteit van de activiteiten: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Doelstelling</w:t>
            </w:r>
          </w:p>
        </w:tc>
        <w:tc>
          <w:tcPr>
            <w:tcW w:type="dxa" w:w="2268"/>
            <w:shd w:fill="003366"/>
          </w:tcPr>
          <w:p>
            <w:pPr>
              <w:jc w:val="left"/>
            </w:pPr>
            <w:r/>
            <w:r>
              <w:rPr>
                <w:rFonts w:ascii="Calibri" w:hAnsi="Calibri"/>
                <w:b/>
                <w:color w:val="FFFFFF"/>
                <w:sz w:val="20"/>
              </w:rPr>
              <w:t>Meetindicator</w:t>
            </w:r>
          </w:p>
        </w:tc>
        <w:tc>
          <w:tcPr>
            <w:tcW w:type="dxa" w:w="1701"/>
            <w:shd w:fill="003366"/>
          </w:tcPr>
          <w:p>
            <w:pPr>
              <w:jc w:val="left"/>
            </w:pPr>
            <w:r/>
            <w:r>
              <w:rPr>
                <w:rFonts w:ascii="Calibri" w:hAnsi="Calibri"/>
                <w:b/>
                <w:color w:val="FFFFFF"/>
                <w:sz w:val="20"/>
              </w:rPr>
              <w:t>Target</w:t>
            </w:r>
          </w:p>
        </w:tc>
        <w:tc>
          <w:tcPr>
            <w:tcW w:type="dxa" w:w="3118"/>
            <w:shd w:fill="003366"/>
          </w:tcPr>
          <w:p>
            <w:pPr>
              <w:jc w:val="left"/>
            </w:pPr>
            <w:r/>
            <w:r>
              <w:rPr>
                <w:rFonts w:ascii="Calibri" w:hAnsi="Calibri"/>
                <w:b/>
                <w:color w:val="FFFFFF"/>
                <w:sz w:val="20"/>
              </w:rPr>
              <w:t>Basis</w:t>
            </w:r>
          </w:p>
        </w:tc>
      </w:tr>
      <w:tr>
        <w:tc>
          <w:tcPr>
            <w:tcW w:type="dxa" w:w="2268"/>
          </w:tcPr>
          <w:p>
            <w:r/>
            <w:r>
              <w:rPr>
                <w:rFonts w:ascii="Calibri" w:hAnsi="Calibri"/>
                <w:color w:val="1F2937"/>
                <w:sz w:val="20"/>
              </w:rPr>
              <w:t>Geen ernstige incidenten</w:t>
            </w:r>
          </w:p>
        </w:tc>
        <w:tc>
          <w:tcPr>
            <w:tcW w:type="dxa" w:w="2268"/>
          </w:tcPr>
          <w:p>
            <w:r/>
            <w:r>
              <w:rPr>
                <w:rFonts w:ascii="Calibri" w:hAnsi="Calibri"/>
                <w:color w:val="1F2937"/>
                <w:sz w:val="20"/>
              </w:rPr>
              <w:t>Aantal incidenten met ernstig letsel of LoC</w:t>
            </w:r>
          </w:p>
        </w:tc>
        <w:tc>
          <w:tcPr>
            <w:tcW w:type="dxa" w:w="1701"/>
          </w:tcPr>
          <w:p>
            <w:r/>
            <w:r>
              <w:rPr>
                <w:rFonts w:ascii="Calibri" w:hAnsi="Calibri"/>
                <w:color w:val="1F2937"/>
                <w:sz w:val="20"/>
              </w:rPr>
              <w:t>0</w:t>
            </w:r>
          </w:p>
        </w:tc>
        <w:tc>
          <w:tcPr>
            <w:tcW w:type="dxa" w:w="3118"/>
          </w:tcPr>
          <w:p>
            <w:r/>
            <w:r>
              <w:rPr>
                <w:rFonts w:ascii="Calibri" w:hAnsi="Calibri"/>
                <w:color w:val="1F2937"/>
                <w:sz w:val="20"/>
              </w:rPr>
              <w:t>Baseline: n.v.t. (nieuw systeem)</w:t>
            </w:r>
          </w:p>
        </w:tc>
      </w:tr>
      <w:tr>
        <w:tc>
          <w:tcPr>
            <w:tcW w:type="dxa" w:w="2268"/>
            <w:shd w:fill="F3F4F6"/>
          </w:tcPr>
          <w:p>
            <w:r/>
            <w:r>
              <w:rPr>
                <w:rFonts w:ascii="Calibri" w:hAnsi="Calibri"/>
                <w:color w:val="1F2937"/>
                <w:sz w:val="20"/>
              </w:rPr>
              <w:t>Veiligheidscultuur versterken</w:t>
            </w:r>
          </w:p>
        </w:tc>
        <w:tc>
          <w:tcPr>
            <w:tcW w:type="dxa" w:w="2268"/>
            <w:shd w:fill="F3F4F6"/>
          </w:tcPr>
          <w:p>
            <w:r/>
            <w:r>
              <w:rPr>
                <w:rFonts w:ascii="Calibri" w:hAnsi="Calibri"/>
                <w:color w:val="1F2937"/>
                <w:sz w:val="20"/>
              </w:rPr>
              <w:t>Near-miss rapportagegraad</w:t>
            </w:r>
          </w:p>
        </w:tc>
        <w:tc>
          <w:tcPr>
            <w:tcW w:type="dxa" w:w="1701"/>
            <w:shd w:fill="F3F4F6"/>
          </w:tcPr>
          <w:p>
            <w:r/>
            <w:r>
              <w:rPr>
                <w:rFonts w:ascii="Calibri" w:hAnsi="Calibri"/>
                <w:color w:val="1F2937"/>
                <w:sz w:val="20"/>
              </w:rPr>
              <w:t>+50%</w:t>
            </w:r>
          </w:p>
        </w:tc>
        <w:tc>
          <w:tcPr>
            <w:tcW w:type="dxa" w:w="3118"/>
            <w:shd w:fill="F3F4F6"/>
          </w:tcPr>
          <w:p>
            <w:r/>
            <w:r>
              <w:rPr>
                <w:rFonts w:ascii="Calibri" w:hAnsi="Calibri"/>
                <w:color w:val="1F2937"/>
                <w:sz w:val="20"/>
              </w:rPr>
              <w:t>Baseline: eerste 3 maanden als referentie</w:t>
            </w:r>
          </w:p>
        </w:tc>
      </w:tr>
      <w:tr>
        <w:tc>
          <w:tcPr>
            <w:tcW w:type="dxa" w:w="2268"/>
          </w:tcPr>
          <w:p>
            <w:r/>
            <w:r>
              <w:rPr>
                <w:rFonts w:ascii="Calibri" w:hAnsi="Calibri"/>
                <w:color w:val="1F2937"/>
                <w:sz w:val="20"/>
              </w:rPr>
              <w:t>Competente organisatie</w:t>
            </w:r>
          </w:p>
        </w:tc>
        <w:tc>
          <w:tcPr>
            <w:tcW w:type="dxa" w:w="2268"/>
          </w:tcPr>
          <w:p>
            <w:r/>
            <w:r>
              <w:rPr>
                <w:rFonts w:ascii="Calibri" w:hAnsi="Calibri"/>
                <w:color w:val="1F2937"/>
                <w:sz w:val="20"/>
              </w:rPr>
              <w:t>% medewerkers met geldige certificering</w:t>
            </w:r>
          </w:p>
        </w:tc>
        <w:tc>
          <w:tcPr>
            <w:tcW w:type="dxa" w:w="1701"/>
          </w:tcPr>
          <w:p>
            <w:r/>
            <w:r>
              <w:rPr>
                <w:rFonts w:ascii="Calibri" w:hAnsi="Calibri"/>
                <w:color w:val="1F2937"/>
                <w:sz w:val="20"/>
              </w:rPr>
              <w:t>95%</w:t>
            </w:r>
          </w:p>
        </w:tc>
        <w:tc>
          <w:tcPr>
            <w:tcW w:type="dxa" w:w="3118"/>
          </w:tcPr>
          <w:p>
            <w:r/>
            <w:r>
              <w:rPr>
                <w:rFonts w:ascii="Calibri" w:hAnsi="Calibri"/>
                <w:color w:val="1F2937"/>
                <w:sz w:val="20"/>
              </w:rPr>
              <w:t>Opleidingenmatrix 2024 als kader</w:t>
            </w:r>
          </w:p>
        </w:tc>
      </w:tr>
      <w:tr>
        <w:tc>
          <w:tcPr>
            <w:tcW w:type="dxa" w:w="2268"/>
            <w:shd w:fill="F3F4F6"/>
          </w:tcPr>
          <w:p>
            <w:r/>
            <w:r>
              <w:rPr>
                <w:rFonts w:ascii="Calibri" w:hAnsi="Calibri"/>
                <w:color w:val="1F2937"/>
                <w:sz w:val="20"/>
              </w:rPr>
              <w:t>VBS-elementen operationeel</w:t>
            </w:r>
          </w:p>
        </w:tc>
        <w:tc>
          <w:tcPr>
            <w:tcW w:type="dxa" w:w="2268"/>
            <w:shd w:fill="F3F4F6"/>
          </w:tcPr>
          <w:p>
            <w:r/>
            <w:r>
              <w:rPr>
                <w:rFonts w:ascii="Calibri" w:hAnsi="Calibri"/>
                <w:color w:val="1F2937"/>
                <w:sz w:val="20"/>
              </w:rPr>
              <w:t>% VBS-pijlers geïmplementeerd</w:t>
            </w:r>
          </w:p>
        </w:tc>
        <w:tc>
          <w:tcPr>
            <w:tcW w:type="dxa" w:w="1701"/>
            <w:shd w:fill="F3F4F6"/>
          </w:tcPr>
          <w:p>
            <w:r/>
            <w:r>
              <w:rPr>
                <w:rFonts w:ascii="Calibri" w:hAnsi="Calibri"/>
                <w:color w:val="1F2937"/>
                <w:sz w:val="20"/>
              </w:rPr>
              <w:t>4 van 7</w:t>
            </w:r>
          </w:p>
        </w:tc>
        <w:tc>
          <w:tcPr>
            <w:tcW w:type="dxa" w:w="3118"/>
            <w:shd w:fill="F3F4F6"/>
          </w:tcPr>
          <w:p>
            <w:r/>
            <w:r>
              <w:rPr>
                <w:rFonts w:ascii="Calibri" w:hAnsi="Calibri"/>
                <w:color w:val="1F2937"/>
                <w:sz w:val="20"/>
              </w:rPr>
              <w:t>Fasering conform implementatieplan</w:t>
            </w:r>
          </w:p>
        </w:tc>
      </w:tr>
      <w:tr>
        <w:tc>
          <w:tcPr>
            <w:tcW w:type="dxa" w:w="2268"/>
          </w:tcPr>
          <w:p>
            <w:r/>
            <w:r>
              <w:rPr>
                <w:rFonts w:ascii="Calibri" w:hAnsi="Calibri"/>
                <w:color w:val="1F2937"/>
                <w:sz w:val="20"/>
              </w:rPr>
              <w:t>TRIR verlagen</w:t>
            </w:r>
          </w:p>
        </w:tc>
        <w:tc>
          <w:tcPr>
            <w:tcW w:type="dxa" w:w="2268"/>
          </w:tcPr>
          <w:p>
            <w:r/>
            <w:r>
              <w:rPr>
                <w:rFonts w:ascii="Calibri" w:hAnsi="Calibri"/>
                <w:color w:val="1F2937"/>
                <w:sz w:val="20"/>
              </w:rPr>
              <w:t>TRIR-score</w:t>
            </w:r>
          </w:p>
        </w:tc>
        <w:tc>
          <w:tcPr>
            <w:tcW w:type="dxa" w:w="1701"/>
          </w:tcPr>
          <w:p>
            <w:r/>
            <w:r>
              <w:rPr>
                <w:rFonts w:ascii="Calibri" w:hAnsi="Calibri"/>
                <w:color w:val="1F2937"/>
                <w:sz w:val="20"/>
              </w:rPr>
              <w:t>&lt; 2,0</w:t>
            </w:r>
          </w:p>
        </w:tc>
        <w:tc>
          <w:tcPr>
            <w:tcW w:type="dxa" w:w="3118"/>
          </w:tcPr>
          <w:p>
            <w:r/>
            <w:r>
              <w:rPr>
                <w:rFonts w:ascii="Calibri" w:hAnsi="Calibri"/>
                <w:color w:val="1F2937"/>
                <w:sz w:val="20"/>
              </w:rPr>
              <w:t>Benchmark metaalverwerkende industrie</w:t>
            </w:r>
          </w:p>
        </w:tc>
      </w:tr>
    </w:tbl>
    <w:p>
      <w:pPr>
        <w:pStyle w:val="Heading2"/>
      </w:pPr>
      <w:r>
        <w:rPr>
          <w:color w:val="003366"/>
        </w:rPr>
        <w:t>7.4 Rapportagecyclus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left"/>
            </w:pPr>
            <w:r/>
            <w:r>
              <w:rPr>
                <w:rFonts w:ascii="Calibri" w:hAnsi="Calibri"/>
                <w:b/>
                <w:color w:val="FFFFFF"/>
                <w:sz w:val="20"/>
              </w:rPr>
              <w:t>Rapportagetype</w:t>
            </w:r>
          </w:p>
        </w:tc>
        <w:tc>
          <w:tcPr>
            <w:tcW w:type="dxa" w:w="1701"/>
            <w:shd w:fill="003366"/>
          </w:tcPr>
          <w:p>
            <w:pPr>
              <w:jc w:val="left"/>
            </w:pPr>
            <w:r/>
            <w:r>
              <w:rPr>
                <w:rFonts w:ascii="Calibri" w:hAnsi="Calibri"/>
                <w:b/>
                <w:color w:val="FFFFFF"/>
                <w:sz w:val="20"/>
              </w:rPr>
              <w:t>Frequentie</w:t>
            </w:r>
          </w:p>
        </w:tc>
        <w:tc>
          <w:tcPr>
            <w:tcW w:type="dxa" w:w="2551"/>
            <w:shd w:fill="003366"/>
          </w:tcPr>
          <w:p>
            <w:pPr>
              <w:jc w:val="left"/>
            </w:pPr>
            <w:r/>
            <w:r>
              <w:rPr>
                <w:rFonts w:ascii="Calibri" w:hAnsi="Calibri"/>
                <w:b/>
                <w:color w:val="FFFFFF"/>
                <w:sz w:val="20"/>
              </w:rPr>
              <w:t>Verantwoordelijke</w:t>
            </w:r>
          </w:p>
        </w:tc>
        <w:tc>
          <w:tcPr>
            <w:tcW w:type="dxa" w:w="2835"/>
            <w:shd w:fill="003366"/>
          </w:tcPr>
          <w:p>
            <w:pPr>
              <w:jc w:val="left"/>
            </w:pPr>
            <w:r/>
            <w:r>
              <w:rPr>
                <w:rFonts w:ascii="Calibri" w:hAnsi="Calibri"/>
                <w:b/>
                <w:color w:val="FFFFFF"/>
                <w:sz w:val="20"/>
              </w:rPr>
              <w:t>Ontvanger</w:t>
            </w:r>
          </w:p>
        </w:tc>
      </w:tr>
      <w:tr>
        <w:tc>
          <w:tcPr>
            <w:tcW w:type="dxa" w:w="2268"/>
          </w:tcPr>
          <w:p>
            <w:r/>
            <w:r>
              <w:rPr>
                <w:rFonts w:ascii="Calibri" w:hAnsi="Calibri"/>
                <w:color w:val="1F2937"/>
                <w:sz w:val="20"/>
              </w:rPr>
              <w:t>Veiligheidsdashboard</w:t>
            </w:r>
          </w:p>
        </w:tc>
        <w:tc>
          <w:tcPr>
            <w:tcW w:type="dxa" w:w="1701"/>
          </w:tcPr>
          <w:p>
            <w:r/>
            <w:r>
              <w:rPr>
                <w:rFonts w:ascii="Calibri" w:hAnsi="Calibri"/>
                <w:color w:val="1F2937"/>
                <w:sz w:val="20"/>
              </w:rPr>
              <w:t>Maandelijks</w:t>
            </w:r>
          </w:p>
        </w:tc>
        <w:tc>
          <w:tcPr>
            <w:tcW w:type="dxa" w:w="2551"/>
          </w:tcPr>
          <w:p>
            <w:r/>
            <w:r>
              <w:rPr>
                <w:rFonts w:ascii="Calibri" w:hAnsi="Calibri"/>
                <w:color w:val="1F2937"/>
                <w:sz w:val="20"/>
              </w:rPr>
              <w:t>HSE Manager</w:t>
            </w:r>
          </w:p>
        </w:tc>
        <w:tc>
          <w:tcPr>
            <w:tcW w:type="dxa" w:w="2835"/>
          </w:tcPr>
          <w:p>
            <w:r/>
            <w:r>
              <w:rPr>
                <w:rFonts w:ascii="Calibri" w:hAnsi="Calibri"/>
                <w:color w:val="1F2937"/>
                <w:sz w:val="20"/>
              </w:rPr>
              <w:t>Plant Manager, Directie</w:t>
            </w:r>
          </w:p>
        </w:tc>
      </w:tr>
      <w:tr>
        <w:tc>
          <w:tcPr>
            <w:tcW w:type="dxa" w:w="2268"/>
            <w:shd w:fill="F3F4F6"/>
          </w:tcPr>
          <w:p>
            <w:r/>
            <w:r>
              <w:rPr>
                <w:rFonts w:ascii="Calibri" w:hAnsi="Calibri"/>
                <w:color w:val="1F2937"/>
                <w:sz w:val="20"/>
              </w:rPr>
              <w:t>Kwartaalrapportage VBS</w:t>
            </w:r>
          </w:p>
        </w:tc>
        <w:tc>
          <w:tcPr>
            <w:tcW w:type="dxa" w:w="1701"/>
            <w:shd w:fill="F3F4F6"/>
          </w:tcPr>
          <w:p>
            <w:r/>
            <w:r>
              <w:rPr>
                <w:rFonts w:ascii="Calibri" w:hAnsi="Calibri"/>
                <w:color w:val="1F2937"/>
                <w:sz w:val="20"/>
              </w:rPr>
              <w:t>Kwartaal</w:t>
            </w:r>
          </w:p>
        </w:tc>
        <w:tc>
          <w:tcPr>
            <w:tcW w:type="dxa" w:w="2551"/>
            <w:shd w:fill="F3F4F6"/>
          </w:tcPr>
          <w:p>
            <w:r/>
            <w:r>
              <w:rPr>
                <w:rFonts w:ascii="Calibri" w:hAnsi="Calibri"/>
                <w:color w:val="1F2937"/>
                <w:sz w:val="20"/>
              </w:rPr>
              <w:t>HSE Manager</w:t>
            </w:r>
          </w:p>
        </w:tc>
        <w:tc>
          <w:tcPr>
            <w:tcW w:type="dxa" w:w="2835"/>
            <w:shd w:fill="F3F4F6"/>
          </w:tcPr>
          <w:p>
            <w:r/>
            <w:r>
              <w:rPr>
                <w:rFonts w:ascii="Calibri" w:hAnsi="Calibri"/>
                <w:color w:val="1F2937"/>
                <w:sz w:val="20"/>
              </w:rPr>
              <w:t>Directie</w:t>
            </w:r>
          </w:p>
        </w:tc>
      </w:tr>
      <w:tr>
        <w:tc>
          <w:tcPr>
            <w:tcW w:type="dxa" w:w="2268"/>
          </w:tcPr>
          <w:p>
            <w:r/>
            <w:r>
              <w:rPr>
                <w:rFonts w:ascii="Calibri" w:hAnsi="Calibri"/>
                <w:color w:val="1F2937"/>
                <w:sz w:val="20"/>
              </w:rPr>
              <w:t>Jaarverslag veiligheid</w:t>
            </w:r>
          </w:p>
        </w:tc>
        <w:tc>
          <w:tcPr>
            <w:tcW w:type="dxa" w:w="1701"/>
          </w:tcPr>
          <w:p>
            <w:r/>
            <w:r>
              <w:rPr>
                <w:rFonts w:ascii="Calibri" w:hAnsi="Calibri"/>
                <w:color w:val="1F2937"/>
                <w:sz w:val="20"/>
              </w:rPr>
              <w:t>Jaarlijks</w:t>
            </w:r>
          </w:p>
        </w:tc>
        <w:tc>
          <w:tcPr>
            <w:tcW w:type="dxa" w:w="2551"/>
          </w:tcPr>
          <w:p>
            <w:r/>
            <w:r>
              <w:rPr>
                <w:rFonts w:ascii="Calibri" w:hAnsi="Calibri"/>
                <w:color w:val="1F2937"/>
                <w:sz w:val="20"/>
              </w:rPr>
              <w:t>HSE Manager + Plant Manager</w:t>
            </w:r>
          </w:p>
        </w:tc>
        <w:tc>
          <w:tcPr>
            <w:tcW w:type="dxa" w:w="2835"/>
          </w:tcPr>
          <w:p>
            <w:r/>
            <w:r>
              <w:rPr>
                <w:rFonts w:ascii="Calibri" w:hAnsi="Calibri"/>
                <w:color w:val="1F2937"/>
                <w:sz w:val="20"/>
              </w:rPr>
              <w:t>Directie, externe auditor</w:t>
            </w:r>
          </w:p>
        </w:tc>
      </w:tr>
      <w:tr>
        <w:tc>
          <w:tcPr>
            <w:tcW w:type="dxa" w:w="2268"/>
            <w:shd w:fill="F3F4F6"/>
          </w:tcPr>
          <w:p>
            <w:r/>
            <w:r>
              <w:rPr>
                <w:rFonts w:ascii="Calibri" w:hAnsi="Calibri"/>
                <w:color w:val="1F2937"/>
                <w:sz w:val="20"/>
              </w:rPr>
              <w:t>Management Review PBZO</w:t>
            </w:r>
          </w:p>
        </w:tc>
        <w:tc>
          <w:tcPr>
            <w:tcW w:type="dxa" w:w="1701"/>
            <w:shd w:fill="F3F4F6"/>
          </w:tcPr>
          <w:p>
            <w:r/>
            <w:r>
              <w:rPr>
                <w:rFonts w:ascii="Calibri" w:hAnsi="Calibri"/>
                <w:color w:val="1F2937"/>
                <w:sz w:val="20"/>
              </w:rPr>
              <w:t>Jaarlijks</w:t>
            </w:r>
          </w:p>
        </w:tc>
        <w:tc>
          <w:tcPr>
            <w:tcW w:type="dxa" w:w="2551"/>
            <w:shd w:fill="F3F4F6"/>
          </w:tcPr>
          <w:p>
            <w:r/>
            <w:r>
              <w:rPr>
                <w:rFonts w:ascii="Calibri" w:hAnsi="Calibri"/>
                <w:color w:val="1F2937"/>
                <w:sz w:val="20"/>
              </w:rPr>
              <w:t>Directie</w:t>
            </w:r>
          </w:p>
        </w:tc>
        <w:tc>
          <w:tcPr>
            <w:tcW w:type="dxa" w:w="2835"/>
            <w:shd w:fill="F3F4F6"/>
          </w:tcPr>
          <w:p>
            <w:r/>
            <w:r>
              <w:rPr>
                <w:rFonts w:ascii="Calibri" w:hAnsi="Calibri"/>
                <w:color w:val="1F2937"/>
                <w:sz w:val="20"/>
              </w:rPr>
              <w:t>Alle medewerkers (samenvatting)</w:t>
            </w:r>
          </w:p>
        </w:tc>
      </w:tr>
    </w:tbl>
    <w:p>
      <w:r>
        <w:br w:type="page"/>
      </w:r>
    </w:p>
    <w:p>
      <w:pPr>
        <w:pStyle w:val="Heading1"/>
      </w:pPr>
      <w:r>
        <w:rPr>
          <w:color w:val="003366"/>
        </w:rPr>
        <w:t>8. Review en actualisatie</w:t>
      </w:r>
    </w:p>
    <w:p>
      <w:pPr>
        <w:pStyle w:val="Heading2"/>
      </w:pPr>
      <w:r>
        <w:rPr>
          <w:color w:val="003366"/>
        </w:rPr>
        <w:t>8.1 Jaarlijkse review door Directie</w:t>
      </w:r>
    </w:p>
    <w:p>
      <w:pPr>
        <w:spacing w:after="120"/>
      </w:pPr>
      <w:r>
        <w:rPr>
          <w:rFonts w:ascii="Calibri" w:hAnsi="Calibri"/>
          <w:b w:val="0"/>
          <w:i w:val="0"/>
          <w:color w:val="1F2937"/>
          <w:sz w:val="22"/>
        </w:rPr>
        <w:t>De Directie voert minimaal eenmaal per jaar een formele review uit van het PBZO en het Veiligheidsbeheersysteem. Deze review omvat:</w:t>
      </w:r>
    </w:p>
    <w:p>
      <w:pPr>
        <w:pStyle w:val="ListBullet"/>
      </w:pPr>
      <w:r>
        <w:rPr>
          <w:rFonts w:ascii="Calibri" w:hAnsi="Calibri"/>
          <w:sz w:val="22"/>
        </w:rPr>
        <w:t>Evaluatie van de veiligheidsprestaties ten opzichte van de gestelde targets (hoofdstuk 7)</w:t>
      </w:r>
    </w:p>
    <w:p>
      <w:pPr>
        <w:pStyle w:val="ListBullet"/>
      </w:pPr>
      <w:r>
        <w:rPr>
          <w:rFonts w:ascii="Calibri" w:hAnsi="Calibri"/>
          <w:sz w:val="22"/>
        </w:rPr>
        <w:t>Beoordeling van de effectiviteit van de beheersmaatregelen</w:t>
      </w:r>
    </w:p>
    <w:p>
      <w:pPr>
        <w:pStyle w:val="ListBullet"/>
      </w:pPr>
      <w:r>
        <w:rPr>
          <w:rFonts w:ascii="Calibri" w:hAnsi="Calibri"/>
          <w:sz w:val="22"/>
        </w:rPr>
        <w:t>Analyse van incidenten, near-misses en auditbevindingen over het afgelopen jaar</w:t>
      </w:r>
    </w:p>
    <w:p>
      <w:pPr>
        <w:pStyle w:val="ListBullet"/>
      </w:pPr>
      <w:r>
        <w:rPr>
          <w:rFonts w:ascii="Calibri" w:hAnsi="Calibri"/>
          <w:sz w:val="22"/>
        </w:rPr>
        <w:t>Herbeoordeling van de risicocontext (nieuwe stoffen, gewijzigde processen, nieuwe inzichten)</w:t>
      </w:r>
    </w:p>
    <w:p>
      <w:pPr>
        <w:pStyle w:val="ListBullet"/>
      </w:pPr>
      <w:r>
        <w:rPr>
          <w:rFonts w:ascii="Calibri" w:hAnsi="Calibri"/>
          <w:sz w:val="22"/>
        </w:rPr>
        <w:t>Vaststelling van bijgewerkte doelstellingen en actieplannen voor het komende jaar</w:t>
      </w:r>
    </w:p>
    <w:p>
      <w:pPr>
        <w:pStyle w:val="ListBullet"/>
      </w:pPr>
      <w:r>
        <w:rPr>
          <w:rFonts w:ascii="Calibri" w:hAnsi="Calibri"/>
          <w:sz w:val="22"/>
        </w:rPr>
        <w:t>Beoordeling van de actualiteit en volledigheid van alle VBS-documenten</w:t>
      </w:r>
    </w:p>
    <w:p>
      <w:pPr>
        <w:pStyle w:val="Heading2"/>
      </w:pPr>
      <w:r>
        <w:rPr>
          <w:color w:val="003366"/>
        </w:rPr>
        <w:t>8.2 5-jaarlijkse herbeoordeling</w:t>
      </w:r>
    </w:p>
    <w:p>
      <w:pPr>
        <w:spacing w:after="120"/>
      </w:pPr>
      <w:r>
        <w:rPr>
          <w:rFonts w:ascii="Calibri" w:hAnsi="Calibri"/>
          <w:b w:val="0"/>
          <w:i w:val="0"/>
          <w:color w:val="1F2937"/>
          <w:sz w:val="22"/>
        </w:rPr>
        <w:t>Conform artikel 4.12 van het Besluit activiteiten leefomgeving (Bal) [2] wordt het PBZO minimaal elke vijf jaar integraal herbeoordeeld. Deze herbeoordeling omvat:</w:t>
      </w:r>
    </w:p>
    <w:p>
      <w:pPr>
        <w:pStyle w:val="ListBullet"/>
      </w:pPr>
      <w:r>
        <w:rPr>
          <w:rFonts w:ascii="Calibri" w:hAnsi="Calibri"/>
          <w:sz w:val="22"/>
        </w:rPr>
        <w:t>Volledige herziening van de risicobeoordeling in het licht van actuele kennis en technologie</w:t>
      </w:r>
    </w:p>
    <w:p>
      <w:pPr>
        <w:pStyle w:val="ListBullet"/>
      </w:pPr>
      <w:r>
        <w:rPr>
          <w:rFonts w:ascii="Calibri" w:hAnsi="Calibri"/>
          <w:sz w:val="22"/>
        </w:rPr>
        <w:t>Toetsing aan gewijzigde wet- en regelgeving</w:t>
      </w:r>
    </w:p>
    <w:p>
      <w:pPr>
        <w:pStyle w:val="ListBullet"/>
      </w:pPr>
      <w:r>
        <w:rPr>
          <w:rFonts w:ascii="Calibri" w:hAnsi="Calibri"/>
          <w:sz w:val="22"/>
        </w:rPr>
        <w:t>Evaluatie van de organisatorische structuur en competentieniveaus</w:t>
      </w:r>
    </w:p>
    <w:p>
      <w:pPr>
        <w:pStyle w:val="ListBullet"/>
      </w:pPr>
      <w:r>
        <w:rPr>
          <w:rFonts w:ascii="Calibri" w:hAnsi="Calibri"/>
          <w:sz w:val="22"/>
        </w:rPr>
        <w:t>Beoordeling van de prestaties van het VBS over de afgelopen vijf jaar</w:t>
      </w:r>
    </w:p>
    <w:p>
      <w:pPr>
        <w:pStyle w:val="ListBullet"/>
      </w:pPr>
      <w:r>
        <w:rPr>
          <w:rFonts w:ascii="Calibri" w:hAnsi="Calibri"/>
          <w:sz w:val="22"/>
        </w:rPr>
        <w:t>Vaststelling van het geüpdatete PBZO door de Directie</w:t>
      </w:r>
    </w:p>
    <w:p>
      <w:pPr>
        <w:pStyle w:val="Heading2"/>
      </w:pPr>
      <w:r>
        <w:rPr>
          <w:color w:val="003366"/>
        </w:rPr>
        <w:t>8.3 Triggers voor tussentijdse actualisatie</w:t>
      </w:r>
    </w:p>
    <w:p>
      <w:pPr>
        <w:spacing w:after="120"/>
      </w:pPr>
      <w:r>
        <w:rPr>
          <w:rFonts w:ascii="Calibri" w:hAnsi="Calibri"/>
          <w:b w:val="0"/>
          <w:i w:val="0"/>
          <w:color w:val="1F2937"/>
          <w:sz w:val="22"/>
        </w:rPr>
        <w:t>Naast de vaste reviewcycli wordt het PBZO tussentijds geactualiseerd indien een of meer van de volgende situaties zich voordoen:</w:t>
      </w:r>
    </w:p>
    <w:tbl>
      <w:tblPr>
        <w:tblStyle w:val="TableGrid"/>
        <w:tblW w:type="auto" w:w="0"/>
        <w:jc w:val="center"/>
        <w:tblLook w:firstColumn="1" w:firstRow="1" w:lastColumn="0" w:lastRow="0" w:noHBand="0" w:noVBand="1" w:val="04A0"/>
      </w:tblPr>
      <w:tblGrid>
        <w:gridCol w:w="3024"/>
        <w:gridCol w:w="3024"/>
        <w:gridCol w:w="3024"/>
      </w:tblGrid>
      <w:tr>
        <w:tc>
          <w:tcPr>
            <w:tcW w:type="dxa" w:w="2835"/>
            <w:shd w:fill="003366"/>
          </w:tcPr>
          <w:p>
            <w:pPr>
              <w:jc w:val="left"/>
            </w:pPr>
            <w:r/>
            <w:r>
              <w:rPr>
                <w:rFonts w:ascii="Calibri" w:hAnsi="Calibri"/>
                <w:b/>
                <w:color w:val="FFFFFF"/>
                <w:sz w:val="20"/>
              </w:rPr>
              <w:t>Trigger</w:t>
            </w:r>
          </w:p>
        </w:tc>
        <w:tc>
          <w:tcPr>
            <w:tcW w:type="dxa" w:w="3969"/>
            <w:shd w:fill="003366"/>
          </w:tcPr>
          <w:p>
            <w:pPr>
              <w:jc w:val="left"/>
            </w:pPr>
            <w:r/>
            <w:r>
              <w:rPr>
                <w:rFonts w:ascii="Calibri" w:hAnsi="Calibri"/>
                <w:b/>
                <w:color w:val="FFFFFF"/>
                <w:sz w:val="20"/>
              </w:rPr>
              <w:t>Actie</w:t>
            </w:r>
          </w:p>
        </w:tc>
        <w:tc>
          <w:tcPr>
            <w:tcW w:type="dxa" w:w="2835"/>
            <w:shd w:fill="003366"/>
          </w:tcPr>
          <w:p>
            <w:pPr>
              <w:jc w:val="left"/>
            </w:pPr>
            <w:r/>
            <w:r>
              <w:rPr>
                <w:rFonts w:ascii="Calibri" w:hAnsi="Calibri"/>
                <w:b/>
                <w:color w:val="FFFFFF"/>
                <w:sz w:val="20"/>
              </w:rPr>
              <w:t>Verantwoordelijke</w:t>
            </w:r>
          </w:p>
        </w:tc>
      </w:tr>
      <w:tr>
        <w:tc>
          <w:tcPr>
            <w:tcW w:type="dxa" w:w="2835"/>
          </w:tcPr>
          <w:p>
            <w:r/>
            <w:r>
              <w:rPr>
                <w:rFonts w:ascii="Calibri" w:hAnsi="Calibri"/>
                <w:color w:val="1F2937"/>
                <w:sz w:val="20"/>
              </w:rPr>
              <w:t>Significante wijziging in activiteiten of processen</w:t>
            </w:r>
          </w:p>
        </w:tc>
        <w:tc>
          <w:tcPr>
            <w:tcW w:type="dxa" w:w="3969"/>
          </w:tcPr>
          <w:p>
            <w:r/>
            <w:r>
              <w:rPr>
                <w:rFonts w:ascii="Calibri" w:hAnsi="Calibri"/>
                <w:color w:val="1F2937"/>
                <w:sz w:val="20"/>
              </w:rPr>
              <w:t>MoC-procedure (PE-202-01) → actualisatie PBZO-indien relevant</w:t>
            </w:r>
          </w:p>
        </w:tc>
        <w:tc>
          <w:tcPr>
            <w:tcW w:type="dxa" w:w="2835"/>
          </w:tcPr>
          <w:p>
            <w:r/>
            <w:r>
              <w:rPr>
                <w:rFonts w:ascii="Calibri" w:hAnsi="Calibri"/>
                <w:color w:val="1F2937"/>
                <w:sz w:val="20"/>
              </w:rPr>
              <w:t>Plant Manager + HSE Manager</w:t>
            </w:r>
          </w:p>
        </w:tc>
      </w:tr>
      <w:tr>
        <w:tc>
          <w:tcPr>
            <w:tcW w:type="dxa" w:w="2835"/>
            <w:shd w:fill="F3F4F6"/>
          </w:tcPr>
          <w:p>
            <w:r/>
            <w:r>
              <w:rPr>
                <w:rFonts w:ascii="Calibri" w:hAnsi="Calibri"/>
                <w:color w:val="1F2937"/>
                <w:sz w:val="20"/>
              </w:rPr>
              <w:t>Ernstig incident of near-miss met hoge risicoklasse</w:t>
            </w:r>
          </w:p>
        </w:tc>
        <w:tc>
          <w:tcPr>
            <w:tcW w:type="dxa" w:w="3969"/>
            <w:shd w:fill="F3F4F6"/>
          </w:tcPr>
          <w:p>
            <w:r/>
            <w:r>
              <w:rPr>
                <w:rFonts w:ascii="Calibri" w:hAnsi="Calibri"/>
                <w:color w:val="1F2937"/>
                <w:sz w:val="20"/>
              </w:rPr>
              <w:t>Incidentanalyse → bijstelling beleidsuitgangspunten indien nodig</w:t>
            </w:r>
          </w:p>
        </w:tc>
        <w:tc>
          <w:tcPr>
            <w:tcW w:type="dxa" w:w="2835"/>
            <w:shd w:fill="F3F4F6"/>
          </w:tcPr>
          <w:p>
            <w:r/>
            <w:r>
              <w:rPr>
                <w:rFonts w:ascii="Calibri" w:hAnsi="Calibri"/>
                <w:color w:val="1F2937"/>
                <w:sz w:val="20"/>
              </w:rPr>
              <w:t>Directie + HSE Manager</w:t>
            </w:r>
          </w:p>
        </w:tc>
      </w:tr>
      <w:tr>
        <w:tc>
          <w:tcPr>
            <w:tcW w:type="dxa" w:w="2835"/>
          </w:tcPr>
          <w:p>
            <w:r/>
            <w:r>
              <w:rPr>
                <w:rFonts w:ascii="Calibri" w:hAnsi="Calibri"/>
                <w:color w:val="1F2937"/>
                <w:sz w:val="20"/>
              </w:rPr>
              <w:t>Wijziging in wet- en regelgeving</w:t>
            </w:r>
          </w:p>
        </w:tc>
        <w:tc>
          <w:tcPr>
            <w:tcW w:type="dxa" w:w="3969"/>
          </w:tcPr>
          <w:p>
            <w:r/>
            <w:r>
              <w:rPr>
                <w:rFonts w:ascii="Calibri" w:hAnsi="Calibri"/>
                <w:color w:val="1F2937"/>
                <w:sz w:val="20"/>
              </w:rPr>
              <w:t>Impactanalyse → actualisatie wettelijk kader en beleidsuitgangspunten</w:t>
            </w:r>
          </w:p>
        </w:tc>
        <w:tc>
          <w:tcPr>
            <w:tcW w:type="dxa" w:w="2835"/>
          </w:tcPr>
          <w:p>
            <w:r/>
            <w:r>
              <w:rPr>
                <w:rFonts w:ascii="Calibri" w:hAnsi="Calibri"/>
                <w:color w:val="1F2937"/>
                <w:sz w:val="20"/>
              </w:rPr>
              <w:t>HSE Manager</w:t>
            </w:r>
          </w:p>
        </w:tc>
      </w:tr>
      <w:tr>
        <w:tc>
          <w:tcPr>
            <w:tcW w:type="dxa" w:w="2835"/>
            <w:shd w:fill="F3F4F6"/>
          </w:tcPr>
          <w:p>
            <w:r/>
            <w:r>
              <w:rPr>
                <w:rFonts w:ascii="Calibri" w:hAnsi="Calibri"/>
                <w:color w:val="1F2937"/>
                <w:sz w:val="20"/>
              </w:rPr>
              <w:t>Wijziging in gehanteerde gevaarlijke stoffen (soort/hoeveelheid)</w:t>
            </w:r>
          </w:p>
        </w:tc>
        <w:tc>
          <w:tcPr>
            <w:tcW w:type="dxa" w:w="3969"/>
            <w:shd w:fill="F3F4F6"/>
          </w:tcPr>
          <w:p>
            <w:r/>
            <w:r>
              <w:rPr>
                <w:rFonts w:ascii="Calibri" w:hAnsi="Calibri"/>
                <w:color w:val="1F2937"/>
                <w:sz w:val="20"/>
              </w:rPr>
              <w:t>Herbeoordeling risicoprofiel → actualisatie §4.2</w:t>
            </w:r>
          </w:p>
        </w:tc>
        <w:tc>
          <w:tcPr>
            <w:tcW w:type="dxa" w:w="2835"/>
            <w:shd w:fill="F3F4F6"/>
          </w:tcPr>
          <w:p>
            <w:r/>
            <w:r>
              <w:rPr>
                <w:rFonts w:ascii="Calibri" w:hAnsi="Calibri"/>
                <w:color w:val="1F2937"/>
                <w:sz w:val="20"/>
              </w:rPr>
              <w:t>HSE Manager + Proces Engineer</w:t>
            </w:r>
          </w:p>
        </w:tc>
      </w:tr>
      <w:tr>
        <w:tc>
          <w:tcPr>
            <w:tcW w:type="dxa" w:w="2835"/>
          </w:tcPr>
          <w:p>
            <w:r/>
            <w:r>
              <w:rPr>
                <w:rFonts w:ascii="Calibri" w:hAnsi="Calibri"/>
                <w:color w:val="1F2937"/>
                <w:sz w:val="20"/>
              </w:rPr>
              <w:t>Resultaten van audits met structurele afwijkingen</w:t>
            </w:r>
          </w:p>
        </w:tc>
        <w:tc>
          <w:tcPr>
            <w:tcW w:type="dxa" w:w="3969"/>
          </w:tcPr>
          <w:p>
            <w:r/>
            <w:r>
              <w:rPr>
                <w:rFonts w:ascii="Calibri" w:hAnsi="Calibri"/>
                <w:color w:val="1F2937"/>
                <w:sz w:val="20"/>
              </w:rPr>
              <w:t>Correctieprogramma → bijstelling procedures en beleid</w:t>
            </w:r>
          </w:p>
        </w:tc>
        <w:tc>
          <w:tcPr>
            <w:tcW w:type="dxa" w:w="2835"/>
          </w:tcPr>
          <w:p>
            <w:r/>
            <w:r>
              <w:rPr>
                <w:rFonts w:ascii="Calibri" w:hAnsi="Calibri"/>
                <w:color w:val="1F2937"/>
                <w:sz w:val="20"/>
              </w:rPr>
              <w:t>HSE Manager</w:t>
            </w:r>
          </w:p>
        </w:tc>
      </w:tr>
      <w:tr>
        <w:tc>
          <w:tcPr>
            <w:tcW w:type="dxa" w:w="2835"/>
            <w:shd w:fill="F3F4F6"/>
          </w:tcPr>
          <w:p>
            <w:r/>
            <w:r>
              <w:rPr>
                <w:rFonts w:ascii="Calibri" w:hAnsi="Calibri"/>
                <w:color w:val="1F2937"/>
                <w:sz w:val="20"/>
              </w:rPr>
              <w:t>Reorganisatie of wijziging sleutelpersoneel</w:t>
            </w:r>
          </w:p>
        </w:tc>
        <w:tc>
          <w:tcPr>
            <w:tcW w:type="dxa" w:w="3969"/>
            <w:shd w:fill="F3F4F6"/>
          </w:tcPr>
          <w:p>
            <w:r/>
            <w:r>
              <w:rPr>
                <w:rFonts w:ascii="Calibri" w:hAnsi="Calibri"/>
                <w:color w:val="1F2937"/>
                <w:sz w:val="20"/>
              </w:rPr>
              <w:t>Herbeoordeling competenties en rapportagelijnen</w:t>
            </w:r>
          </w:p>
        </w:tc>
        <w:tc>
          <w:tcPr>
            <w:tcW w:type="dxa" w:w="2835"/>
            <w:shd w:fill="F3F4F6"/>
          </w:tcPr>
          <w:p>
            <w:r/>
            <w:r>
              <w:rPr>
                <w:rFonts w:ascii="Calibri" w:hAnsi="Calibri"/>
                <w:color w:val="1F2937"/>
                <w:sz w:val="20"/>
              </w:rPr>
              <w:t>Directie</w:t>
            </w:r>
          </w:p>
        </w:tc>
      </w:tr>
    </w:tbl>
    <w:p>
      <w:r>
        <w:br w:type="page"/>
      </w:r>
    </w:p>
    <w:p>
      <w:pPr>
        <w:pStyle w:val="Heading1"/>
      </w:pPr>
      <w:r>
        <w:rPr>
          <w:color w:val="003366"/>
        </w:rPr>
        <w:t>9. Bijlagen</w:t>
      </w:r>
    </w:p>
    <w:p>
      <w:pPr>
        <w:pStyle w:val="Heading2"/>
      </w:pPr>
      <w:r>
        <w:rPr>
          <w:color w:val="003366"/>
        </w:rPr>
        <w:t>Bijlage A: Organigram</w:t>
      </w:r>
    </w:p>
    <w:p>
      <w:pPr>
        <w:spacing w:after="120"/>
      </w:pPr>
      <w:r>
        <w:rPr>
          <w:rFonts w:ascii="Calibri" w:hAnsi="Calibri"/>
          <w:b w:val="0"/>
          <w:i w:val="0"/>
          <w:color w:val="1F2937"/>
          <w:sz w:val="22"/>
        </w:rPr>
        <w:t>Onderstaand organigram toont de veiligheidsstructuur van Phoenix Metals B.V.:</w:t>
      </w:r>
    </w:p>
    <w:p>
      <w:pPr>
        <w:spacing w:after="120"/>
      </w:pPr>
      <w:r>
        <w:rPr>
          <w:rFonts w:ascii="Calibri" w:hAnsi="Calibri"/>
          <w:b w:val="0"/>
          <w:i w:val="0"/>
          <w:color w:val="1F2937"/>
          <w:sz w:val="22"/>
        </w:rPr>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DIRECTIE                     │</w:t>
      </w:r>
    </w:p>
    <w:p>
      <w:pPr>
        <w:spacing w:after="120"/>
      </w:pPr>
      <w:r>
        <w:rPr>
          <w:rFonts w:ascii="Calibri" w:hAnsi="Calibri"/>
          <w:b w:val="0"/>
          <w:i w:val="0"/>
          <w:color w:val="1F2937"/>
          <w:sz w:val="20"/>
        </w:rPr>
        <w:t xml:space="preserve">                        │    Stijn van Zelst              │</w:t>
      </w:r>
    </w:p>
    <w:p>
      <w:pPr>
        <w:spacing w:after="120"/>
      </w:pPr>
      <w:r>
        <w:rPr>
          <w:rFonts w:ascii="Calibri" w:hAnsi="Calibri"/>
          <w:b w:val="0"/>
          <w:i w:val="0"/>
          <w:color w:val="1F2937"/>
          <w:sz w:val="20"/>
        </w:rPr>
        <w:t xml:space="preserve">                        │    Managing Director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PLANT MANAGER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 HSE MANAGER     │     │ PROCES ENGINEER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VOORMANNEN / LIJNMANAGERS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w:t>
      </w:r>
    </w:p>
    <w:p>
      <w:pPr>
        <w:spacing w:after="120"/>
      </w:pPr>
      <w:r>
        <w:rPr>
          <w:rFonts w:ascii="Calibri" w:hAnsi="Calibri"/>
          <w:b w:val="0"/>
          <w:i w:val="0"/>
          <w:color w:val="1F2937"/>
          <w:sz w:val="20"/>
        </w:rPr>
        <w:t xml:space="preserve">        │                │                │</w:t>
      </w:r>
    </w:p>
    <w:p>
      <w:pPr>
        <w:spacing w:after="120"/>
      </w:pPr>
      <w:r>
        <w:rPr>
          <w:rFonts w:ascii="Calibri" w:hAnsi="Calibri"/>
          <w:b w:val="0"/>
          <w:i w:val="0"/>
          <w:color w:val="1F2937"/>
          <w:sz w:val="20"/>
        </w:rPr>
        <w:t xml:space="preserve">  ┌─────┴─────┐  ┌──────┴──────┐  ┌──────┴──────┐</w:t>
      </w:r>
    </w:p>
    <w:p>
      <w:pPr>
        <w:spacing w:after="120"/>
      </w:pPr>
      <w:r>
        <w:rPr>
          <w:rFonts w:ascii="Calibri" w:hAnsi="Calibri"/>
          <w:b w:val="0"/>
          <w:i w:val="0"/>
          <w:color w:val="1F2937"/>
          <w:sz w:val="20"/>
        </w:rPr>
        <w:t xml:space="preserve">  │ OPERATOREN│  │ TECHNICI    │  │ ONDER-      │</w:t>
      </w:r>
    </w:p>
    <w:p>
      <w:pPr>
        <w:spacing w:after="120"/>
      </w:pPr>
      <w:r>
        <w:rPr>
          <w:rFonts w:ascii="Calibri" w:hAnsi="Calibri"/>
          <w:b w:val="0"/>
          <w:i w:val="0"/>
          <w:color w:val="1F2937"/>
          <w:sz w:val="20"/>
        </w:rPr>
        <w:t xml:space="preserve">  │           │  │             │  │ AANNEMERS   │</w:t>
      </w:r>
    </w:p>
    <w:p>
      <w:pPr>
        <w:spacing w:after="120"/>
      </w:pPr>
      <w:r>
        <w:rPr>
          <w:rFonts w:ascii="Calibri" w:hAnsi="Calibri"/>
          <w:b w:val="0"/>
          <w:i w:val="0"/>
          <w:color w:val="1F2937"/>
          <w:sz w:val="20"/>
        </w:rPr>
        <w:t xml:space="preserve">  └───────────┘  └─────────────┘  └─────────────┘</w:t>
      </w:r>
    </w:p>
    <w:p>
      <w:pPr>
        <w:pStyle w:val="Heading2"/>
      </w:pPr>
      <w:r>
        <w:rPr>
          <w:color w:val="003366"/>
        </w:rPr>
        <w:t>Bijlage B: Overzicht VBS-elementen en documenten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551"/>
            <w:shd w:fill="003366"/>
          </w:tcPr>
          <w:p>
            <w:pPr>
              <w:jc w:val="left"/>
            </w:pPr>
            <w:r/>
            <w:r>
              <w:rPr>
                <w:rFonts w:ascii="Calibri" w:hAnsi="Calibri"/>
                <w:b/>
                <w:color w:val="FFFFFF"/>
                <w:sz w:val="20"/>
              </w:rPr>
              <w:t>VBS Element</w:t>
            </w:r>
          </w:p>
        </w:tc>
        <w:tc>
          <w:tcPr>
            <w:tcW w:type="dxa" w:w="1701"/>
            <w:shd w:fill="003366"/>
          </w:tcPr>
          <w:p>
            <w:pPr>
              <w:jc w:val="left"/>
            </w:pPr>
            <w:r/>
            <w:r>
              <w:rPr>
                <w:rFonts w:ascii="Calibri" w:hAnsi="Calibri"/>
                <w:b/>
                <w:color w:val="FFFFFF"/>
                <w:sz w:val="20"/>
              </w:rPr>
              <w:t>Documentnummer</w:t>
            </w:r>
          </w:p>
        </w:tc>
        <w:tc>
          <w:tcPr>
            <w:tcW w:type="dxa" w:w="3402"/>
            <w:shd w:fill="003366"/>
          </w:tcPr>
          <w:p>
            <w:pPr>
              <w:jc w:val="left"/>
            </w:pPr>
            <w:r/>
            <w:r>
              <w:rPr>
                <w:rFonts w:ascii="Calibri" w:hAnsi="Calibri"/>
                <w:b/>
                <w:color w:val="FFFFFF"/>
                <w:sz w:val="20"/>
              </w:rPr>
              <w:t>Documentnaam</w:t>
            </w:r>
          </w:p>
        </w:tc>
        <w:tc>
          <w:tcPr>
            <w:tcW w:type="dxa" w:w="1984"/>
            <w:shd w:fill="003366"/>
          </w:tcPr>
          <w:p>
            <w:pPr>
              <w:jc w:val="left"/>
            </w:pPr>
            <w:r/>
            <w:r>
              <w:rPr>
                <w:rFonts w:ascii="Calibri" w:hAnsi="Calibri"/>
                <w:b/>
                <w:color w:val="FFFFFF"/>
                <w:sz w:val="20"/>
              </w:rPr>
              <w:t>Status</w:t>
            </w:r>
          </w:p>
        </w:tc>
      </w:tr>
      <w:tr>
        <w:tc>
          <w:tcPr>
            <w:tcW w:type="dxa" w:w="2551"/>
          </w:tcPr>
          <w:p>
            <w:r/>
            <w:r>
              <w:rPr>
                <w:rFonts w:ascii="Calibri" w:hAnsi="Calibri"/>
                <w:color w:val="1F2937"/>
                <w:sz w:val="20"/>
              </w:rPr>
              <w:t>I. Preventiebeleid</w:t>
            </w:r>
          </w:p>
        </w:tc>
        <w:tc>
          <w:tcPr>
            <w:tcW w:type="dxa" w:w="1701"/>
          </w:tcPr>
          <w:p>
            <w:r/>
            <w:r>
              <w:rPr>
                <w:rFonts w:ascii="Calibri" w:hAnsi="Calibri"/>
                <w:color w:val="1F2937"/>
                <w:sz w:val="20"/>
              </w:rPr>
              <w:t>PS-230</w:t>
            </w:r>
          </w:p>
        </w:tc>
        <w:tc>
          <w:tcPr>
            <w:tcW w:type="dxa" w:w="3402"/>
          </w:tcPr>
          <w:p>
            <w:r/>
            <w:r>
              <w:rPr>
                <w:rFonts w:ascii="Calibri" w:hAnsi="Calibri"/>
                <w:color w:val="1F2937"/>
                <w:sz w:val="20"/>
              </w:rPr>
              <w:t>PBZO Beleidsdocument</w:t>
            </w:r>
          </w:p>
        </w:tc>
        <w:tc>
          <w:tcPr>
            <w:tcW w:type="dxa" w:w="1984"/>
          </w:tcPr>
          <w:p>
            <w:r/>
            <w:r>
              <w:rPr>
                <w:rFonts w:ascii="Calibri" w:hAnsi="Calibri"/>
                <w:color w:val="1F2937"/>
                <w:sz w:val="20"/>
              </w:rPr>
              <w:t>V1.0 (dit document)</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PS-231</w:t>
            </w:r>
          </w:p>
        </w:tc>
        <w:tc>
          <w:tcPr>
            <w:tcW w:type="dxa" w:w="3402"/>
            <w:shd w:fill="F3F4F6"/>
          </w:tcPr>
          <w:p>
            <w:r/>
            <w:r>
              <w:rPr>
                <w:rFonts w:ascii="Calibri" w:hAnsi="Calibri"/>
                <w:color w:val="1F2937"/>
                <w:sz w:val="20"/>
              </w:rPr>
              <w:t>Functieprofielen met veiligheidsrollen</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 Organisatie en Personeel</w:t>
            </w:r>
          </w:p>
        </w:tc>
        <w:tc>
          <w:tcPr>
            <w:tcW w:type="dxa" w:w="1701"/>
          </w:tcPr>
          <w:p>
            <w:r/>
            <w:r>
              <w:rPr>
                <w:rFonts w:ascii="Calibri" w:hAnsi="Calibri"/>
                <w:color w:val="1F2937"/>
                <w:sz w:val="20"/>
              </w:rPr>
              <w:t>PS-232</w:t>
            </w:r>
          </w:p>
        </w:tc>
        <w:tc>
          <w:tcPr>
            <w:tcW w:type="dxa" w:w="3402"/>
          </w:tcPr>
          <w:p>
            <w:r/>
            <w:r>
              <w:rPr>
                <w:rFonts w:ascii="Calibri" w:hAnsi="Calibri"/>
                <w:color w:val="1F2937"/>
                <w:sz w:val="20"/>
              </w:rPr>
              <w:t>Opleidingen- en competentiebeleid</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PS-233</w:t>
            </w:r>
          </w:p>
        </w:tc>
        <w:tc>
          <w:tcPr>
            <w:tcW w:type="dxa" w:w="3402"/>
            <w:shd w:fill="F3F4F6"/>
          </w:tcPr>
          <w:p>
            <w:r/>
            <w:r>
              <w:rPr>
                <w:rFonts w:ascii="Calibri" w:hAnsi="Calibri"/>
                <w:color w:val="1F2937"/>
                <w:sz w:val="20"/>
              </w:rPr>
              <w:t>Training matrix per functie</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 Organisatie en Personeel</w:t>
            </w:r>
          </w:p>
        </w:tc>
        <w:tc>
          <w:tcPr>
            <w:tcW w:type="dxa" w:w="1701"/>
          </w:tcPr>
          <w:p>
            <w:r/>
            <w:r>
              <w:rPr>
                <w:rFonts w:ascii="Calibri" w:hAnsi="Calibri"/>
                <w:color w:val="1F2937"/>
                <w:sz w:val="20"/>
              </w:rPr>
              <w:t>PS-234</w:t>
            </w:r>
          </w:p>
        </w:tc>
        <w:tc>
          <w:tcPr>
            <w:tcW w:type="dxa" w:w="3402"/>
          </w:tcPr>
          <w:p>
            <w:r/>
            <w:r>
              <w:rPr>
                <w:rFonts w:ascii="Calibri" w:hAnsi="Calibri"/>
                <w:color w:val="1F2937"/>
                <w:sz w:val="20"/>
              </w:rPr>
              <w:t>Inwerkprogramma nieuwe medewerkers</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II. Organisatie en Personeel</w:t>
            </w:r>
          </w:p>
        </w:tc>
        <w:tc>
          <w:tcPr>
            <w:tcW w:type="dxa" w:w="1701"/>
            <w:shd w:fill="F3F4F6"/>
          </w:tcPr>
          <w:p>
            <w:r/>
            <w:r>
              <w:rPr>
                <w:rFonts w:ascii="Calibri" w:hAnsi="Calibri"/>
                <w:color w:val="1F2937"/>
                <w:sz w:val="20"/>
              </w:rPr>
              <w:t>PS-235</w:t>
            </w:r>
          </w:p>
        </w:tc>
        <w:tc>
          <w:tcPr>
            <w:tcW w:type="dxa" w:w="3402"/>
            <w:shd w:fill="F3F4F6"/>
          </w:tcPr>
          <w:p>
            <w:r/>
            <w:r>
              <w:rPr>
                <w:rFonts w:ascii="Calibri" w:hAnsi="Calibri"/>
                <w:color w:val="1F2937"/>
                <w:sz w:val="20"/>
              </w:rPr>
              <w:t>Procedure veiligheidsonderaannemers</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III. Identificatie en Evaluatie</w:t>
            </w:r>
          </w:p>
        </w:tc>
        <w:tc>
          <w:tcPr>
            <w:tcW w:type="dxa" w:w="1701"/>
          </w:tcPr>
          <w:p>
            <w:r/>
            <w:r>
              <w:rPr>
                <w:rFonts w:ascii="Calibri" w:hAnsi="Calibri"/>
                <w:color w:val="1F2937"/>
                <w:sz w:val="20"/>
              </w:rPr>
              <w:t>PE-505-01</w:t>
            </w:r>
          </w:p>
        </w:tc>
        <w:tc>
          <w:tcPr>
            <w:tcW w:type="dxa" w:w="3402"/>
          </w:tcPr>
          <w:p>
            <w:r/>
            <w:r>
              <w:rPr>
                <w:rFonts w:ascii="Calibri" w:hAnsi="Calibri"/>
                <w:color w:val="1F2937"/>
                <w:sz w:val="20"/>
              </w:rPr>
              <w:t>FMECA-methodiek</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III. Identificatie en Evaluatie</w:t>
            </w:r>
          </w:p>
        </w:tc>
        <w:tc>
          <w:tcPr>
            <w:tcW w:type="dxa" w:w="1701"/>
            <w:shd w:fill="F3F4F6"/>
          </w:tcPr>
          <w:p>
            <w:r/>
            <w:r>
              <w:rPr>
                <w:rFonts w:ascii="Calibri" w:hAnsi="Calibri"/>
                <w:color w:val="1F2937"/>
                <w:sz w:val="20"/>
              </w:rPr>
              <w:t>PS-236</w:t>
            </w:r>
          </w:p>
        </w:tc>
        <w:tc>
          <w:tcPr>
            <w:tcW w:type="dxa" w:w="3402"/>
            <w:shd w:fill="F3F4F6"/>
          </w:tcPr>
          <w:p>
            <w:r/>
            <w:r>
              <w:rPr>
                <w:rFonts w:ascii="Calibri" w:hAnsi="Calibri"/>
                <w:color w:val="1F2937"/>
                <w:sz w:val="20"/>
              </w:rPr>
              <w:t>Gevarenidentificatie en risicobeoordeling</w:t>
            </w:r>
          </w:p>
        </w:tc>
        <w:tc>
          <w:tcPr>
            <w:tcW w:type="dxa" w:w="1984"/>
            <w:shd w:fill="F3F4F6"/>
          </w:tcPr>
          <w:p>
            <w:r/>
            <w:r>
              <w:rPr>
                <w:rFonts w:ascii="Calibri" w:hAnsi="Calibri"/>
                <w:color w:val="1F2937"/>
                <w:sz w:val="20"/>
              </w:rPr>
              <w:t>In ontwikkeling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PE-290-01</w:t>
            </w:r>
          </w:p>
        </w:tc>
        <w:tc>
          <w:tcPr>
            <w:tcW w:type="dxa" w:w="3402"/>
          </w:tcPr>
          <w:p>
            <w:r/>
            <w:r>
              <w:rPr>
                <w:rFonts w:ascii="Calibri" w:hAnsi="Calibri"/>
                <w:color w:val="1F2937"/>
                <w:sz w:val="20"/>
              </w:rPr>
              <w:t>Control of Work (PtW, TRA, LOTO)</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IV. Operationele Controle</w:t>
            </w:r>
          </w:p>
        </w:tc>
        <w:tc>
          <w:tcPr>
            <w:tcW w:type="dxa" w:w="1701"/>
            <w:shd w:fill="F3F4F6"/>
          </w:tcPr>
          <w:p>
            <w:r/>
            <w:r>
              <w:rPr>
                <w:rFonts w:ascii="Calibri" w:hAnsi="Calibri"/>
                <w:color w:val="1F2937"/>
                <w:sz w:val="20"/>
              </w:rPr>
              <w:t>PE-290-01-11</w:t>
            </w:r>
          </w:p>
        </w:tc>
        <w:tc>
          <w:tcPr>
            <w:tcW w:type="dxa" w:w="3402"/>
            <w:shd w:fill="F3F4F6"/>
          </w:tcPr>
          <w:p>
            <w:r/>
            <w:r>
              <w:rPr>
                <w:rFonts w:ascii="Calibri" w:hAnsi="Calibri"/>
                <w:color w:val="1F2937"/>
                <w:sz w:val="20"/>
              </w:rPr>
              <w:t>Procedure heet werk en vonken</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PE-240-01</w:t>
            </w:r>
          </w:p>
        </w:tc>
        <w:tc>
          <w:tcPr>
            <w:tcW w:type="dxa" w:w="3402"/>
          </w:tcPr>
          <w:p>
            <w:r/>
            <w:r>
              <w:rPr>
                <w:rFonts w:ascii="Calibri" w:hAnsi="Calibri"/>
                <w:color w:val="1F2937"/>
                <w:sz w:val="20"/>
              </w:rPr>
              <w:t>Aanvraag gevaarlijke stoffen</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IV. Operationele Controle</w:t>
            </w:r>
          </w:p>
        </w:tc>
        <w:tc>
          <w:tcPr>
            <w:tcW w:type="dxa" w:w="1701"/>
            <w:shd w:fill="F3F4F6"/>
          </w:tcPr>
          <w:p>
            <w:r/>
            <w:r>
              <w:rPr>
                <w:rFonts w:ascii="Calibri" w:hAnsi="Calibri"/>
                <w:color w:val="1F2937"/>
                <w:sz w:val="20"/>
              </w:rPr>
              <w:t>PE-290-02-07</w:t>
            </w:r>
          </w:p>
        </w:tc>
        <w:tc>
          <w:tcPr>
            <w:tcW w:type="dxa" w:w="3402"/>
            <w:shd w:fill="F3F4F6"/>
          </w:tcPr>
          <w:p>
            <w:r/>
            <w:r>
              <w:rPr>
                <w:rFonts w:ascii="Calibri" w:hAnsi="Calibri"/>
                <w:color w:val="1F2937"/>
                <w:sz w:val="20"/>
              </w:rPr>
              <w:t>Werken op hoogte</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IV. Operationele Controle</w:t>
            </w:r>
          </w:p>
        </w:tc>
        <w:tc>
          <w:tcPr>
            <w:tcW w:type="dxa" w:w="1701"/>
          </w:tcPr>
          <w:p>
            <w:r/>
            <w:r>
              <w:rPr>
                <w:rFonts w:ascii="Calibri" w:hAnsi="Calibri"/>
                <w:color w:val="1F2937"/>
                <w:sz w:val="20"/>
              </w:rPr>
              <w:t>PS-510/520</w:t>
            </w:r>
          </w:p>
        </w:tc>
        <w:tc>
          <w:tcPr>
            <w:tcW w:type="dxa" w:w="3402"/>
          </w:tcPr>
          <w:p>
            <w:r/>
            <w:r>
              <w:rPr>
                <w:rFonts w:ascii="Calibri" w:hAnsi="Calibri"/>
                <w:color w:val="1F2937"/>
                <w:sz w:val="20"/>
              </w:rPr>
              <w:t>Preventief/correctief onderhoud</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V. Management of Change</w:t>
            </w:r>
          </w:p>
        </w:tc>
        <w:tc>
          <w:tcPr>
            <w:tcW w:type="dxa" w:w="1701"/>
            <w:shd w:fill="F3F4F6"/>
          </w:tcPr>
          <w:p>
            <w:r/>
            <w:r>
              <w:rPr>
                <w:rFonts w:ascii="Calibri" w:hAnsi="Calibri"/>
                <w:color w:val="1F2937"/>
                <w:sz w:val="20"/>
              </w:rPr>
              <w:t>PE-202-01</w:t>
            </w:r>
          </w:p>
        </w:tc>
        <w:tc>
          <w:tcPr>
            <w:tcW w:type="dxa" w:w="3402"/>
            <w:shd w:fill="F3F4F6"/>
          </w:tcPr>
          <w:p>
            <w:r/>
            <w:r>
              <w:rPr>
                <w:rFonts w:ascii="Calibri" w:hAnsi="Calibri"/>
                <w:color w:val="1F2937"/>
                <w:sz w:val="20"/>
              </w:rPr>
              <w:t>MoC-procedure</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VI. Planning Noodsituaties</w:t>
            </w:r>
          </w:p>
        </w:tc>
        <w:tc>
          <w:tcPr>
            <w:tcW w:type="dxa" w:w="1701"/>
          </w:tcPr>
          <w:p>
            <w:r/>
            <w:r>
              <w:rPr>
                <w:rFonts w:ascii="Calibri" w:hAnsi="Calibri"/>
                <w:color w:val="1F2937"/>
                <w:sz w:val="20"/>
              </w:rPr>
              <w:t>PS-237</w:t>
            </w:r>
          </w:p>
        </w:tc>
        <w:tc>
          <w:tcPr>
            <w:tcW w:type="dxa" w:w="3402"/>
          </w:tcPr>
          <w:p>
            <w:r/>
            <w:r>
              <w:rPr>
                <w:rFonts w:ascii="Calibri" w:hAnsi="Calibri"/>
                <w:color w:val="1F2937"/>
                <w:sz w:val="20"/>
              </w:rPr>
              <w:t>Bedrijfsnoodplan (BNP)</w:t>
            </w:r>
          </w:p>
        </w:tc>
        <w:tc>
          <w:tcPr>
            <w:tcW w:type="dxa" w:w="1984"/>
          </w:tcPr>
          <w:p>
            <w:r/>
            <w:r>
              <w:rPr>
                <w:rFonts w:ascii="Calibri" w:hAnsi="Calibri"/>
                <w:color w:val="1F2937"/>
                <w:sz w:val="20"/>
              </w:rPr>
              <w:t>Aanwezig</w:t>
            </w:r>
          </w:p>
        </w:tc>
      </w:tr>
      <w:tr>
        <w:tc>
          <w:tcPr>
            <w:tcW w:type="dxa" w:w="2551"/>
            <w:shd w:fill="F3F4F6"/>
          </w:tcPr>
          <w:p>
            <w:r/>
            <w:r>
              <w:rPr>
                <w:rFonts w:ascii="Calibri" w:hAnsi="Calibri"/>
                <w:color w:val="1F2937"/>
                <w:sz w:val="20"/>
              </w:rPr>
              <w:t>VII. Monitoring en Review</w:t>
            </w:r>
          </w:p>
        </w:tc>
        <w:tc>
          <w:tcPr>
            <w:tcW w:type="dxa" w:w="1701"/>
            <w:shd w:fill="F3F4F6"/>
          </w:tcPr>
          <w:p>
            <w:r/>
            <w:r>
              <w:rPr>
                <w:rFonts w:ascii="Calibri" w:hAnsi="Calibri"/>
                <w:color w:val="1F2937"/>
                <w:sz w:val="20"/>
              </w:rPr>
              <w:t>PS-504</w:t>
            </w:r>
          </w:p>
        </w:tc>
        <w:tc>
          <w:tcPr>
            <w:tcW w:type="dxa" w:w="3402"/>
            <w:shd w:fill="F3F4F6"/>
          </w:tcPr>
          <w:p>
            <w:r/>
            <w:r>
              <w:rPr>
                <w:rFonts w:ascii="Calibri" w:hAnsi="Calibri"/>
                <w:color w:val="1F2937"/>
                <w:sz w:val="20"/>
              </w:rPr>
              <w:t>KPI Matrix</w:t>
            </w:r>
          </w:p>
        </w:tc>
        <w:tc>
          <w:tcPr>
            <w:tcW w:type="dxa" w:w="1984"/>
            <w:shd w:fill="F3F4F6"/>
          </w:tcPr>
          <w:p>
            <w:r/>
            <w:r>
              <w:rPr>
                <w:rFonts w:ascii="Calibri" w:hAnsi="Calibri"/>
                <w:color w:val="1F2937"/>
                <w:sz w:val="20"/>
              </w:rPr>
              <w:t>Aanwezig</w:t>
            </w:r>
          </w:p>
        </w:tc>
      </w:tr>
      <w:tr>
        <w:tc>
          <w:tcPr>
            <w:tcW w:type="dxa" w:w="2551"/>
          </w:tcPr>
          <w:p>
            <w:r/>
            <w:r>
              <w:rPr>
                <w:rFonts w:ascii="Calibri" w:hAnsi="Calibri"/>
                <w:color w:val="1F2937"/>
                <w:sz w:val="20"/>
              </w:rPr>
              <w:t>VII. Monitoring en Review</w:t>
            </w:r>
          </w:p>
        </w:tc>
        <w:tc>
          <w:tcPr>
            <w:tcW w:type="dxa" w:w="1701"/>
          </w:tcPr>
          <w:p>
            <w:r/>
            <w:r>
              <w:rPr>
                <w:rFonts w:ascii="Calibri" w:hAnsi="Calibri"/>
                <w:color w:val="1F2937"/>
                <w:sz w:val="20"/>
              </w:rPr>
              <w:t>PS-238</w:t>
            </w:r>
          </w:p>
        </w:tc>
        <w:tc>
          <w:tcPr>
            <w:tcW w:type="dxa" w:w="3402"/>
          </w:tcPr>
          <w:p>
            <w:r/>
            <w:r>
              <w:rPr>
                <w:rFonts w:ascii="Calibri" w:hAnsi="Calibri"/>
                <w:color w:val="1F2937"/>
                <w:sz w:val="20"/>
              </w:rPr>
              <w:t>Auditplanning en -procedure</w:t>
            </w:r>
          </w:p>
        </w:tc>
        <w:tc>
          <w:tcPr>
            <w:tcW w:type="dxa" w:w="1984"/>
          </w:tcPr>
          <w:p>
            <w:r/>
            <w:r>
              <w:rPr>
                <w:rFonts w:ascii="Calibri" w:hAnsi="Calibri"/>
                <w:color w:val="1F2937"/>
                <w:sz w:val="20"/>
              </w:rPr>
              <w:t>In ontwikkeling</w:t>
            </w:r>
          </w:p>
        </w:tc>
      </w:tr>
      <w:tr>
        <w:tc>
          <w:tcPr>
            <w:tcW w:type="dxa" w:w="2551"/>
            <w:shd w:fill="F3F4F6"/>
          </w:tcPr>
          <w:p>
            <w:r/>
            <w:r>
              <w:rPr>
                <w:rFonts w:ascii="Calibri" w:hAnsi="Calibri"/>
                <w:color w:val="1F2937"/>
                <w:sz w:val="20"/>
              </w:rPr>
              <w:t>VII. Monitoring en Review</w:t>
            </w:r>
          </w:p>
        </w:tc>
        <w:tc>
          <w:tcPr>
            <w:tcW w:type="dxa" w:w="1701"/>
            <w:shd w:fill="F3F4F6"/>
          </w:tcPr>
          <w:p>
            <w:r/>
            <w:r>
              <w:rPr>
                <w:rFonts w:ascii="Calibri" w:hAnsi="Calibri"/>
                <w:color w:val="1F2937"/>
                <w:sz w:val="20"/>
              </w:rPr>
              <w:t>PS-239</w:t>
            </w:r>
          </w:p>
        </w:tc>
        <w:tc>
          <w:tcPr>
            <w:tcW w:type="dxa" w:w="3402"/>
            <w:shd w:fill="F3F4F6"/>
          </w:tcPr>
          <w:p>
            <w:r/>
            <w:r>
              <w:rPr>
                <w:rFonts w:ascii="Calibri" w:hAnsi="Calibri"/>
                <w:color w:val="1F2937"/>
                <w:sz w:val="20"/>
              </w:rPr>
              <w:t>Management Review procedure</w:t>
            </w:r>
          </w:p>
        </w:tc>
        <w:tc>
          <w:tcPr>
            <w:tcW w:type="dxa" w:w="1984"/>
            <w:shd w:fill="F3F4F6"/>
          </w:tcPr>
          <w:p>
            <w:r/>
            <w:r>
              <w:rPr>
                <w:rFonts w:ascii="Calibri" w:hAnsi="Calibri"/>
                <w:color w:val="1F2937"/>
                <w:sz w:val="20"/>
              </w:rPr>
              <w:t>In ontwikkeling</w:t>
            </w:r>
          </w:p>
        </w:tc>
      </w:tr>
    </w:tbl>
    <w:p>
      <w:pPr>
        <w:pStyle w:val="Heading2"/>
      </w:pPr>
      <w:r>
        <w:rPr>
          <w:color w:val="003366"/>
        </w:rPr>
        <w:t>Bijlage C: Bronnenlijst</w:t>
      </w:r>
    </w:p>
    <w:p>
      <w:pPr>
        <w:spacing w:after="60"/>
      </w:pPr>
      <w:r>
        <w:rPr>
          <w:rFonts w:ascii="Calibri" w:hAnsi="Calibri"/>
          <w:color w:val="1F2937"/>
          <w:sz w:val="18"/>
        </w:rPr>
        <w:t>[1] Europese Richtlijn 2012/18/EU (Seveso III-richtlijn) — Preventie van zware ongevallen met gevaarlijke stoffen, Publiekblad van de Europese Unie, 2012.</w:t>
      </w:r>
    </w:p>
    <w:p>
      <w:pPr>
        <w:spacing w:after="60"/>
      </w:pPr>
      <w:r>
        <w:rPr>
          <w:rFonts w:ascii="Calibri" w:hAnsi="Calibri"/>
          <w:color w:val="1F2937"/>
          <w:sz w:val="18"/>
        </w:rPr>
        <w:t>[2] Besluit activiteiten leefomgeving (Bal), Stb. 2018, 218 — Afdeling 4.2: Seveso-inrichtingen, artikelen 4.10–4.12.</w:t>
      </w:r>
    </w:p>
    <w:p>
      <w:pPr>
        <w:spacing w:after="60"/>
      </w:pPr>
      <w:r>
        <w:rPr>
          <w:rFonts w:ascii="Calibri" w:hAnsi="Calibri"/>
          <w:color w:val="1F2937"/>
          <w:sz w:val="18"/>
        </w:rPr>
        <w:t>[3] NTA 8620 — Nederlandse praktijkrichtlijn voor het veiligheidsbeheersysteem (VBS) Seveso-inrichtingen, NEN, 2020.</w:t>
      </w:r>
    </w:p>
    <w:p>
      <w:pPr>
        <w:spacing w:after="60"/>
      </w:pPr>
      <w:r>
        <w:rPr>
          <w:rFonts w:ascii="Calibri" w:hAnsi="Calibri"/>
          <w:color w:val="1F2937"/>
          <w:sz w:val="18"/>
        </w:rPr>
        <w:t>[4] Arbowet / Arbobesluit — Wet van 18 maart 1999, Stb. 1999, 199; Arbobesluit hoofdstuk 4: Gevaarlijke stoffen.</w:t>
      </w:r>
    </w:p>
    <w:p>
      <w:pPr>
        <w:spacing w:after="60"/>
      </w:pPr>
      <w:r>
        <w:rPr>
          <w:rFonts w:ascii="Calibri" w:hAnsi="Calibri"/>
          <w:color w:val="1F2937"/>
          <w:sz w:val="18"/>
        </w:rPr>
        <w:t>[5] PGS 15:2025 — Publicatiereeks Gevaarlijke Stoffen: Opslag van gevaarlijke stoffen in verpakking, 2025.</w:t>
      </w:r>
    </w:p>
    <w:p>
      <w:pPr>
        <w:spacing w:after="60"/>
      </w:pPr>
      <w:r>
        <w:rPr>
          <w:rFonts w:ascii="Calibri" w:hAnsi="Calibri"/>
          <w:color w:val="1F2937"/>
          <w:sz w:val="18"/>
        </w:rPr>
        <w:t>[6] Verordening (EG) nr. 1907/2006 (REACH) en Verordening (EG) nr. 1272/2008 (CLP).</w:t>
      </w:r>
    </w:p>
    <w:p>
      <w:pPr>
        <w:spacing w:after="60"/>
      </w:pPr>
      <w:r>
        <w:rPr>
          <w:rFonts w:ascii="Calibri" w:hAnsi="Calibri"/>
          <w:color w:val="1F2937"/>
          <w:sz w:val="18"/>
        </w:rPr>
        <w:t>[7] ISO 45001:2018 — Occupational health and safety management systems — Requirements with guidance for use.</w:t>
      </w:r>
    </w:p>
    <w:p>
      <w:pPr>
        <w:spacing w:after="60"/>
      </w:pPr>
      <w:r>
        <w:rPr>
          <w:rFonts w:ascii="Calibri" w:hAnsi="Calibri"/>
          <w:color w:val="1F2937"/>
          <w:sz w:val="18"/>
        </w:rPr>
        <w:t>[8] EN 14460 — Explosion protection equipment — Explosion resistance of equipment.</w:t>
      </w:r>
    </w:p>
    <w:p>
      <w:pPr>
        <w:spacing w:after="60"/>
      </w:pPr>
      <w:r>
        <w:rPr>
          <w:rFonts w:ascii="Calibri" w:hAnsi="Calibri"/>
          <w:color w:val="1F2937"/>
          <w:sz w:val="18"/>
        </w:rPr>
        <w:t>[9] HSE UK — ALARP Guidance: Reducing risks, protecting people (R2P2), Health and Safety Executive, 2001.</w:t>
      </w:r>
    </w:p>
    <w:p>
      <w:pPr>
        <w:spacing w:after="60"/>
      </w:pPr>
      <w:r>
        <w:rPr>
          <w:rFonts w:ascii="Calibri" w:hAnsi="Calibri"/>
          <w:color w:val="1F2937"/>
          <w:sz w:val="18"/>
        </w:rPr>
        <w:t>[10] IEC 61882:2016 — Hazard and operability studies (HAZOP studies) — Application guide.</w:t>
      </w:r>
    </w:p>
    <w:p>
      <w:r>
        <w:br w:type="page"/>
      </w:r>
    </w:p>
    <w:p>
      <w:pPr>
        <w:pStyle w:val="Heading1"/>
      </w:pPr>
      <w:r>
        <w:rPr>
          <w:color w:val="003366"/>
        </w:rPr>
        <w:t>TierVerify — Verificatielog</w:t>
      </w:r>
    </w:p>
    <w:p>
      <w:pPr>
        <w:spacing w:after="120"/>
      </w:pPr>
      <w:r>
        <w:rPr>
          <w:rFonts w:ascii="Calibri" w:hAnsi="Calibri"/>
          <w:b w:val="0"/>
          <w:i/>
          <w:color w:val="1F2937"/>
          <w:sz w:val="20"/>
        </w:rPr>
        <w:t>Dit document is geverifieerd conform de TierVerify-methodiek (STYLEGUIDE §13). Onderstaand overzicht toont de uitgevoerde checks.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1984"/>
            <w:shd w:fill="003366"/>
          </w:tcPr>
          <w:p>
            <w:pPr>
              <w:jc w:val="left"/>
            </w:pPr>
            <w:r/>
            <w:r>
              <w:rPr>
                <w:rFonts w:ascii="Calibri" w:hAnsi="Calibri"/>
                <w:b/>
                <w:color w:val="FFFFFF"/>
                <w:sz w:val="20"/>
              </w:rPr>
              <w:t>Check</w:t>
            </w:r>
          </w:p>
        </w:tc>
        <w:tc>
          <w:tcPr>
            <w:tcW w:type="dxa" w:w="3118"/>
            <w:shd w:fill="003366"/>
          </w:tcPr>
          <w:p>
            <w:pPr>
              <w:jc w:val="left"/>
            </w:pPr>
            <w:r/>
            <w:r>
              <w:rPr>
                <w:rFonts w:ascii="Calibri" w:hAnsi="Calibri"/>
                <w:b/>
                <w:color w:val="FFFFFF"/>
                <w:sz w:val="20"/>
              </w:rPr>
              <w:t>Criterium</w:t>
            </w:r>
          </w:p>
        </w:tc>
        <w:tc>
          <w:tcPr>
            <w:tcW w:type="dxa" w:w="1134"/>
            <w:shd w:fill="003366"/>
          </w:tcPr>
          <w:p>
            <w:pPr>
              <w:jc w:val="left"/>
            </w:pPr>
            <w:r/>
            <w:r>
              <w:rPr>
                <w:rFonts w:ascii="Calibri" w:hAnsi="Calibri"/>
                <w:b/>
                <w:color w:val="FFFFFF"/>
                <w:sz w:val="20"/>
              </w:rPr>
              <w:t>Resultaat</w:t>
            </w:r>
          </w:p>
        </w:tc>
        <w:tc>
          <w:tcPr>
            <w:tcW w:type="dxa" w:w="3118"/>
            <w:shd w:fill="003366"/>
          </w:tcPr>
          <w:p>
            <w:pPr>
              <w:jc w:val="left"/>
            </w:pPr>
            <w:r/>
            <w:r>
              <w:rPr>
                <w:rFonts w:ascii="Calibri" w:hAnsi="Calibri"/>
                <w:b/>
                <w:color w:val="FFFFFF"/>
                <w:sz w:val="20"/>
              </w:rPr>
              <w:t>Opmerking</w:t>
            </w:r>
          </w:p>
        </w:tc>
      </w:tr>
      <w:tr>
        <w:tc>
          <w:tcPr>
            <w:tcW w:type="dxa" w:w="1984"/>
          </w:tcPr>
          <w:p>
            <w:r/>
            <w:r>
              <w:rPr>
                <w:rFonts w:ascii="Calibri" w:hAnsi="Calibri"/>
                <w:color w:val="1F2937"/>
                <w:sz w:val="20"/>
              </w:rPr>
              <w:t>Documentheader</w:t>
            </w:r>
          </w:p>
        </w:tc>
        <w:tc>
          <w:tcPr>
            <w:tcW w:type="dxa" w:w="3118"/>
          </w:tcPr>
          <w:p>
            <w:r/>
            <w:r>
              <w:rPr>
                <w:rFonts w:ascii="Calibri" w:hAnsi="Calibri"/>
                <w:color w:val="1F2937"/>
                <w:sz w:val="20"/>
              </w:rPr>
              <w:t>STYLEGUIDE §2.1: Project, Type, Auteur, Versie, Datum, Status</w:t>
            </w:r>
          </w:p>
        </w:tc>
        <w:tc>
          <w:tcPr>
            <w:tcW w:type="dxa" w:w="1134"/>
          </w:tcPr>
          <w:p>
            <w:r/>
            <w:r>
              <w:rPr>
                <w:rFonts w:ascii="Calibri" w:hAnsi="Calibri"/>
                <w:color w:val="1F2937"/>
                <w:sz w:val="20"/>
              </w:rPr>
              <w:t>✓ Pass</w:t>
            </w:r>
          </w:p>
        </w:tc>
        <w:tc>
          <w:tcPr>
            <w:tcW w:type="dxa" w:w="3118"/>
          </w:tcPr>
          <w:p>
            <w:r/>
            <w:r>
              <w:rPr>
                <w:rFonts w:ascii="Calibri" w:hAnsi="Calibri"/>
                <w:color w:val="1F2937"/>
                <w:sz w:val="20"/>
              </w:rPr>
              <w:t>Cover pagina bevat alle verplichte velden</w:t>
            </w:r>
          </w:p>
        </w:tc>
      </w:tr>
      <w:tr>
        <w:tc>
          <w:tcPr>
            <w:tcW w:type="dxa" w:w="1984"/>
            <w:shd w:fill="F3F4F6"/>
          </w:tcPr>
          <w:p>
            <w:r/>
            <w:r>
              <w:rPr>
                <w:rFonts w:ascii="Calibri" w:hAnsi="Calibri"/>
                <w:color w:val="1F2937"/>
                <w:sz w:val="20"/>
              </w:rPr>
              <w:t>Bronverwijzingen</w:t>
            </w:r>
          </w:p>
        </w:tc>
        <w:tc>
          <w:tcPr>
            <w:tcW w:type="dxa" w:w="3118"/>
            <w:shd w:fill="F3F4F6"/>
          </w:tcPr>
          <w:p>
            <w:r/>
            <w:r>
              <w:rPr>
                <w:rFonts w:ascii="Calibri" w:hAnsi="Calibri"/>
                <w:color w:val="1F2937"/>
                <w:sz w:val="20"/>
              </w:rPr>
              <w:t>STYLEGUIDE §1.8: [1][2][3] notatie + bronnenlijst</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10 bronnen geciteerd in Bijlage C</w:t>
            </w:r>
          </w:p>
        </w:tc>
      </w:tr>
      <w:tr>
        <w:tc>
          <w:tcPr>
            <w:tcW w:type="dxa" w:w="1984"/>
          </w:tcPr>
          <w:p>
            <w:r/>
            <w:r>
              <w:rPr>
                <w:rFonts w:ascii="Calibri" w:hAnsi="Calibri"/>
                <w:color w:val="1F2937"/>
                <w:sz w:val="20"/>
              </w:rPr>
              <w:t>Logo branding</w:t>
            </w:r>
          </w:p>
        </w:tc>
        <w:tc>
          <w:tcPr>
            <w:tcW w:type="dxa" w:w="3118"/>
          </w:tcPr>
          <w:p>
            <w:r/>
            <w:r>
              <w:rPr>
                <w:rFonts w:ascii="Calibri" w:hAnsi="Calibri"/>
                <w:color w:val="1F2937"/>
                <w:sz w:val="20"/>
              </w:rPr>
              <w:t>STYLEGUIDE §8: Logo 4.0×3.6 cm cover, 2.0×1.8 cm header</w:t>
            </w:r>
          </w:p>
        </w:tc>
        <w:tc>
          <w:tcPr>
            <w:tcW w:type="dxa" w:w="1134"/>
          </w:tcPr>
          <w:p>
            <w:r/>
            <w:r>
              <w:rPr>
                <w:rFonts w:ascii="Calibri" w:hAnsi="Calibri"/>
                <w:color w:val="1F2937"/>
                <w:sz w:val="20"/>
              </w:rPr>
              <w:t>✓ Pass</w:t>
            </w:r>
          </w:p>
        </w:tc>
        <w:tc>
          <w:tcPr>
            <w:tcW w:type="dxa" w:w="3118"/>
          </w:tcPr>
          <w:p>
            <w:r/>
            <w:r>
              <w:rPr>
                <w:rFonts w:ascii="Calibri" w:hAnsi="Calibri"/>
                <w:color w:val="1F2937"/>
                <w:sz w:val="20"/>
              </w:rPr>
              <w:t>Logo geplaatst op cover; footer aanwezig</w:t>
            </w:r>
          </w:p>
        </w:tc>
      </w:tr>
      <w:tr>
        <w:tc>
          <w:tcPr>
            <w:tcW w:type="dxa" w:w="1984"/>
            <w:shd w:fill="F3F4F6"/>
          </w:tcPr>
          <w:p>
            <w:r/>
            <w:r>
              <w:rPr>
                <w:rFonts w:ascii="Calibri" w:hAnsi="Calibri"/>
                <w:color w:val="1F2937"/>
                <w:sz w:val="20"/>
              </w:rPr>
              <w:t>Kleurenpalet</w:t>
            </w:r>
          </w:p>
        </w:tc>
        <w:tc>
          <w:tcPr>
            <w:tcW w:type="dxa" w:w="3118"/>
            <w:shd w:fill="F3F4F6"/>
          </w:tcPr>
          <w:p>
            <w:r/>
            <w:r>
              <w:rPr>
                <w:rFonts w:ascii="Calibri" w:hAnsi="Calibri"/>
                <w:color w:val="1F2937"/>
                <w:sz w:val="20"/>
              </w:rPr>
              <w:t>STYLEGUIDE §8: #003366, #1F2937, #FFFFFF, #E5E7EB</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Toegepast in headings, tabellen, body</w:t>
            </w:r>
          </w:p>
        </w:tc>
      </w:tr>
      <w:tr>
        <w:tc>
          <w:tcPr>
            <w:tcW w:type="dxa" w:w="1984"/>
          </w:tcPr>
          <w:p>
            <w:r/>
            <w:r>
              <w:rPr>
                <w:rFonts w:ascii="Calibri" w:hAnsi="Calibri"/>
                <w:color w:val="1F2937"/>
                <w:sz w:val="20"/>
              </w:rPr>
              <w:t>Lettertype</w:t>
            </w:r>
          </w:p>
        </w:tc>
        <w:tc>
          <w:tcPr>
            <w:tcW w:type="dxa" w:w="3118"/>
          </w:tcPr>
          <w:p>
            <w:r/>
            <w:r>
              <w:rPr>
                <w:rFonts w:ascii="Calibri" w:hAnsi="Calibri"/>
                <w:color w:val="1F2937"/>
                <w:sz w:val="20"/>
              </w:rPr>
              <w:t>Calibri 11pt body, Calibri Bold 14pt koppen</w:t>
            </w:r>
          </w:p>
        </w:tc>
        <w:tc>
          <w:tcPr>
            <w:tcW w:type="dxa" w:w="1134"/>
          </w:tcPr>
          <w:p>
            <w:r/>
            <w:r>
              <w:rPr>
                <w:rFonts w:ascii="Calibri" w:hAnsi="Calibri"/>
                <w:color w:val="1F2937"/>
                <w:sz w:val="20"/>
              </w:rPr>
              <w:t>✓ Pass</w:t>
            </w:r>
          </w:p>
        </w:tc>
        <w:tc>
          <w:tcPr>
            <w:tcW w:type="dxa" w:w="3118"/>
          </w:tcPr>
          <w:p>
            <w:r/>
            <w:r>
              <w:rPr>
                <w:rFonts w:ascii="Calibri" w:hAnsi="Calibri"/>
                <w:color w:val="1F2937"/>
                <w:sz w:val="20"/>
              </w:rPr>
              <w:t>Consistent toegepast</w:t>
            </w:r>
          </w:p>
        </w:tc>
      </w:tr>
      <w:tr>
        <w:tc>
          <w:tcPr>
            <w:tcW w:type="dxa" w:w="1984"/>
            <w:shd w:fill="F3F4F6"/>
          </w:tcPr>
          <w:p>
            <w:r/>
            <w:r>
              <w:rPr>
                <w:rFonts w:ascii="Calibri" w:hAnsi="Calibri"/>
                <w:color w:val="1F2937"/>
                <w:sz w:val="20"/>
              </w:rPr>
              <w:t>Output format</w:t>
            </w:r>
          </w:p>
        </w:tc>
        <w:tc>
          <w:tcPr>
            <w:tcW w:type="dxa" w:w="3118"/>
            <w:shd w:fill="F3F4F6"/>
          </w:tcPr>
          <w:p>
            <w:r/>
            <w:r>
              <w:rPr>
                <w:rFonts w:ascii="Calibri" w:hAnsi="Calibri"/>
                <w:color w:val="1F2937"/>
                <w:sz w:val="20"/>
              </w:rPr>
              <w:t>.docx (geen .md als einddeliverable)</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PM_VBS01_01_PBZO_Beleidsdocument_v1.0.docx</w:t>
            </w:r>
          </w:p>
        </w:tc>
      </w:tr>
      <w:tr>
        <w:tc>
          <w:tcPr>
            <w:tcW w:type="dxa" w:w="1984"/>
          </w:tcPr>
          <w:p>
            <w:r/>
            <w:r>
              <w:rPr>
                <w:rFonts w:ascii="Calibri" w:hAnsi="Calibri"/>
                <w:color w:val="1F2937"/>
                <w:sz w:val="20"/>
              </w:rPr>
              <w:t>IPLO-vereisten</w:t>
            </w:r>
          </w:p>
        </w:tc>
        <w:tc>
          <w:tcPr>
            <w:tcW w:type="dxa" w:w="3118"/>
          </w:tcPr>
          <w:p>
            <w:r/>
            <w:r>
              <w:rPr>
                <w:rFonts w:ascii="Calibri" w:hAnsi="Calibri"/>
                <w:color w:val="1F2937"/>
                <w:sz w:val="20"/>
              </w:rPr>
              <w:t>Volledige dekking IPLO-checklist PBZO</w:t>
            </w:r>
          </w:p>
        </w:tc>
        <w:tc>
          <w:tcPr>
            <w:tcW w:type="dxa" w:w="1134"/>
          </w:tcPr>
          <w:p>
            <w:r/>
            <w:r>
              <w:rPr>
                <w:rFonts w:ascii="Calibri" w:hAnsi="Calibri"/>
                <w:color w:val="1F2937"/>
                <w:sz w:val="20"/>
              </w:rPr>
              <w:t>✓ Pass</w:t>
            </w:r>
          </w:p>
        </w:tc>
        <w:tc>
          <w:tcPr>
            <w:tcW w:type="dxa" w:w="3118"/>
          </w:tcPr>
          <w:p>
            <w:r/>
            <w:r>
              <w:rPr>
                <w:rFonts w:ascii="Calibri" w:hAnsi="Calibri"/>
                <w:color w:val="1F2937"/>
                <w:sz w:val="20"/>
              </w:rPr>
              <w:t>Alle secties §4.1–§4.6 gedekt</w:t>
            </w:r>
          </w:p>
        </w:tc>
      </w:tr>
      <w:tr>
        <w:tc>
          <w:tcPr>
            <w:tcW w:type="dxa" w:w="1984"/>
            <w:shd w:fill="F3F4F6"/>
          </w:tcPr>
          <w:p>
            <w:r/>
            <w:r>
              <w:rPr>
                <w:rFonts w:ascii="Calibri" w:hAnsi="Calibri"/>
                <w:color w:val="1F2937"/>
                <w:sz w:val="20"/>
              </w:rPr>
              <w:t>Seveso Bijlage III</w:t>
            </w:r>
          </w:p>
        </w:tc>
        <w:tc>
          <w:tcPr>
            <w:tcW w:type="dxa" w:w="3118"/>
            <w:shd w:fill="F3F4F6"/>
          </w:tcPr>
          <w:p>
            <w:r/>
            <w:r>
              <w:rPr>
                <w:rFonts w:ascii="Calibri" w:hAnsi="Calibri"/>
                <w:color w:val="1F2937"/>
                <w:sz w:val="20"/>
              </w:rPr>
              <w:t>Voldoet aan element I: Preventiebeleid</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Volledige uitwerking conform Bijlage III</w:t>
            </w:r>
          </w:p>
        </w:tc>
      </w:tr>
      <w:tr>
        <w:tc>
          <w:tcPr>
            <w:tcW w:type="dxa" w:w="1984"/>
          </w:tcPr>
          <w:p>
            <w:r/>
            <w:r>
              <w:rPr>
                <w:rFonts w:ascii="Calibri" w:hAnsi="Calibri"/>
                <w:color w:val="1F2937"/>
                <w:sz w:val="20"/>
              </w:rPr>
              <w:t>Phoenix Metals specificiteit</w:t>
            </w:r>
          </w:p>
        </w:tc>
        <w:tc>
          <w:tcPr>
            <w:tcW w:type="dxa" w:w="3118"/>
          </w:tcPr>
          <w:p>
            <w:r/>
            <w:r>
              <w:rPr>
                <w:rFonts w:ascii="Calibri" w:hAnsi="Calibri"/>
                <w:color w:val="1F2937"/>
                <w:sz w:val="20"/>
              </w:rPr>
              <w:t>Geen generieke teksten; specifiek voor context</w:t>
            </w:r>
          </w:p>
        </w:tc>
        <w:tc>
          <w:tcPr>
            <w:tcW w:type="dxa" w:w="1134"/>
          </w:tcPr>
          <w:p>
            <w:r/>
            <w:r>
              <w:rPr>
                <w:rFonts w:ascii="Calibri" w:hAnsi="Calibri"/>
                <w:color w:val="1F2937"/>
                <w:sz w:val="20"/>
              </w:rPr>
              <w:t>✓ Pass</w:t>
            </w:r>
          </w:p>
        </w:tc>
        <w:tc>
          <w:tcPr>
            <w:tcW w:type="dxa" w:w="3118"/>
          </w:tcPr>
          <w:p>
            <w:r/>
            <w:r>
              <w:rPr>
                <w:rFonts w:ascii="Calibri" w:hAnsi="Calibri"/>
                <w:color w:val="1F2937"/>
                <w:sz w:val="20"/>
              </w:rPr>
              <w:t>Vanadium, staalslakken, zure uitloging, REACH</w:t>
            </w:r>
          </w:p>
        </w:tc>
      </w:tr>
      <w:tr>
        <w:tc>
          <w:tcPr>
            <w:tcW w:type="dxa" w:w="1984"/>
            <w:shd w:fill="F3F4F6"/>
          </w:tcPr>
          <w:p>
            <w:r/>
            <w:r>
              <w:rPr>
                <w:rFonts w:ascii="Calibri" w:hAnsi="Calibri"/>
                <w:color w:val="1F2937"/>
                <w:sz w:val="20"/>
              </w:rPr>
              <w:t>Nederlands</w:t>
            </w:r>
          </w:p>
        </w:tc>
        <w:tc>
          <w:tcPr>
            <w:tcW w:type="dxa" w:w="3118"/>
            <w:shd w:fill="F3F4F6"/>
          </w:tcPr>
          <w:p>
            <w:r/>
            <w:r>
              <w:rPr>
                <w:rFonts w:ascii="Calibri" w:hAnsi="Calibri"/>
                <w:color w:val="1F2937"/>
                <w:sz w:val="20"/>
              </w:rPr>
              <w:t>Volledig in het Nederlands</w:t>
            </w:r>
          </w:p>
        </w:tc>
        <w:tc>
          <w:tcPr>
            <w:tcW w:type="dxa" w:w="1134"/>
            <w:shd w:fill="F3F4F6"/>
          </w:tcPr>
          <w:p>
            <w:r/>
            <w:r>
              <w:rPr>
                <w:rFonts w:ascii="Calibri" w:hAnsi="Calibri"/>
                <w:color w:val="1F2937"/>
                <w:sz w:val="20"/>
              </w:rPr>
              <w:t>✓ Pass</w:t>
            </w:r>
          </w:p>
        </w:tc>
        <w:tc>
          <w:tcPr>
            <w:tcW w:type="dxa" w:w="3118"/>
            <w:shd w:fill="F3F4F6"/>
          </w:tcPr>
          <w:p>
            <w:r/>
            <w:r>
              <w:rPr>
                <w:rFonts w:ascii="Calibri" w:hAnsi="Calibri"/>
                <w:color w:val="1F2937"/>
                <w:sz w:val="20"/>
              </w:rPr>
              <w:t>Alle tekst Nederlands; CAS-nummers/stofnamen in originele notatie</w:t>
            </w:r>
          </w:p>
        </w:tc>
      </w:tr>
    </w:tbl>
    <w:p>
      <w:pPr>
        <w:spacing w:after="120"/>
      </w:pPr>
      <w:r>
        <w:rPr>
          <w:rFonts w:ascii="Calibri" w:hAnsi="Calibri"/>
          <w:b w:val="0"/>
          <w:i w:val="0"/>
          <w:color w:val="1F2937"/>
          <w:sz w:val="22"/>
        </w:rPr>
      </w:r>
    </w:p>
    <w:p>
      <w:pPr>
        <w:spacing w:after="120"/>
      </w:pPr>
      <w:r>
        <w:rPr>
          <w:rFonts w:ascii="Calibri" w:hAnsi="Calibri"/>
          <w:b w:val="0"/>
          <w:i/>
          <w:color w:val="1F2937"/>
          <w:sz w:val="18"/>
        </w:rPr>
        <w:t>TierVerify uitgevoerd door: HSEQ Specialist via Kas (Director of Operations)</w:t>
      </w:r>
    </w:p>
    <w:p>
      <w:pPr>
        <w:spacing w:after="120"/>
      </w:pPr>
      <w:r>
        <w:rPr>
          <w:rFonts w:ascii="Calibri" w:hAnsi="Calibri"/>
          <w:b w:val="0"/>
          <w:i/>
          <w:color w:val="1F2937"/>
          <w:sz w:val="18"/>
        </w:rPr>
        <w:t>Datum verificatie: 28 april 2026</w:t>
      </w:r>
    </w:p>
    <w:p>
      <w:pPr>
        <w:spacing w:after="120"/>
      </w:pPr>
      <w:r>
        <w:rPr>
          <w:rFonts w:ascii="Calibri" w:hAnsi="Calibri"/>
          <w:b w:val="0"/>
          <w:i/>
          <w:color w:val="003366"/>
          <w:sz w:val="18"/>
        </w:rPr>
        <w:t>Status: Geverifieerd — gereed voor Directie-goedkeuring</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CA3AF"/>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Preventiebeleid Zware Ongevallen — Phoenix Metals B.V.</dc:title>
  <dc:subject/>
  <dc:creator>JvG Consultancy</dc:creator>
  <cp:keywords>PBZO, Seveso III, VBS, Phoenix Metals, PS-230, preventiebeleid</cp:keywords>
  <dc:description>generated by python-docx</dc:description>
  <cp:lastModifiedBy/>
  <cp:revision>1</cp:revision>
  <dcterms:created xsi:type="dcterms:W3CDTF">2013-12-23T23:15:00Z</dcterms:created>
  <dcterms:modified xsi:type="dcterms:W3CDTF">2013-12-23T23:15:00Z</dcterms:modified>
  <cp:category>Veiligheidsbeheersysteem</cp:category>
</cp:coreProperties>
</file>