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PROCEDURE ONDERAANNEMERS</w:t>
        <w:br/>
        <w:t>EN TIJDELIJK PERSONEEL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Documentcode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28 april 2026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Goedkeuring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Stijn van Zelst, Managing Director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Vertrouwelijk — Intern gebruik</w:t>
            </w:r>
          </w:p>
        </w:tc>
      </w:tr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>
              <w:rPr>
                <w:color w:val="FFFFFF"/>
              </w:rPr>
            </w:r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Goedgekeurd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b w:val="0"/>
          <w:color w:val="1F2937"/>
          <w:sz w:val="22"/>
        </w:rPr>
        <w:t>Het doel van deze procedure is te borgen dat alle externe medewerkers veilig en bekwaam werken op locaties van Phoenix Metals B.V. (hierna: Phoenix Metals). Externe medewerkers moeten dezelfde veiligheidsinstructie ontvangen als eigen medewerkers, conform Bijlage III Seveso [1] en NTA 8620 [2].</w:t>
      </w:r>
    </w:p>
    <w:p>
      <w:r>
        <w:rPr>
          <w:rFonts w:ascii="Calibri" w:hAnsi="Calibri"/>
          <w:b/>
          <w:color w:val="1F2937"/>
          <w:sz w:val="22"/>
        </w:rPr>
        <w:t>Toepassingsgebied</w:t>
      </w:r>
    </w:p>
    <w:p>
      <w:r>
        <w:rPr>
          <w:rFonts w:ascii="Calibri" w:hAnsi="Calibri"/>
          <w:b w:val="0"/>
          <w:color w:val="1F2937"/>
          <w:sz w:val="22"/>
        </w:rPr>
        <w:t>Deze procedure is van toepassing op alle niet-eigen medewerkers die werkzaamheden uitvoeren op Phoenix Metals locaties, inclusief:</w:t>
      </w:r>
    </w:p>
    <w:p>
      <w:pPr>
        <w:pStyle w:val="ListBullet"/>
      </w:pPr>
      <w:r>
        <w:rPr>
          <w:rFonts w:ascii="Calibri" w:hAnsi="Calibri"/>
          <w:sz w:val="22"/>
        </w:rPr>
        <w:t>Onderaannemers (contractors): bedrijven die werkzaamheden uitvoeren in opdracht van Phoenix Metals</w:t>
      </w:r>
    </w:p>
    <w:p>
      <w:pPr>
        <w:pStyle w:val="ListBullet"/>
      </w:pPr>
      <w:r>
        <w:rPr>
          <w:rFonts w:ascii="Calibri" w:hAnsi="Calibri"/>
          <w:sz w:val="22"/>
        </w:rPr>
        <w:t>Uitzendkrachten: via uitzendbureau ingezet personeel</w:t>
      </w:r>
    </w:p>
    <w:p>
      <w:pPr>
        <w:pStyle w:val="ListBullet"/>
      </w:pPr>
      <w:r>
        <w:rPr>
          <w:rFonts w:ascii="Calibri" w:hAnsi="Calibri"/>
          <w:sz w:val="22"/>
        </w:rPr>
        <w:t>Tijdelijk personeel: freelancers, adviseurs, consultants</w:t>
      </w:r>
    </w:p>
    <w:p>
      <w:pPr>
        <w:pStyle w:val="ListBullet"/>
      </w:pPr>
      <w:r>
        <w:rPr>
          <w:rFonts w:ascii="Calibri" w:hAnsi="Calibri"/>
          <w:sz w:val="22"/>
        </w:rPr>
        <w:t>Stagiairs: leerlingen/studenten op een stageplaats</w:t>
      </w:r>
    </w:p>
    <w:p>
      <w:pPr>
        <w:pStyle w:val="ListBullet"/>
      </w:pPr>
      <w:r>
        <w:rPr>
          <w:rFonts w:ascii="Calibri" w:hAnsi="Calibri"/>
          <w:sz w:val="22"/>
        </w:rPr>
        <w:t>Bezoekers: leveranciers, klanten, inspecteurs (beperkte scope — alleen veiligheidsinstructie bij ontvangst)</w:t>
      </w:r>
    </w:p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b w:val="0"/>
          <w:color w:val="1F2937"/>
          <w:sz w:val="22"/>
        </w:rPr>
        <w:t>Wettelijke basis: Bijlage III Seveso [1], NTA 8620 [2], Arbowet art. 3 [3].</w:t>
      </w:r>
    </w:p>
    <w:p>
      <w:r>
        <w:rPr>
          <w:rFonts w:ascii="Calibri" w:hAnsi="Calibri"/>
          <w:b w:val="0"/>
          <w:color w:val="1F2937"/>
          <w:sz w:val="22"/>
        </w:rPr>
        <w:t>Dit document is onderdeel van VBS Element 1 — Organisatie en Personeel (zie PS-230, §5).</w:t>
      </w:r>
    </w:p>
    <w:p>
      <w:pPr>
        <w:pStyle w:val="Heading1"/>
      </w:pPr>
      <w:r>
        <w:rPr>
          <w:rFonts w:ascii="Calibri" w:hAnsi="Calibri"/>
          <w:color w:val="003366"/>
        </w:rPr>
        <w:t>2. Definities en Categorisering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Voorbeeld</w:t>
            </w:r>
          </w:p>
        </w:tc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Veiligheidsniveau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Smeedwerk, onderhoud, bouw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(alle trainingen)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 (&gt;1 week)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  <w:br/>
              <w:t>(Category B)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Inspectie, kalibratie,</w:t>
              <w:br/>
              <w:t>kleine reparaties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Beperkt</w:t>
              <w:br/>
              <w:t>(BASIS + specifiek)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Kort</w:t>
              <w:br/>
              <w:t>(1 dag – 1 week)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Uitzendkracht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Operatoren, administratie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(zoals eigen medewerker)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Tijdelijk /</w:t>
              <w:br/>
              <w:t>Adviseur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Consultant, auditor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</w:t>
              <w:br/>
              <w:t>(instructie + begeleiding)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Varieert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Stagiair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Student, leerling</w:t>
            </w:r>
          </w:p>
        </w:tc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Volledig</w:t>
              <w:br/>
              <w:t>(inclusief mentor)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Langdurig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Bezoeker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Leverancier, inspecteur</w:t>
            </w:r>
          </w:p>
        </w:tc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</w:t>
              <w:br/>
              <w:t>(ontvangst-instructie)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&lt; 1 dag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Verantwoordelijkheden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Directie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Goedkeuring onderaannemercontracten; beschikbaarstelling van middelen en budget voor veiligheidsmaatregelen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HSE Manager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veiligheidsdocumentatie onderaannemer; toezicht op uitvoering veiligheidsvoorschriften; uitvoering steekproeven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Operations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Operationele afstemming met onderaannemers; afgifte Permit-to-Work; toewijzing contactpersoon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(bedrijf)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Eigen veiligheidsplan opstellen; bekwaamheid personeel aantonen; naleving Phoenix Metals regels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(uitvoerend medewerker)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Volgen Phoenix Metals procedures; TRA uitvoeren; verplichte PBM dragen; melden van onveilige situaties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Zie ook de functieprofielen in document PE-310-02 voor uitgebreide rolbeschrijvingen.</w:t>
      </w:r>
    </w:p>
    <w:p>
      <w:pPr>
        <w:pStyle w:val="Heading1"/>
      </w:pPr>
      <w:r>
        <w:rPr>
          <w:rFonts w:ascii="Calibri" w:hAnsi="Calibri"/>
          <w:color w:val="003366"/>
        </w:rPr>
        <w:t>4. Goedkeuringsprocedure — Voordat werkzaamheden starten</w:t>
      </w:r>
    </w:p>
    <w:p>
      <w:pPr>
        <w:pStyle w:val="Heading2"/>
      </w:pPr>
      <w:r>
        <w:rPr>
          <w:rFonts w:ascii="Calibri" w:hAnsi="Calibri"/>
          <w:color w:val="003366"/>
        </w:rPr>
        <w:t>4.1 Pre-qualification (Category A onderaannemers)</w:t>
      </w:r>
    </w:p>
    <w:p>
      <w:r>
        <w:rPr>
          <w:rFonts w:ascii="Calibri" w:hAnsi="Calibri"/>
          <w:b w:val="0"/>
          <w:color w:val="1F2937"/>
          <w:sz w:val="22"/>
        </w:rPr>
        <w:t>Voor Category A onderaannemers is een formele pre-qualification verplicht voordat een opdracht wordt gegund.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45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Bedrijfsgegevens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KvK-inschrijving, aansprakelijkheidsverzekering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VCA* of VCA** (geldig)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Risico-Inventarisatie &amp; -Evaluatie van eigen bedrijf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</w:t>
            </w:r>
          </w:p>
        </w:tc>
        <w:tc>
          <w:tcPr>
            <w:tcW w:type="dxa" w:w="45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Conform SNA-norm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  <w:tr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Referenties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Minimaal 2 vergelijkbare opdrachten (laatste 3 jaar)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Beoordeling door HSE Manager → GO/NO-GO beslissing. Uitsluitend bij positieve beoordeling wordt de opdracht bevestigd.</w:t>
      </w:r>
    </w:p>
    <w:p>
      <w:pPr>
        <w:pStyle w:val="Heading2"/>
      </w:pPr>
      <w:r>
        <w:rPr>
          <w:rFonts w:ascii="Calibri" w:hAnsi="Calibri"/>
          <w:color w:val="003366"/>
        </w:rPr>
        <w:t>4.2 Opdrachtbevestiging</w:t>
      </w:r>
    </w:p>
    <w:p>
      <w:r>
        <w:rPr>
          <w:rFonts w:ascii="Calibri" w:hAnsi="Calibri"/>
          <w:b w:val="0"/>
          <w:color w:val="1F2937"/>
          <w:sz w:val="22"/>
        </w:rPr>
        <w:t>Bij elke opdrachtbevestiging wordt een veiligheidsbijlage toegevoegd aan het contract of de kooporder. Deze bijlage bevat minimaal:</w:t>
      </w:r>
    </w:p>
    <w:p>
      <w:pPr>
        <w:pStyle w:val="ListBullet"/>
      </w:pPr>
      <w:r>
        <w:rPr>
          <w:rFonts w:ascii="Calibri" w:hAnsi="Calibri"/>
          <w:sz w:val="22"/>
        </w:rPr>
        <w:t>Specifieke risico's van de Phoenix Metals locatie waar werkzaamheden worden uitgevoerd</w:t>
      </w:r>
    </w:p>
    <w:p>
      <w:pPr>
        <w:pStyle w:val="ListBullet"/>
      </w:pPr>
      <w:r>
        <w:rPr>
          <w:rFonts w:ascii="Calibri" w:hAnsi="Calibri"/>
          <w:sz w:val="22"/>
        </w:rPr>
        <w:t>Verplichte persoonlijke beschermingsmiddelen (PBM's)</w:t>
      </w:r>
    </w:p>
    <w:p>
      <w:pPr>
        <w:pStyle w:val="ListBullet"/>
      </w:pPr>
      <w:r>
        <w:rPr>
          <w:rFonts w:ascii="Calibri" w:hAnsi="Calibri"/>
          <w:sz w:val="22"/>
        </w:rPr>
        <w:t>Verplichte trainingen en indruties</w:t>
      </w:r>
    </w:p>
    <w:p>
      <w:pPr>
        <w:pStyle w:val="ListBullet"/>
      </w:pPr>
      <w:r>
        <w:rPr>
          <w:rFonts w:ascii="Calibri" w:hAnsi="Calibri"/>
          <w:sz w:val="22"/>
        </w:rPr>
        <w:t>Noodprocedures en contactpersonen</w:t>
      </w:r>
    </w:p>
    <w:p>
      <w:r>
        <w:rPr>
          <w:rFonts w:ascii="Calibri" w:hAnsi="Calibri"/>
          <w:b w:val="0"/>
          <w:color w:val="1F2937"/>
          <w:sz w:val="22"/>
        </w:rPr>
        <w:t>Zie de Training Matrix (FM-310-01-01) voor een overzicht van vereiste trainingen per functie en categorie.</w:t>
      </w:r>
    </w:p>
    <w:p>
      <w:pPr>
        <w:pStyle w:val="Heading2"/>
      </w:pPr>
      <w:r>
        <w:rPr>
          <w:rFonts w:ascii="Calibri" w:hAnsi="Calibri"/>
          <w:color w:val="003366"/>
        </w:rPr>
        <w:t>4.3 Voorbereiding Aanvang</w:t>
      </w:r>
    </w:p>
    <w:p>
      <w:pPr>
        <w:pStyle w:val="ListBullet"/>
      </w:pPr>
      <w:r>
        <w:rPr>
          <w:rFonts w:ascii="Calibri" w:hAnsi="Calibri"/>
          <w:sz w:val="22"/>
        </w:rPr>
        <w:t>Site-inductie: uitgebreid bij Category A, beknopt bij Category B</w:t>
      </w:r>
    </w:p>
    <w:p>
      <w:pPr>
        <w:pStyle w:val="ListBullet"/>
      </w:pPr>
      <w:r>
        <w:rPr>
          <w:rFonts w:ascii="Calibri" w:hAnsi="Calibri"/>
          <w:sz w:val="22"/>
        </w:rPr>
        <w:t>Inwerkprogramma (PE-310-01) bij langdurige inzet (&gt;1 week)</w:t>
      </w:r>
    </w:p>
    <w:p>
      <w:pPr>
        <w:pStyle w:val="ListBullet"/>
      </w:pPr>
      <w:r>
        <w:rPr>
          <w:rFonts w:ascii="Calibri" w:hAnsi="Calibri"/>
          <w:sz w:val="22"/>
        </w:rPr>
        <w:t>PBM-uitgifte en registratie</w:t>
      </w:r>
    </w:p>
    <w:p>
      <w:pPr>
        <w:pStyle w:val="ListBullet"/>
      </w:pPr>
      <w:r>
        <w:rPr>
          <w:rFonts w:ascii="Calibri" w:hAnsi="Calibri"/>
          <w:sz w:val="22"/>
        </w:rPr>
        <w:t>Toewijzing Phoenix Metals contactpersoon/begeleider</w:t>
      </w:r>
    </w:p>
    <w:p>
      <w:pPr>
        <w:pStyle w:val="Heading1"/>
      </w:pPr>
      <w:r>
        <w:rPr>
          <w:rFonts w:ascii="Calibri" w:hAnsi="Calibri"/>
          <w:color w:val="003366"/>
        </w:rPr>
        <w:t>5. Site-Inductie — Externe Medewerkers</w:t>
      </w:r>
    </w:p>
    <w:p>
      <w:pPr>
        <w:pStyle w:val="Heading2"/>
      </w:pPr>
      <w:r>
        <w:rPr>
          <w:rFonts w:ascii="Calibri" w:hAnsi="Calibri"/>
          <w:color w:val="003366"/>
        </w:rPr>
        <w:t>5.1 Uitgebreide Inductie (Category A + Uitzendkrachten &gt;1 week)</w:t>
      </w:r>
    </w:p>
    <w:p>
      <w:r>
        <w:rPr>
          <w:rFonts w:ascii="Calibri" w:hAnsi="Calibri"/>
          <w:b w:val="0"/>
          <w:color w:val="1F2937"/>
          <w:sz w:val="22"/>
        </w:rPr>
        <w:t>Duur: 4 uur (identiek aan BASIS-training TR-100-01).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Module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introductie (samenvatting PS-230)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Meldingsplicht en near-miss procedure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Evacuatie en alarmprocedure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  <w:tr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Module 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HSE-kennis + Phoenix Metals specifieke stoffen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60 min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Kennistoets: 80% vereist om te slagen. Bij onvoldoende resultaat: herkansing na bijspijkercursus.</w:t>
      </w:r>
    </w:p>
    <w:p>
      <w:r>
        <w:rPr>
          <w:rFonts w:ascii="Calibri" w:hAnsi="Calibri"/>
          <w:b w:val="0"/>
          <w:color w:val="1F2937"/>
          <w:sz w:val="22"/>
        </w:rPr>
        <w:t>Deze inductie is gelijk aan de BASIS-training (TR-100-01). Zie ook het Inwerkprogramma (PE-310-01).</w:t>
      </w:r>
    </w:p>
    <w:p>
      <w:pPr>
        <w:pStyle w:val="Heading2"/>
      </w:pPr>
      <w:r>
        <w:rPr>
          <w:rFonts w:ascii="Calibri" w:hAnsi="Calibri"/>
          <w:color w:val="003366"/>
        </w:rPr>
        <w:t>5.2 Beknopte Inductie (Category B + Tijdelijk + Bezoekers)</w:t>
      </w:r>
    </w:p>
    <w:p>
      <w:r>
        <w:rPr>
          <w:rFonts w:ascii="Calibri" w:hAnsi="Calibri"/>
          <w:b w:val="0"/>
          <w:color w:val="1F2937"/>
          <w:sz w:val="22"/>
        </w:rPr>
        <w:t>Duur: 1 uur.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51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Inhoud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Alarmsoorten en evacuatieroutes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Basale veiligheidsregels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PBM-verplichtingen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  <w:tr>
        <w:tc>
          <w:tcPr>
            <w:tcW w:type="dxa" w:w="113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1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15 min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Permit-to-Work voor Externe Medewerkers</w:t>
      </w:r>
    </w:p>
    <w:p>
      <w:r>
        <w:rPr>
          <w:rFonts w:ascii="Calibri" w:hAnsi="Calibri"/>
          <w:b w:val="0"/>
          <w:color w:val="1F2937"/>
          <w:sz w:val="22"/>
        </w:rPr>
        <w:t>Externe medewerkers MOETEN een Permit-to-Work (PtW) aanvragen voor alle niet-standaard werkzaamheden. Het PtW wordt uitgegeven door de Phoenix Metals Operations Manager of HSE Manager.</w:t>
      </w:r>
    </w:p>
    <w:p>
      <w:pPr>
        <w:pStyle w:val="ListBullet"/>
      </w:pPr>
      <w:r>
        <w:rPr>
          <w:rFonts w:ascii="Calibri" w:hAnsi="Calibri"/>
          <w:sz w:val="22"/>
        </w:rPr>
        <w:t>TRA (Task Risk Analysis) verplicht bij elke PtW (zie TR-200-01C)</w:t>
      </w:r>
    </w:p>
    <w:p>
      <w:pPr>
        <w:pStyle w:val="ListBullet"/>
      </w:pPr>
      <w:r>
        <w:rPr>
          <w:rFonts w:ascii="Calibri" w:hAnsi="Calibri"/>
          <w:sz w:val="22"/>
        </w:rPr>
        <w:t>LOTO (Lock-Out/Tag-Out) verplicht bij onderhoud aan installaties (zie TR-200-01D)</w:t>
      </w:r>
    </w:p>
    <w:p>
      <w:pPr>
        <w:pStyle w:val="ListBullet"/>
      </w:pPr>
      <w:r>
        <w:rPr>
          <w:rFonts w:ascii="Calibri" w:hAnsi="Calibri"/>
          <w:sz w:val="22"/>
        </w:rPr>
        <w:t>Toolbox meeting voorafgaand aan werkzaamheden (zie PE-290-01-10)</w:t>
      </w:r>
    </w:p>
    <w:p>
      <w:pPr>
        <w:pStyle w:val="ListBullet"/>
      </w:pPr>
      <w:r>
        <w:rPr>
          <w:rFonts w:ascii="Calibri" w:hAnsi="Calibri"/>
          <w:sz w:val="22"/>
        </w:rPr>
        <w:t>PtW is locatie- en tijdgebonden; verlenging vereist nieuwe goedkeuring</w:t>
      </w:r>
    </w:p>
    <w:p>
      <w:pPr>
        <w:pStyle w:val="Heading1"/>
      </w:pPr>
      <w:r>
        <w:rPr>
          <w:rFonts w:ascii="Calibri" w:hAnsi="Calibri"/>
          <w:color w:val="003366"/>
        </w:rPr>
        <w:t>7. Monitoring en Toezicht</w:t>
      </w:r>
    </w:p>
    <w:p>
      <w:pPr>
        <w:pStyle w:val="ListBullet"/>
      </w:pPr>
      <w:r>
        <w:rPr>
          <w:rFonts w:ascii="Calibri" w:hAnsi="Calibri"/>
          <w:sz w:val="22"/>
        </w:rPr>
        <w:t>De HSE Manager voert dagelijks een steekproef uit bij werkzaamheden van externe medewerkers</w:t>
      </w:r>
    </w:p>
    <w:p>
      <w:pPr>
        <w:pStyle w:val="ListBullet"/>
      </w:pPr>
      <w:r>
        <w:rPr>
          <w:rFonts w:ascii="Calibri" w:hAnsi="Calibri"/>
          <w:sz w:val="22"/>
        </w:rPr>
        <w:t>De lijnmanager is het eerste aanspreekpunt op de werkvloer</w:t>
      </w:r>
    </w:p>
    <w:p>
      <w:pPr>
        <w:pStyle w:val="ListBullet"/>
      </w:pPr>
      <w:r>
        <w:rPr>
          <w:rFonts w:ascii="Calibri" w:hAnsi="Calibri"/>
          <w:sz w:val="22"/>
        </w:rPr>
        <w:t>Bevindingen worden gedocumenteerd en gecommuniceerd naar de onderaannemer</w:t>
      </w:r>
    </w:p>
    <w:p>
      <w:pPr>
        <w:pStyle w:val="ListBullet"/>
      </w:pPr>
      <w:r>
        <w:rPr>
          <w:rFonts w:ascii="Calibri" w:hAnsi="Calibri"/>
          <w:sz w:val="22"/>
        </w:rPr>
        <w:t>Bij incidenten: direct stop werk → incidentonderzoek → escalatie naar directie</w:t>
      </w:r>
    </w:p>
    <w:p>
      <w:pPr>
        <w:pStyle w:val="Heading1"/>
      </w:pPr>
      <w:r>
        <w:rPr>
          <w:rFonts w:ascii="Calibri" w:hAnsi="Calibri"/>
          <w:color w:val="003366"/>
        </w:rPr>
        <w:t>8. Evaluatie en Afsluiting</w:t>
      </w:r>
    </w:p>
    <w:p>
      <w:r>
        <w:rPr>
          <w:rFonts w:ascii="Calibri" w:hAnsi="Calibri"/>
          <w:b w:val="0"/>
          <w:color w:val="1F2937"/>
          <w:sz w:val="22"/>
        </w:rPr>
        <w:t>Na afronding van de werkzaamheden vindt een evaluatiegesprek plaats met de onderaannemer.</w:t>
      </w:r>
    </w:p>
    <w:p>
      <w:r>
        <w:rPr>
          <w:rFonts w:ascii="Calibri" w:hAnsi="Calibri"/>
          <w:b/>
          <w:color w:val="1F2937"/>
          <w:sz w:val="22"/>
        </w:rPr>
        <w:t>Evaluatiecriteria:</w:t>
      </w:r>
    </w:p>
    <w:p>
      <w:pPr>
        <w:pStyle w:val="ListBullet"/>
      </w:pPr>
      <w:r>
        <w:rPr>
          <w:rFonts w:ascii="Calibri" w:hAnsi="Calibri"/>
          <w:sz w:val="22"/>
        </w:rPr>
        <w:t>Veiligheidsgedrag en naleving van Phoenix Metals procedures</w:t>
      </w:r>
    </w:p>
    <w:p>
      <w:pPr>
        <w:pStyle w:val="ListBullet"/>
      </w:pPr>
      <w:r>
        <w:rPr>
          <w:rFonts w:ascii="Calibri" w:hAnsi="Calibri"/>
          <w:sz w:val="22"/>
        </w:rPr>
        <w:t>Aantal en ernst van incidenten / near-misses</w:t>
      </w:r>
    </w:p>
    <w:p>
      <w:pPr>
        <w:pStyle w:val="ListBullet"/>
      </w:pPr>
      <w:r>
        <w:rPr>
          <w:rFonts w:ascii="Calibri" w:hAnsi="Calibri"/>
          <w:sz w:val="22"/>
        </w:rPr>
        <w:t>Kwaliteit van het uitgevoerde werk</w:t>
      </w:r>
    </w:p>
    <w:p>
      <w:pPr>
        <w:pStyle w:val="ListBullet"/>
      </w:pPr>
      <w:r>
        <w:rPr>
          <w:rFonts w:ascii="Calibri" w:hAnsi="Calibri"/>
          <w:sz w:val="22"/>
        </w:rPr>
        <w:t>Samenwerking en communicatie</w:t>
      </w:r>
    </w:p>
    <w:p>
      <w:r>
        <w:rPr>
          <w:rFonts w:ascii="Calibri" w:hAnsi="Calibri"/>
          <w:b w:val="0"/>
          <w:color w:val="1F2937"/>
          <w:sz w:val="22"/>
        </w:rPr>
        <w:t>Beoordeling: Voldoet / Voldoet niet. Resultaat wordt geregistreerd in de leveranciersdatabase en beïnvloedt toekomstige opdrachtverlening.</w:t>
      </w:r>
    </w:p>
    <w:p>
      <w:pPr>
        <w:pStyle w:val="Heading1"/>
      </w:pPr>
      <w:r>
        <w:rPr>
          <w:rFonts w:ascii="Calibri" w:hAnsi="Calibri"/>
          <w:color w:val="003366"/>
        </w:rPr>
        <w:t>9. Stagiairs — Specifieke Regeling</w:t>
      </w:r>
    </w:p>
    <w:p>
      <w:pPr>
        <w:pStyle w:val="ListBullet"/>
      </w:pPr>
      <w:r>
        <w:rPr>
          <w:rFonts w:ascii="Calibri" w:hAnsi="Calibri"/>
          <w:sz w:val="22"/>
        </w:rPr>
        <w:t>Stagiairs volgen het volledige inwerkprogramma (PE-310-01)</w:t>
      </w:r>
    </w:p>
    <w:p>
      <w:pPr>
        <w:pStyle w:val="ListBullet"/>
      </w:pPr>
      <w:r>
        <w:rPr>
          <w:rFonts w:ascii="Calibri" w:hAnsi="Calibri"/>
          <w:sz w:val="22"/>
        </w:rPr>
        <w:t>Toewijzing van een persoonlijke mentor (ervaren operator of manager)</w:t>
      </w:r>
    </w:p>
    <w:p>
      <w:pPr>
        <w:pStyle w:val="ListBullet"/>
      </w:pPr>
      <w:r>
        <w:rPr>
          <w:rFonts w:ascii="Calibri" w:hAnsi="Calibri"/>
          <w:sz w:val="22"/>
        </w:rPr>
        <w:t>De mentor is te allen tijde bereikbaar en eindverantwoordelijk voor de stagiair</w:t>
      </w:r>
    </w:p>
    <w:p>
      <w:pPr>
        <w:pStyle w:val="ListBullet"/>
      </w:pPr>
      <w:r>
        <w:rPr>
          <w:rFonts w:ascii="Calibri" w:hAnsi="Calibri"/>
          <w:sz w:val="22"/>
        </w:rPr>
        <w:t>Een stagiair werkt NOOIT zelfstandig zonder toezicht</w:t>
      </w:r>
    </w:p>
    <w:p>
      <w:pPr>
        <w:pStyle w:val="ListBullet"/>
      </w:pPr>
      <w:r>
        <w:rPr>
          <w:rFonts w:ascii="Calibri" w:hAnsi="Calibri"/>
          <w:sz w:val="22"/>
        </w:rPr>
        <w:t>Bij aanvang wordt een startwaarde competentie assessment uitgevoerd (FM-310-02)</w:t>
      </w:r>
    </w:p>
    <w:p>
      <w:pPr>
        <w:pStyle w:val="Heading1"/>
      </w:pPr>
      <w:r>
        <w:rPr>
          <w:rFonts w:ascii="Calibri" w:hAnsi="Calibri"/>
          <w:color w:val="003366"/>
        </w:rPr>
        <w:t>10. Formulieren en Templates</w:t>
      </w:r>
    </w:p>
    <w:p>
      <w:r>
        <w:rPr>
          <w:rFonts w:ascii="Calibri" w:hAnsi="Calibri"/>
          <w:b w:val="0"/>
          <w:color w:val="1F2937"/>
          <w:sz w:val="22"/>
        </w:rPr>
        <w:t>De volgende formulieren zijn beschikbaar als bijlage bij deze procedure:</w:t>
      </w:r>
    </w:p>
    <w:p>
      <w:r>
        <w:rPr>
          <w:rFonts w:ascii="Calibri" w:hAnsi="Calibri"/>
          <w:b/>
          <w:color w:val="1F2937"/>
          <w:sz w:val="22"/>
        </w:rPr>
        <w:t>Formulier A: Pre-qualification Checklist Onderaannemer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Vereiste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 / Bewijs</w:t>
            </w:r>
          </w:p>
        </w:tc>
        <w:tc>
          <w:tcPr>
            <w:tcW w:type="dxa" w:w="170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Aanwezig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Opmerkingen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KvK-inschrijving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Aansprakelijkheidsverzekering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VCA-certificaat (* of **)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RI&amp;E eigen bedrijf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Arboverklaring (SNA)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1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Referentie 2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Beoordeling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  ☐ NO-GO</w:t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70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B: Veiligheidsbijlage Contract/Kooporder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Opdrachtgever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Phoenix Metals B.V.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 risico's locatie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PBM's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Verplichte trainingen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Geldigheidsduur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Contactpersoon Phoenix Metals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+ Handtekening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C: Site-Inductie Registratie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extern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Bedrijf / Organisatie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Categorie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Cat A  ☐ Cat B  ☐ Uitzend  ☐ Tijdelijk  ☐ Stagiair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Type inductie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Uitgebreid (4 uur)  ☐ Beknopt (1 uur)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inductie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Uitgevoerd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Kennistoets resultaat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____/100 (80% vereist)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extern medewerker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D: Permit-to-Work Externe Medewerker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623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Invullen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PtW-nummer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Onderaannemer / Bedrijf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Naam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Locatie werkzaamheden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Omschrijving werkzaamheden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 uitgevoerd (TR-200-01C)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LOTO vereist (TR-200-01D)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Indien ja: LOTO-nummer ____</w:t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gehouden (PE-290-01-10)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</w:t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Geldig van / tot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Uitgegeven door</w:t>
            </w:r>
          </w:p>
        </w:tc>
        <w:tc>
          <w:tcPr>
            <w:tcW w:type="dxa" w:w="623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Akkoord uitvoerend medewerker</w:t>
            </w:r>
          </w:p>
        </w:tc>
        <w:tc>
          <w:tcPr>
            <w:tcW w:type="dxa" w:w="623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Formulier E: Evaluatie Onderaannemer (na afloop werkzaamheden)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551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Beoordeling</w:t>
            </w:r>
          </w:p>
        </w:tc>
        <w:tc>
          <w:tcPr>
            <w:tcW w:type="dxa" w:w="311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Veiligheidsgedrag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Naleving procedures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Incidenten / near-misses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Aantal: ____, Ernst: ☐ Laag ☐ Midden ☐ Hoog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Kwaliteit werk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Samenwerking / communicatie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Goed  ☐ Voldoende  ☐ Onvoldoende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Totaaloordeel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Voldoet  ☐ Voldoet niet</w:t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Aanbeveling vervolgopdrachten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☐ Ja  ☐ Nee  ☐ Voorwaardelijk</w:t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Datum evaluatie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HSE Manager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2551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Handtekening onderaannemer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  <w:tc>
          <w:tcPr>
            <w:tcW w:type="dxa" w:w="311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850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5386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984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PBZO Beleidsdocument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PS-230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2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Functieprofielen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PE-310-02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3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Organigram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PE-310-03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4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Training Matrix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FM-310-01-01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5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Inwerkprogramma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6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Toolbox Meeting Procedure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PE-290-01-10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7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Competentie Assessment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FM-310-02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8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BASIS-training Programma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TR-100-01</w:t>
            </w:r>
          </w:p>
        </w:tc>
      </w:tr>
      <w:tr>
        <w:tc>
          <w:tcPr>
            <w:tcW w:type="dxa" w:w="850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9</w:t>
            </w:r>
          </w:p>
        </w:tc>
        <w:tc>
          <w:tcPr>
            <w:tcW w:type="dxa" w:w="538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SPECIFIEKE-training Programma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TR-200-01</w:t>
            </w:r>
          </w:p>
        </w:tc>
      </w:tr>
      <w:tr>
        <w:tc>
          <w:tcPr>
            <w:tcW w:type="dxa" w:w="850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5386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Procedure Onderaannemers en Tijdelijk Personeel (dit document)</w:t>
            </w:r>
          </w:p>
        </w:tc>
        <w:tc>
          <w:tcPr>
            <w:tcW w:type="dxa" w:w="1984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PE-310-04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12. Bronverwijzingen</w:t>
      </w:r>
    </w:p>
    <w:p>
      <w:r>
        <w:rPr>
          <w:rFonts w:ascii="Calibri" w:hAnsi="Calibri"/>
          <w:color w:val="1F2937"/>
          <w:sz w:val="20"/>
        </w:rPr>
        <w:t>[1] Seveso III Richtlijn 2012/18/EU, Bijlage III — Veiligheidsbeheersingssystemen</w:t>
      </w:r>
    </w:p>
    <w:p>
      <w:r>
        <w:rPr>
          <w:rFonts w:ascii="Calibri" w:hAnsi="Calibri"/>
          <w:color w:val="1F2937"/>
          <w:sz w:val="20"/>
        </w:rPr>
        <w:t>[2] NTA 8620 — Veiligheidsbeheersysteem voor Seveso-inrichtingen</w:t>
      </w:r>
    </w:p>
    <w:p>
      <w:r>
        <w:rPr>
          <w:rFonts w:ascii="Calibri" w:hAnsi="Calibri"/>
          <w:color w:val="1F2937"/>
          <w:sz w:val="20"/>
        </w:rPr>
        <w:t>[3] Arbeidsomstandighedenwet (Arbowet), artikel 3 — Algemene zorgplicht werkgever</w:t>
      </w:r>
    </w:p>
    <w:p>
      <w:r>
        <w:rPr>
          <w:rFonts w:ascii="Calibri" w:hAnsi="Calibri"/>
          <w:color w:val="1F2937"/>
          <w:sz w:val="20"/>
        </w:rPr>
        <w:t>[4] ISO 45001:2018, Clausule 7.2 (Competence) en 7.4 (Communication)</w:t>
      </w:r>
    </w:p>
    <w:p>
      <w:r>
        <w:rPr>
          <w:rFonts w:ascii="Calibri" w:hAnsi="Calibri"/>
          <w:color w:val="1F2937"/>
          <w:sz w:val="20"/>
        </w:rPr>
        <w:t>[5] IPLO.nl — Preventiebeleid en Veiligheidsbeheersysteem (VBS) voor Seveso-bedrijven</w:t>
      </w:r>
    </w:p>
    <w:p>
      <w:r>
        <w:rPr>
          <w:rFonts w:ascii="Calibri" w:hAnsi="Calibri"/>
          <w:color w:val="1F2937"/>
          <w:sz w:val="20"/>
        </w:rPr>
        <w:t>[6] VCA-norm — Safety, Health and Environment Checklist Contractors</w:t>
      </w:r>
    </w:p>
    <w:p>
      <w:pPr>
        <w:pStyle w:val="Heading1"/>
      </w:pPr>
      <w:r>
        <w:rPr>
          <w:rFonts w:ascii="Calibri" w:hAnsi="Calibri"/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402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 / Referentie</w:t>
            </w:r>
          </w:p>
        </w:tc>
        <w:tc>
          <w:tcPr>
            <w:tcW w:type="dxa" w:w="2268"/>
            <w:shd w:fill="00336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Wettelijke basis Seveso III Bijlage III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EUR-Lex 2012/18/EU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NTA 8620 vereisten externe medewerkers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NEN-NTA 8620:2016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Arbowet zorgplicht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Overheid.nl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 clausule 7.2/7.4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ISO 45001:2018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VCA-certificeringseisen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VCA-platform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Geverifieerd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PE-310-02 (Functieprofielen)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PE-310-01 (Inwerkprogramma)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FM-310-02 (Competentie Assessment)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TR-100-01 (BASIS-training)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  <w:tr>
        <w:tc>
          <w:tcPr>
            <w:tcW w:type="dxa" w:w="3402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Consistentie met FM-310-01-01 (Training Matrix)</w:t>
            </w:r>
          </w:p>
        </w:tc>
        <w:tc>
          <w:tcPr>
            <w:tcW w:type="dxa" w:w="2835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JvG Consultancy</w:t>
            </w:r>
          </w:p>
        </w:tc>
        <w:tc>
          <w:tcPr>
            <w:tcW w:type="dxa" w:w="2268"/>
            <w:shd w:fill="F3F4F6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sz w:val="20"/>
              </w:rPr>
              <w:t>✓ Consistent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</w:r>
    </w:p>
    <w:p>
      <w:r>
        <w:rPr>
          <w:rFonts w:ascii="Calibri" w:hAnsi="Calibri"/>
          <w:i/>
          <w:color w:val="6B7280"/>
          <w:sz w:val="18"/>
        </w:rPr>
        <w:t>TierVerify afgerond — 28 april 2026 — JvG Consultancy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