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TRAINING MATRIX</w:t>
      </w:r>
    </w:p>
    <w:p>
      <w:pPr>
        <w:jc w:val="center"/>
      </w:pPr>
      <w:r>
        <w:rPr>
          <w:color w:val="1F2F37"/>
          <w:sz w:val="28"/>
        </w:rPr>
        <w:t>Veiligheidsbewustzijn &amp; Gedrag — Element 1</w:t>
      </w:r>
    </w:p>
    <w:p>
      <w:pPr>
        <w:jc w:val="center"/>
      </w:pPr>
      <w:r>
        <w:rPr>
          <w:color w:val="1F2F37"/>
          <w:sz w:val="24"/>
        </w:rPr>
        <w:t>Phoenix Metals B.V.</w:t>
      </w:r>
    </w:p>
    <w:p/>
    <w:p>
      <w:pPr>
        <w:jc w:val="center"/>
      </w:pPr>
      <w:r>
        <w:rPr>
          <w:color w:val="6B7280"/>
          <w:sz w:val="20"/>
        </w:rPr>
        <w:t>Document: PM_VBS01_04 | Versie: 1.0 | Datum: 28 april 2026</w:t>
      </w:r>
    </w:p>
    <w:p>
      <w:pPr>
        <w:jc w:val="center"/>
      </w:pPr>
      <w:r>
        <w:rPr>
          <w:color w:val="6B7280"/>
          <w:sz w:val="20"/>
        </w:rPr>
        <w:t>Auteur: JvG Consultancy | Status: Definitief</w:t>
      </w:r>
    </w:p>
    <w:p>
      <w:r>
        <w:br w:type="page"/>
      </w:r>
    </w:p>
    <w:p>
      <w:pPr>
        <w:pStyle w:val="Heading1"/>
      </w:pPr>
      <w:r>
        <w:rPr>
          <w:rFonts w:ascii="Calibri" w:hAnsi="Calibri"/>
          <w:color w:val="003366"/>
        </w:rPr>
        <w:t>Inhoudsopgave</w:t>
      </w:r>
    </w:p>
    <w:p>
      <w:pPr>
        <w:spacing w:after="40"/>
      </w:pPr>
      <w:r>
        <w:rPr>
          <w:sz w:val="20"/>
        </w:rPr>
        <w:t>1. Doel en toepassingsgebied</w:t>
      </w:r>
    </w:p>
    <w:p>
      <w:pPr>
        <w:spacing w:after="40"/>
      </w:pPr>
      <w:r>
        <w:rPr>
          <w:sz w:val="20"/>
        </w:rPr>
        <w:t>2. Wettelijk kader</w:t>
      </w:r>
    </w:p>
    <w:p>
      <w:pPr>
        <w:spacing w:after="40"/>
      </w:pPr>
      <w:r>
        <w:rPr>
          <w:sz w:val="20"/>
        </w:rPr>
        <w:t>3. Definities en afkortingen</w:t>
      </w:r>
    </w:p>
    <w:p>
      <w:pPr>
        <w:spacing w:after="40"/>
      </w:pPr>
      <w:r>
        <w:rPr>
          <w:sz w:val="20"/>
        </w:rPr>
        <w:t>4. Training matrix overzicht</w:t>
      </w:r>
    </w:p>
    <w:p>
      <w:pPr>
        <w:spacing w:after="40"/>
      </w:pPr>
      <w:r>
        <w:rPr>
          <w:sz w:val="20"/>
        </w:rPr>
        <w:t>5. Part 1 — Emergency Preparedness &amp; Response</w:t>
      </w:r>
    </w:p>
    <w:p>
      <w:pPr>
        <w:spacing w:after="40"/>
      </w:pPr>
      <w:r>
        <w:rPr>
          <w:sz w:val="20"/>
        </w:rPr>
        <w:t>6. Part 2 — Technische Kennis</w:t>
      </w:r>
    </w:p>
    <w:p>
      <w:pPr>
        <w:spacing w:after="40"/>
      </w:pPr>
      <w:r>
        <w:rPr>
          <w:sz w:val="20"/>
        </w:rPr>
        <w:t>7. Part 3 — Safety Management</w:t>
      </w:r>
    </w:p>
    <w:p>
      <w:pPr>
        <w:spacing w:after="40"/>
      </w:pPr>
      <w:r>
        <w:rPr>
          <w:sz w:val="20"/>
        </w:rPr>
        <w:t>8. Verplicht/Statutair matrix</w:t>
      </w:r>
    </w:p>
    <w:p>
      <w:pPr>
        <w:spacing w:after="40"/>
      </w:pPr>
      <w:r>
        <w:rPr>
          <w:sz w:val="20"/>
        </w:rPr>
        <w:t>9. Status tracking en certificering</w:t>
      </w:r>
    </w:p>
    <w:tbl>
      <w:tblPr>
        <w:tblW w:type="auto" w:w="0"/>
        <w:jc w:val="center"/>
        <w:tblLook w:firstColumn="1" w:firstRow="1" w:lastColumn="0" w:lastRow="0" w:noHBand="0" w:noVBand="1" w:val="04A0"/>
      </w:tblPr>
      <w:tblGrid>
        <w:gridCol w:w="2268"/>
        <w:gridCol w:w="2268"/>
        <w:gridCol w:w="2268"/>
        <w:gridCol w:w="2268"/>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Beleidsdoelstellingen die trainingsvereisten bepalen</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die als basis dienen voor trainingsbehoeften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Organisatiestructuur die trainingsniveaus bepaalt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i/>
                <w:sz w:val="18"/>
              </w:rPr>
              <w:t>(dit document)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als onderdeel van het totale trainingsaanbod</w:t>
            </w:r>
          </w:p>
        </w:tc>
      </w:tr>
    </w:tbl>
    <w:sectPr w:rsidR="00FC693F" w:rsidRPr="0006063C" w:rsidSect="00034616">
      <w:headerReference w:type="default" r:id="rId10"/>
      <w:footerReference w:type="default" r:id="rId11"/>
      <w:pgSz w:w="11906" w:h="16838"/>
      <w:pgMar w:top="1417" w:right="1417" w:bottom="1134" w:left="1417" w:header="720" w:footer="720" w:gutter="0"/>
      <w:cols w:space="720"/>
      <w:docGrid w:linePitch="360"/>
    </w:sectPr>
    <w:p>
      <w:pPr>
        <w:spacing w:after="40"/>
      </w:pPr>
      <w:r>
        <w:rPr>
          <w:sz w:val="20"/>
        </w:rPr>
        <w:t>10. Bronverwijzingen</w:t>
      </w:r>
    </w:p>
    <w:p>
      <w:pPr>
        <w:spacing w:after="40"/>
      </w:pPr>
      <w:r>
        <w:rPr>
          <w:sz w:val="20"/>
        </w:rPr>
        <w:t>11. TierVerify log</w:t>
      </w:r>
    </w:p>
    <w:p>
      <w:r>
        <w:br w:type="page"/>
      </w:r>
    </w:p>
    <w:p>
      <w:pPr>
        <w:pStyle w:val="Heading1"/>
      </w:pPr>
      <w:r>
        <w:rPr>
          <w:color w:val="003366"/>
        </w:rPr>
        <w:t>1. Doel en toepassingsgebied</w:t>
      </w:r>
    </w:p>
    <w:p>
      <w:r>
        <w:rPr>
          <w:b/>
        </w:rPr>
        <w:t>Doel</w:t>
      </w:r>
    </w:p>
    <w:p>
      <w:r>
        <w:t>Dit document definieert de training matrix voor Phoenix Metals B.V., inclusief alle vereiste trainingen, herhalingsfrequenties, doelgroepen en beoordelingswijzen. De matrix waarborgt dat elke medewerker de competenties bezit die noodzakelijk zijn voor veilige taakuitoefening in overeenstemming met de Seveso III-richtlijn en de Arbowet.</w:t>
      </w:r>
    </w:p>
    <w:p>
      <w:r>
        <w:rPr>
          <w:b/>
        </w:rPr>
        <w:t>Toepassingsgebied</w:t>
      </w:r>
    </w:p>
    <w:p>
      <w:r>
        <w:t>Dit document is van toepassing op alle medewerkers van Phoenix Metals B.V., inclusief uitzendkrachten en contractanten die werkzaamheden verrichten op de locatie. De matrix dekt 8 functieprofielen en 22 trainingen verdeeld over drie categorieën. (zie PE-310-02)</w:t>
      </w:r>
    </w:p>
    <w:p>
      <w:pPr>
        <w:pStyle w:val="Heading1"/>
      </w:pPr>
      <w:r>
        <w:rPr>
          <w:color w:val="003366"/>
        </w:rPr>
        <w:t>2. Wettelijk kader</w:t>
      </w:r>
    </w:p>
    <w:p>
      <w:r>
        <w:rPr>
          <w:b/>
        </w:rPr>
        <w:t>Seveso III-richtlijn (2012/18/EU)</w:t>
      </w:r>
      <w:r>
        <w:t xml:space="preserve"> — Bijlage III vereist dat operators een systeem hebben voor de opleiding en training van personeel dat betrokken is bij major accident preventie [1].</w:t>
      </w:r>
    </w:p>
    <w:p>
      <w:r>
        <w:rPr>
          <w:b/>
        </w:rPr>
        <w:t>Besluit risico's zware ongevallen (BRZO) 2015</w:t>
      </w:r>
      <w:r>
        <w:t xml:space="preserve"> — Nationale implementatie van Seveso III. Art. 17 en Bijlage III specificeren de eisen aan opleiding en training [2].</w:t>
      </w:r>
    </w:p>
    <w:p>
      <w:r>
        <w:rPr>
          <w:b/>
        </w:rPr>
        <w:t>NTA 8620:2018</w:t>
      </w:r>
      <w:r>
        <w:t xml:space="preserve"> — Nederlandse Technische Afspraak voor veiligheidsmanagementsystemen bij Sevo-inrichtingen. Paragraaf 4.4.2 behandelt competentie en bewustwording [3].</w:t>
      </w:r>
    </w:p>
    <w:p>
      <w:r>
        <w:rPr>
          <w:b/>
        </w:rPr>
        <w:t>Arbowet (Wet van 9 oktober 2024)</w:t>
      </w:r>
      <w:r>
        <w:t xml:space="preserve"> — Art. 3 (algemene zorgplicht), art. 5 (informatie en instructie) en art. 8 (BHV) stellen eisen aan voorlichting en training van werknemers [4].</w:t>
      </w:r>
    </w:p>
    <w:p>
      <w:r>
        <w:rPr>
          <w:b/>
        </w:rPr>
        <w:t>Arbobesluit</w:t>
      </w:r>
      <w:r>
        <w:t xml:space="preserve"> — Art. 2.15 (onderricht), art. 3.6 (werken op hoogte), art. 3.8 (besloten ruimten) en art. 4.1c (explosieve atmosferen) stellen specifieke trainingseisen [5].</w:t>
      </w:r>
    </w:p>
    <w:p>
      <w:pPr>
        <w:pStyle w:val="Heading1"/>
      </w:pPr>
      <w:r>
        <w:rPr>
          <w:color w:val="003366"/>
        </w:rPr>
        <w:t>3. Definities en afkortingen</w:t>
      </w:r>
    </w:p>
    <w:tbl>
      <w:tblPr>
        <w:tblStyle w:val="TableGrid"/>
        <w:tblW w:type="auto" w:w="0"/>
        <w:tblLook w:firstColumn="1" w:firstRow="1" w:lastColumn="0" w:lastRow="0" w:noHBand="0" w:noVBand="1" w:val="04A0"/>
      </w:tblPr>
      <w:tblGrid>
        <w:gridCol w:w="4536"/>
        <w:gridCol w:w="4536"/>
      </w:tblGrid>
      <w:tr>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Afkorting / Term</w:t>
            </w:r>
          </w:p>
        </w:tc>
        <w:tc>
          <w:tcPr>
            <w:tcW w:type="dxa" w:w="453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Definitie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Mandatory — Training die door het management als essentieel is aangemerkt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Statutory — Training die wettelijk verplicht is</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Optioneel — Training die aanbevolen maar niet verplicht is</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Niet van toepassing voor deze functie</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Bedrijfsnoodplan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Bedrijfs Hulpverlening</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Veilige Opstart Procedure</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Task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LOTO</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Lock Out Tag Out</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LMRA</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Last Minute Risk Assessment</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Persoonlijke Beschermingsmiddelen</w:t>
            </w:r>
          </w:p>
        </w:tc>
      </w:tr>
      <w:tr>
        <w:tc>
          <w:tcPr>
            <w:tcW w:type="dxa" w:w="453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MSDS</w:t>
            </w:r>
          </w:p>
        </w:tc>
        <w:tc>
          <w:tcPr>
            <w:tcW w:type="dxa" w:w="453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Material Safety Data Sheet (veiligheidsinformatieblad)</w:t>
            </w:r>
          </w:p>
        </w:tc>
      </w:tr>
      <w:tr>
        <w:tc>
          <w:tcPr>
            <w:tcW w:type="dxa" w:w="453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ATEX</w:t>
            </w:r>
          </w:p>
        </w:tc>
        <w:tc>
          <w:tcPr>
            <w:tcW w:type="dxa" w:w="453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Atmosphères Explosibles</w:t>
            </w:r>
          </w:p>
        </w:tc>
      </w:tr>
    </w:tbl>
    <w:p>
      <w:r>
        <w:br w:type="page"/>
      </w:r>
    </w:p>
    <w:p>
      <w:pPr>
        <w:pStyle w:val="Heading1"/>
      </w:pPr>
      <w:r>
        <w:rPr>
          <w:color w:val="003366"/>
        </w:rPr>
        <w:t>4. Training matrix overzicht</w:t>
      </w:r>
    </w:p>
    <w:p>
      <w:r>
        <w:t>Onderstaande tabel toont de rol-training matrix met de classificatie per functie. De volledige details per training staan in de daaropvolgende paragrafen.</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Product hazards / MSDS (V₂O₅, H₂SO₄, NaOH, Al₂(SO₄)₃)</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Emergency response equipment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VOP (Veilige Opstart Procedure)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Statische elektriciteit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Stofexplosiebewustzijn (ATEX zones, Kst-waarden)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REACH/CLP bewustzijn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Company Induction (inwerkprogramma)</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Permit to Work (incl. TRA, LOTO, LMRA)</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Safety observation process</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PBM beleid en gebruik</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Alcohol &amp; drugs zero tolerance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MT ownership and responsibility (incl. PBZO)</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Management of Change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Besloten ruimten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Werken op hoogte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Incident response &amp; investigation</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Fysieke belasting / tillen</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w:t>
            </w:r>
          </w:p>
        </w:tc>
      </w:tr>
    </w:tbl>
    <w:p>
      <w:r>
        <w:br w:type="page"/>
      </w:r>
    </w:p>
    <w:p>
      <w:pPr>
        <w:pStyle w:val="Heading1"/>
      </w:pPr>
      <w:r>
        <w:rPr>
          <w:color w:val="003366"/>
        </w:rPr>
        <w:t>5. Part 1 — Emergency Preparedness &amp; Response</w:t>
      </w:r>
    </w:p>
    <w:p>
      <w:r>
        <w:t>Emergency preparedness trainingen zijn gericht op het waarborgen dat alle medewerkers adequaat kunnen reageren bij noodsituaties. De BNP training (1.1) vormt de basis met scenario-gebaseerde oefeningen die kwartaalgewijs worden herhaald [1][2]. BHV + AED (1.2) is een jaarlijkse verplichting voor alle medewerkers conform Arbowet art. 8 [4]. Brandbestrijding (1.3) wordt extern verzorgd en omvat zowel theorie als praktijk met blusmiddelen. Evacuatieoefeningen (1.4) worden halfjaarlijks uitgevoerd om evacuatieroutes en verzamelpunten te testen.</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BNP Training (scenario training)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Kwartaal</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BHV + AED</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Brandbestrijding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(erkend opleider)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1.4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Evacuatieoefening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Halfjaarlijks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6. Part 2 — Technische Kennis</w:t>
      </w:r>
    </w:p>
    <w:p>
      <w:r>
        <w:t>Technische kennistrainingen behandelen de specifieke procesrisico's van de Phoenix Metals installatie. Product hazards / MSDS (2.1) behandelt de gevaren van de vier primaire stoffen: vanadinpentoxide (V₂O₅), zwavelzuur (H₂SO₄), natriumhydroxide (NaOH) en aluminiumsulfaat (Al₂(SO₄)₃) [6]. Stofexplosiebewustzijn (2.5) is een nieuwe training die is toegevoegd naar aanleiding van de Seveso-implementatie en behandelt ATEX-zone classificatie, Kst-waarden en preventieve maatregelen tegen stofexplosies [1][5]. REACH/CLP bewustzijn (2.6) is eveneens nieuw en voorziet in de vereiste kennis van Europese chemische wetgeving [7].</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Product hazards / MSDS (V₂O₅, H₂SO₄, NaOH, Al₂(SO₄)₃)</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Emergency response equipment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VOP (Veilige Opstart Procedure)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Installatie Verantwoordelijke (E&amp;I)</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Statische elektriciteit</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Stofexplosiebewustzijn (ATEX zones, Kst-waarden)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Praktisch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2.6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REACH/CLP bewustzijn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bl>
    <w:p>
      <w:r>
        <w:br w:type="page"/>
      </w:r>
    </w:p>
    <w:p>
      <w:pPr>
        <w:pStyle w:val="Heading1"/>
      </w:pPr>
      <w:r>
        <w:rPr>
          <w:color w:val="003366"/>
        </w:rPr>
        <w:t>7. Part 3 — Safety Management</w:t>
      </w:r>
    </w:p>
    <w:p>
      <w:r>
        <w:t>Safety management trainingen zijn gericht op het veiligheidsmanagementsysteem en operationele veiligheidsprocedures. Company Induction (3.1) is het inwerkprogramma van twee weken voor alle nieuwe medewerkers en omvat zowel theorie als praktijk op de vloer [2]. Permit to Work (3.2) integreert TRA, LOTO en LMRA in één training die jaarlijks wordt herhaald. MT ownership (3.6) is een uitgebreide ja॥elijkse training van 8 uur voor het Management Team inclusief PBZO-verantwoordelijkheden [3]. Werken op hoogte (3.9) en besloten ruimten (3.8) behandelen de specifieke risico's conform Arbobesluit art. 3.6 en 3.8 [5]. (zie PE-310-01)</w:t>
      </w:r>
    </w:p>
    <w:tbl>
      <w:tblPr>
        <w:tblStyle w:val="TableGrid"/>
        <w:tblW w:type="auto" w:w="0"/>
        <w:tblLook w:firstColumn="1" w:firstRow="1" w:lastColumn="0" w:lastRow="0" w:noHBand="0" w:noVBand="1" w:val="04A0"/>
      </w:tblPr>
      <w:tblGrid>
        <w:gridCol w:w="1296"/>
        <w:gridCol w:w="1296"/>
        <w:gridCol w:w="1296"/>
        <w:gridCol w:w="1296"/>
        <w:gridCol w:w="1296"/>
        <w:gridCol w:w="1296"/>
        <w:gridCol w:w="1296"/>
      </w:tblGrid>
      <w:tr>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Nr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Wie</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Freq.</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Duur</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Cert.</w:t>
            </w:r>
          </w:p>
        </w:tc>
        <w:tc>
          <w:tcPr>
            <w:tcW w:type="dxa" w:w="1296"/>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Beoordeling</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Company Induction (inwerkprogramma)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OPS Manager + 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Eenmalig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weken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3.2</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Permit to Work (incl. TRA, LOTO, LMRA)</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3.3</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Safety observation process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3.4</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PBM beleid en gebruik</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3.5</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Alcohol &amp; drugs zero tolerance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Extern (georganiseerd door HSE/TM)</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4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 + Awareness</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3.6</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MT ownership and responsibility (incl. PBZO)</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Terminal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3.7</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Management of Change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3.8</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Besloten ruimten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M&amp;R Manager + 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3.9</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Werken op hoogte</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5-jaarlijks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8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3.10</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Incident response &amp; investigation</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 + Theoretisch</w:t>
            </w:r>
          </w:p>
        </w:tc>
      </w:tr>
      <w:tr>
        <w:tc>
          <w:tcPr>
            <w:tcW w:type="dxa" w:w="1296"/>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3.11</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Fysieke belasting / tillen</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HSE Manager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3-jaarlijks</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1 uur</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Interne goedkeuring</w:t>
            </w:r>
          </w:p>
        </w:tc>
        <w:tc>
          <w:tcPr>
            <w:tcW w:type="dxa" w:w="129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Praktisch</w:t>
            </w:r>
          </w:p>
        </w:tc>
      </w:tr>
    </w:tbl>
    <w:p>
      <w:pPr>
        <w:pStyle w:val="Heading1"/>
      </w:pPr>
      <w:r>
        <w:rPr>
          <w:color w:val="003366"/>
        </w:rPr>
        <w:t>8. Verplicht/Statutair matrix</w:t>
      </w:r>
    </w:p>
    <w:p>
      <w:r>
        <w:t>De onderstaande matrix geeft per training en per functie aan of de training Mandatory (M), Statutory (S), Optioneel (O) of Niet van toepassing (–) is. De letterwaarden in de matrix komen overeen met de kleurcodering in het bijbehorende XLSX-werkdocument.</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Training</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Managing Director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Operations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Maintenance Manager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HSE Supervisor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Field Operator</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E&amp;I Technician</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Office Staff</w:t>
            </w:r>
          </w:p>
        </w:tc>
        <w:tc>
          <w:tcPr>
            <w:tcW w:type="dxa" w:w="907"/>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Type</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BNP Training (scenario training)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BHV + AED</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Brandbestrijding</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Evacuatieoefening</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True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Product hazards / MSDS (V₂O₅, H₂SO₄, NaOH, Al₂(SO₄)₃)</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Emergency response equipment</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VOP (Veilige Opstart Procedure)</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Statische elektriciteit</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Stofexplosiebewustzijn (ATEX zones, Kst-waarden)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REACH/CLP bewustzijn</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FFFF0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Company Induction (inwerkprogramma)</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c>
          <w:tcPr>
            <w:tcW w:type="dxa" w:w="907"/>
            <w:shd w:fill="8DB4E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S</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Permit to Work (incl. TRA, LOTO, LMRA)</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Safety observation process</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PBM beleid en gebruik</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Alcohol &amp; drugs zero tolerance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MT ownership and responsibility (incl. PBZO)</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Management of Change</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Besloten ruimten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Werken op hoogte</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Incident response &amp; investigation</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r>
        <w:tc>
          <w:tcPr>
            <w:tcW w:type="dxa" w:w="907"/>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6"/>
              </w:rPr>
              <w:t>Fysieke belasting / tillen</w:t>
            </w:r>
          </w:p>
        </w:tc>
        <w:tc>
          <w:tcPr>
            <w:tcW w:type="dxa" w:w="907"/>
            <w:shd w:fill="D9D9D9"/>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c>
          <w:tcPr>
            <w:tcW w:type="dxa" w:w="907"/>
            <w:shd w:fill="92D050"/>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6"/>
              </w:rPr>
              <w:t>M</w:t>
            </w:r>
          </w:p>
        </w:tc>
      </w:tr>
    </w:tbl>
    <w:p>
      <w:r>
        <w:br w:type="page"/>
      </w:r>
    </w:p>
    <w:p>
      <w:pPr>
        <w:pStyle w:val="Heading1"/>
      </w:pPr>
      <w:r>
        <w:rPr>
          <w:color w:val="003366"/>
        </w:rPr>
        <w:t>9. Status tracking en certificering</w:t>
      </w:r>
    </w:p>
    <w:p>
      <w:r>
        <w:rPr>
          <w:b/>
        </w:rPr>
        <w:t>Status tracking</w:t>
      </w:r>
    </w:p>
    <w:p>
      <w:r>
        <w:t>De voortgang van trainingen wordt bijgehouden in het XLSX-werkdocument (Sheet 3: Status Tracking). Elke medewerker heeft een persoonlijk overzicht met voltooiingsdata, geldigheidstermijnen en huidige status. De HSE Manager is verantwoordelijk voor het actueel houden van dit overzicht.</w:t>
      </w:r>
    </w:p>
    <w:p>
      <w:r>
        <w:rPr>
          <w:b/>
        </w:rPr>
        <w:t>Certificering en geldigheid</w:t>
      </w:r>
    </w:p>
    <w:p>
      <w:r>
        <w:t>Externe trainingen met certificering (BNP, Brandbestrijding, Alcohol &amp; drugs) hebben een gedefinieerde geldigheidsduur die overeenkomt met de herhalingsfrequentie. Interne trainingen worden afgetekend door de bevoegde trainer en zijn geldig tot de volgende geplande herhaling.</w:t>
      </w:r>
    </w:p>
    <w:p>
      <w:r>
        <w:rPr>
          <w:b/>
        </w:rPr>
        <w:t>Herhaalfrequentie</w:t>
      </w:r>
    </w:p>
    <w:p>
      <w:pPr>
        <w:pStyle w:val="ListBullet"/>
      </w:pPr>
      <w:r>
        <w:rPr>
          <w:sz w:val="20"/>
        </w:rPr>
        <w:t>Kwartaal: BNP training (4x per jaar)</w:t>
      </w:r>
    </w:p>
    <w:p>
      <w:pPr>
        <w:pStyle w:val="ListBullet"/>
      </w:pPr>
      <w:r>
        <w:rPr>
          <w:sz w:val="20"/>
        </w:rPr>
        <w:t>Halfjaarlijks: Evacuatieoefening (2x per jaar)</w:t>
      </w:r>
    </w:p>
    <w:p>
      <w:pPr>
        <w:pStyle w:val="ListBullet"/>
      </w:pPr>
      <w:r>
        <w:rPr>
          <w:sz w:val="20"/>
        </w:rPr>
        <w:t>Jaarlijks: BHV, Brandbestrijding, MSDS, PtW, PBM, Stofexplosie, REACH/CLP, MT ownership</w:t>
      </w:r>
    </w:p>
    <w:p>
      <w:pPr>
        <w:pStyle w:val="ListBullet"/>
      </w:pPr>
      <w:r>
        <w:rPr>
          <w:sz w:val="20"/>
        </w:rPr>
        <w:t>3-jaarlijks: VOP, Statische elektriciteit, Safety observation, Besloten ruimten, Incident response, Fysieke belasting</w:t>
      </w:r>
    </w:p>
    <w:p>
      <w:pPr>
        <w:pStyle w:val="ListBullet"/>
      </w:pPr>
      <w:r>
        <w:rPr>
          <w:sz w:val="20"/>
        </w:rPr>
        <w:t>5-jaarlijks: Alcohol &amp; drugs, Management of Change, Werken op hoogte</w:t>
      </w:r>
    </w:p>
    <w:p>
      <w:pPr>
        <w:pStyle w:val="ListBullet"/>
      </w:pPr>
      <w:r>
        <w:rPr>
          <w:sz w:val="20"/>
        </w:rPr>
        <w:t>Eenmalig: Company Induction (bij indiensttreding of promotie)</w:t>
      </w:r>
    </w:p>
    <w:p>
      <w:pPr>
        <w:pStyle w:val="Heading1"/>
      </w:pPr>
      <w:r>
        <w:rPr>
          <w:color w:val="003366"/>
        </w:rPr>
        <w:t>10. Bronverwijzingen</w:t>
      </w:r>
    </w:p>
    <w:p>
      <w:r>
        <w:rPr>
          <w:sz w:val="18"/>
        </w:rPr>
        <w:t>[1] Seveso III-richtlijn 2012/18/EU, Bijlage III — Systeem voor opleiding en training</w:t>
      </w:r>
    </w:p>
    <w:p>
      <w:r>
        <w:rPr>
          <w:sz w:val="18"/>
        </w:rPr>
        <w:t>[2] Besluit risico's zware ongevallen (BRZO) 2015, Stb. 2015, 236</w:t>
      </w:r>
    </w:p>
    <w:p>
      <w:r>
        <w:rPr>
          <w:sz w:val="18"/>
        </w:rPr>
        <w:t>[3] NTA 8620:2018 — Veiligheidsmanagementsysteem voor Seveso-inrichtingen</w:t>
      </w:r>
    </w:p>
    <w:p>
      <w:r>
        <w:rPr>
          <w:sz w:val="18"/>
        </w:rPr>
        <w:t>[4] Arbowet (Wet van 9 oktober 2024), artikel 3, 5 en 8</w:t>
      </w:r>
    </w:p>
    <w:p>
      <w:r>
        <w:rPr>
          <w:sz w:val="18"/>
        </w:rPr>
        <w:t>[5] Arbobesluit, artikelen 2.15, 3.6, 3.8, 4.1c</w:t>
      </w:r>
    </w:p>
    <w:p>
      <w:r>
        <w:rPr>
          <w:sz w:val="18"/>
        </w:rPr>
        <w:t>[6] Veiligheidsinformatiebladen V₂O₅, H₂SO₄, NaOH, Al₂(SO₄)₃ (Phoenix Metals MSDS archief)</w:t>
      </w:r>
    </w:p>
    <w:p>
      <w:r>
        <w:rPr>
          <w:sz w:val="18"/>
        </w:rPr>
        <w:t>[7] REACH Verordening (EG) 1907/2006 en CLP Verordening (EG) 1272/2008</w:t>
      </w:r>
    </w:p>
    <w:p>
      <w:r>
        <w:rPr>
          <w:sz w:val="18"/>
        </w:rPr>
        <w:t>[8] Phoenix Metals — Opleiding matrix 2024 (referentiedocument)</w:t>
      </w:r>
    </w:p>
    <w:p>
      <w:r>
        <w:rPr>
          <w:sz w:val="18"/>
        </w:rPr>
        <w:t>[9] Phoenix Metals — PBZO Beleidsdocument PM_VBS01_01 v1.0 (zie PS-230)</w:t>
      </w:r>
    </w:p>
    <w:p>
      <w:r>
        <w:rPr>
          <w:sz w:val="18"/>
        </w:rPr>
        <w:t>[10] Phoenix Metals — Functieprofielen Veiligheid PM_VBS01_02 v1.0 (zie PE-310-02)</w:t>
      </w:r>
    </w:p>
    <w:p>
      <w:pPr>
        <w:pStyle w:val="Heading1"/>
      </w:pPr>
      <w:r>
        <w:rPr>
          <w:color w:val="003366"/>
        </w:rPr>
        <w:t>11. TierVerify log</w:t>
      </w:r>
    </w:p>
    <w:tbl>
      <w:tblPr>
        <w:tblStyle w:val="TableGrid"/>
        <w:tblW w:type="auto" w:w="0"/>
        <w:tblLook w:firstColumn="1" w:firstRow="1" w:lastColumn="0" w:lastRow="0" w:noHBand="0" w:noVBand="1" w:val="04A0"/>
      </w:tblPr>
      <w:tblGrid>
        <w:gridCol w:w="2268"/>
        <w:gridCol w:w="2268"/>
        <w:gridCol w:w="2268"/>
        <w:gridCol w:w="2268"/>
      </w:tblGrid>
      <w:tr>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Check</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Bron</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Status</w:t>
            </w:r>
          </w:p>
        </w:tc>
        <w:tc>
          <w:tcPr>
            <w:tcW w:type="dxa" w:w="2268"/>
            <w:shd w:fill="003366"/>
            <w:tcBorders>
              <w:top w:val="single" w:sz="4" w:space="0" w:color="E5E7EB"/>
              <w:left w:val="single" w:sz="4" w:space="0" w:color="E5E7EB"/>
              <w:bottom w:val="single" w:sz="4" w:space="0" w:color="E5E7EB"/>
              <w:right w:val="single" w:sz="4" w:space="0" w:color="E5E7EB"/>
            </w:tcBorders>
          </w:tcPr>
          <w:p>
            <w:pPr>
              <w:jc w:val="center"/>
            </w:pPr>
            <w:r/>
            <w:r>
              <w:rPr>
                <w:rFonts w:ascii="Calibri" w:hAnsi="Calibri"/>
                <w:b/>
                <w:color w:val="FFFFFF"/>
                <w:sz w:val="18"/>
              </w:rPr>
              <w:t>Datum</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Wettelijk kader geverifieerd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EUR-Lex, Overheid.nl</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Training data consistent met referentiematrix</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Phoenix Metals opleiding matrix 2024</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Nieuwe trainingen toegevoegd (2.5, 2.6)</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Seveso implementatieplan v1.2</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Rol-training toewijzing geverifieerd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PBZO v1.0 + Functieprofielen v1.0</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Frequenties conform BRZO/NTA 8620</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BRZO 2015, NTA 8620:2018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shd w:fill="F2F2F2"/>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XLSX format en validatie</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Self-check</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shd w:fill="F2F2F2"/>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r>
        <w:tc>
          <w:tcPr>
            <w:tcW w:type="dxa" w:w="2268"/>
            <w:tcBorders>
              <w:top w:val="single" w:sz="4" w:space="0" w:color="E5E7EB"/>
              <w:left w:val="single" w:sz="4" w:space="0" w:color="E5E7EB"/>
              <w:bottom w:val="single" w:sz="4" w:space="0" w:color="E5E7EB"/>
              <w:right w:val="single" w:sz="4" w:space="0" w:color="E5E7EB"/>
            </w:tcBorders>
          </w:tcPr>
          <w:p>
            <w:pPr>
              <w:jc w:val="left"/>
            </w:pPr>
            <w:r/>
            <w:r>
              <w:rPr>
                <w:rFonts w:ascii="Calibri" w:hAnsi="Calibri"/>
                <w:sz w:val="17"/>
              </w:rPr>
              <w:t>Documentheader en branding</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STYLEGUIDE §8</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 Voltooid</w:t>
            </w:r>
          </w:p>
        </w:tc>
        <w:tc>
          <w:tcPr>
            <w:tcW w:type="dxa" w:w="2268"/>
            <w:tcBorders>
              <w:top w:val="single" w:sz="4" w:space="0" w:color="E5E7EB"/>
              <w:left w:val="single" w:sz="4" w:space="0" w:color="E5E7EB"/>
              <w:bottom w:val="single" w:sz="4" w:space="0" w:color="E5E7EB"/>
              <w:right w:val="single" w:sz="4" w:space="0" w:color="E5E7EB"/>
            </w:tcBorders>
          </w:tcPr>
          <w:p>
            <w:pPr>
              <w:jc w:val="center"/>
            </w:pPr>
            <w:r/>
            <w:r>
              <w:rPr>
                <w:rFonts w:ascii="Calibri" w:hAnsi="Calibri"/>
                <w:sz w:val="17"/>
              </w:rPr>
              <w:t>28-04-2026</w:t>
            </w:r>
          </w:p>
        </w:tc>
      </w:tr>
    </w:tbl>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999999"/>
        <w:sz w:val="16"/>
      </w:rPr>
      <w:t>Phoenix Metals B.V. — Training Matrix — PM_VBS01_04 v1.0</w:t>
    </w: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Matrix — Phoenix Metals B.V.</dc:title>
  <dc:subject>VBS Element 1 — Veiligheidsbewustzijn &amp; Gedrag</dc:subject>
  <dc:creator>JvG Consultancy</dc:creator>
  <cp:keywords>training, matrix, Seveso, VBS, Phoenix Metals</cp:keywords>
  <dc:description>generated by python-docx</dc:description>
  <cp:lastModifiedBy/>
  <cp:revision>1</cp:revision>
  <dcterms:created xsi:type="dcterms:W3CDTF">2013-12-23T23:15:00Z</dcterms:created>
  <dcterms:modified xsi:type="dcterms:W3CDTF">2013-12-23T23:15:00Z</dcterms:modified>
  <cp:category/>
</cp:coreProperties>
</file>