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5. Organisatorische structuur</w:t>
      </w:r>
    </w:p>
    <w:p>
      <w:pPr>
        <w:pStyle w:val="Heading2"/>
      </w:pPr>
      <w:r>
        <w:t>5.1 Veiligheidsorganigram</w:t>
      </w:r>
    </w:p>
    <w:p>
      <w:pPr/>
      <w:r>
        <w:t>De veiligheidsorganisatiestructuur van Phoenix Metals B.V. kent de volgende hiërarchie en rapportagelijnen: (zie PE-310-03)</w:t>
      </w:r>
    </w:p>
    <w:p>
      <w:pPr>
        <w:jc w:val="center"/>
      </w:pPr>
      <w:r>
        <w:drawing>
          <wp:inline xmlns:a="http://schemas.openxmlformats.org/drawingml/2006/main" xmlns:pic="http://schemas.openxmlformats.org/drawingml/2006/picture">
            <wp:extent cx="5029200" cy="2828925"/>
            <wp:docPr id="1" name="Picture 1"/>
            <wp:cNvGraphicFramePr>
              <a:graphicFrameLocks noChangeAspect="1"/>
            </wp:cNvGraphicFramePr>
            <a:graphic>
              <a:graphicData uri="http://schemas.openxmlformats.org/drawingml/2006/picture">
                <pic:pic>
                  <pic:nvPicPr>
                    <pic:cNvPr id="0" name="organogram.png"/>
                    <pic:cNvPicPr/>
                  </pic:nvPicPr>
                  <pic:blipFill>
                    <a:blip r:embed="rId9"/>
                    <a:stretch>
                      <a:fillRect/>
                    </a:stretch>
                  </pic:blipFill>
                  <pic:spPr>
                    <a:xfrm>
                      <a:off x="0" y="0"/>
                      <a:ext cx="5029200" cy="2828925"/>
                    </a:xfrm>
                    <a:prstGeom prst="rect"/>
                  </pic:spPr>
                </pic:pic>
              </a:graphicData>
            </a:graphic>
          </wp:inline>
        </w:drawing>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Alle VBS-elementen zijn vertaald naar het bestaande documentnummersysteem van Phoenix Metals (PS- en PE-reeks) om integratie met het operationele managementsysteem te waarborgen. Het overzicht in Bijlage B toont de volledige koppeling tussen VBS-elementen en documentnummers.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7. Veiligheidsprestatie-indicatoren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7.1 Leading indicators (preventief)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7.2 Lagging indicators (reactief)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7.3 Targets jaar 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targets voor het eerste jaar na invoering van het PBZO zijn vastgesteld met als uitgangspunt een haalbaar maar ambitieus niveau, rekening houdend met de omvang van de organisatie (proeffabriek, beperkt aantal medewerkers) en de complexiteit van de activiteiten: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7.4 Rapportagecyclus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8. Review en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8.1 Jaarlijkse review door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Directie voert minimaal eenmaal per jaar een formele review uit van het PBZO en het Veiligheidsbeheersysteem. Deze review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veiligheidsprestaties ten opzichte van de gestelde targets (hoofdstuk 7)</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effectiviteit van de beheersmaatregelen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Analyse van incidenten, near-misses en auditbevindingen over het afgelopen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Herbeoordeling van de risicocontext (nieuwe stoffen, gewijzigde processen, nieuwe inzichten)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bijgewerkte doelstellingen en actieplannen voor het komende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actualiteit en volledigheid van alle VBS-documenten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8.2 5-jaarlijkse herbeoordeling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Conform artikel 4.12 van het Besluit activiteiten leefomgeving (Bal) [2] wordt het PBZO minimaal elke vijf jaar integraal herbeoordeeld. Deze herbeoordeling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Volledige herziening van de risicobeoordeling in het licht van actuele kennis en technologie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Toetsing aan gewijzigde wet- en regelgeving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organisatorische structuur en competentieniveaus (zie FM-310-01-01)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prestaties van het VBS over de afgelopen vijf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het geüpdatete PBZO door de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8.3 Triggers voor tussentijdse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Naast de vaste reviewcycli wordt het PBZO tussentijds geactualiseerd indien een of meer van de volgende situaties zich voordoen: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9. Bijlagen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tbl>
      <w:tblPr>
        <w:tblW w:type="auto" w:w="0"/>
        <w:jc w:val="center"/>
        <w:tblLook w:firstColumn="1" w:firstRow="1" w:lastColumn="0" w:lastRow="0" w:noHBand="0" w:noVBand="1" w:val="04A0"/>
      </w:tblPr>
      <w:tblGrid>
        <w:gridCol w:w="2160"/>
        <w:gridCol w:w="2160"/>
        <w:gridCol w:w="2160"/>
        <w:gridCol w:w="2160"/>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i/>
                <w:sz w:val="18"/>
              </w:rPr>
              <w:t>(dit document)</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van de in het beleid gedefinieerde veiligheidsrollen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Organisatorische structuur die het beleid inricht</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sz w:val="18"/>
              </w:rPr>
              <w:t>Trainingseisen afgeleid uit de beleidsdoelstellingen</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sz w:val="18"/>
              </w:rPr>
              <w:t>Inwerkprogramma voor nieuwe medewerkers conform beleidskader</w:t>
            </w:r>
          </w:p>
        </w:tc>
      </w:tr>
    </w:tbl>
    <w:sectPr w:rsidR="00FC693F" w:rsidRPr="0006063C" w:rsidSect="00034616">
      <w:pgSz w:w="12240" w:h="15840"/>
      <w:pgMar w:top="1440" w:right="1800" w:bottom="1440" w:left="1800" w:header="720" w:footer="720" w:gutter="0"/>
      <w:cols w:space="720"/>
      <w:docGrid w:linePitch="360"/>
    </w:sectPr>
    <w:p>
      <w:pPr>
        <w:pStyle w:val="Heading1"/>
      </w:pPr>
      <w: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Heading1"/>
      </w:pPr>
      <w:r>
        <w:rPr>
          <w:b/>
          <w:color w:val="003368"/>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