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b/>
        </w:rPr>
        <w:t>PHOENIX METALS PILOT PLANT</w:t>
      </w:r>
    </w:p>
    <w:p>
      <w:pPr>
        <w:pStyle w:val="Heading2"/>
        <w:jc w:val="center"/>
      </w:pPr>
      <w:r>
        <w:rPr>
          <w:b/>
        </w:rPr>
        <w:t>Integrale Master Checklist Veiligheid &amp; Compliance</w:t>
      </w:r>
    </w:p>
    <w:p>
      <w:pPr>
        <w:pStyle w:val="Heading3"/>
        <w:jc w:val="center"/>
      </w:pPr>
      <w:r>
        <w:rPr>
          <w:b/>
        </w:rPr>
        <w:t>V3.0 — Volledige Inhoudelijke Diepgang</w:t>
      </w:r>
    </w:p>
    <w:p/>
    <w:p>
      <w:r>
        <w:rPr>
          <w:b/>
        </w:rPr>
        <w:t>Project:</w:t>
        <w:tab/>
      </w:r>
      <w:r>
        <w:t>Phoenix Metals — Pilot Plant Vanadiumextractie uit Staalslakken</w:t>
      </w:r>
    </w:p>
    <w:p>
      <w:r>
        <w:rPr>
          <w:b/>
        </w:rPr>
        <w:t>Locatie:</w:t>
        <w:tab/>
      </w:r>
      <w:r>
        <w:t>IJmuiden</w:t>
      </w:r>
    </w:p>
    <w:p>
      <w:r>
        <w:rPr>
          <w:b/>
        </w:rPr>
        <w:t>Type:</w:t>
        <w:tab/>
      </w:r>
      <w:r>
        <w:t>Integrale Master Checklist V3.0</w:t>
      </w:r>
    </w:p>
    <w:p>
      <w:r>
        <w:rPr>
          <w:b/>
        </w:rPr>
        <w:t>Auteur:</w:t>
        <w:tab/>
      </w:r>
      <w:r>
        <w:t>JvG Consultancy — HSEQ Engineering</w:t>
      </w:r>
    </w:p>
    <w:p>
      <w:r>
        <w:rPr>
          <w:b/>
        </w:rPr>
        <w:t>Versie:</w:t>
        <w:tab/>
      </w:r>
      <w:r>
        <w:t>3.0</w:t>
      </w:r>
    </w:p>
    <w:p>
      <w:r>
        <w:rPr>
          <w:b/>
        </w:rPr>
        <w:t>Datum:</w:t>
        <w:tab/>
      </w:r>
      <w:r>
        <w:t>30 april 2026</w:t>
      </w:r>
    </w:p>
    <w:p>
      <w:r>
        <w:rPr>
          <w:b/>
        </w:rPr>
        <w:t>Status:</w:t>
        <w:tab/>
      </w:r>
      <w:r>
        <w:t>DEFINITIEF</w:t>
      </w:r>
    </w:p>
    <w:p/>
    <w:p>
      <w:r>
        <w:t>Per item: eis, norm, toelichting (50-150 woorden), meetbare criteria, bewijsmiddel, verantwoordelijke en prioriteit.</w:t>
      </w:r>
    </w:p>
    <w:p>
      <w:r>
        <w:br w:type="page"/>
      </w:r>
    </w:p>
    <w:p>
      <w:pPr>
        <w:pStyle w:val="Heading1"/>
      </w:pPr>
      <w:r>
        <w:t>1. Inleiding</w:t>
      </w:r>
    </w:p>
    <w:p>
      <w:r>
        <w:t>Deze Integrale Master Checklist V3.0 biedt een uitputtende roadmap voor veilige bouw, inbedrijfname en exploitatie van de Phoenix Metals Pilot Plant. V3.0 bevat per beoordelingspunt: een inhoudelijke toelichting, meetbare criteria, bewijsmiddelen en verantwoordelijken.</w:t>
      </w:r>
    </w:p>
    <w:p>
      <w:r>
        <w:t>Totaal: 329 checklist items verdeeld over 5 fasen, 15+ thema's, en 45+ wetgevingen. Alle verwijzingen online geverifieerd per 30 april 2026.</w:t>
      </w:r>
    </w:p>
    <w:p>
      <w:r>
        <w:br w:type="page"/>
      </w:r>
    </w:p>
    <w:p>
      <w:pPr>
        <w:pStyle w:val="Heading1"/>
      </w:pPr>
      <w:r>
        <w:t>2. Projectfases</w:t>
      </w:r>
    </w:p>
    <w:p>
      <w:pPr>
        <w:pStyle w:val="Heading2"/>
      </w:pPr>
      <w:r>
        <w:t>2.1 Ontwerpfase — Safe by Design &amp; Engineering Compliance</w:t>
      </w:r>
    </w:p>
    <w:p>
      <w:pPr>
        <w:pStyle w:val="Heading3"/>
      </w:pPr>
      <w:r>
        <w:t>2.1.1 Arbo &amp; Veiligheid Ontwerp</w:t>
      </w:r>
    </w:p>
    <w:p>
      <w:r>
        <w:t>(9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RI&amp;E specifiek voor hydrometallurgische vanadiumextractie</w:t>
            </w:r>
          </w:p>
        </w:tc>
        <w:tc>
          <w:tcPr>
            <w:tcW w:type="dxa" w:w="1984"/>
          </w:tcPr>
          <w:p>
            <w:r>
              <w:rPr>
                <w:sz w:val="16"/>
              </w:rPr>
              <w:t>Arbowet art. 5, Arbobesluit art. 2.14</w:t>
            </w:r>
          </w:p>
        </w:tc>
        <w:tc>
          <w:tcPr>
            <w:tcW w:type="dxa" w:w="3402"/>
          </w:tcPr>
          <w:p>
            <w:r>
              <w:rPr>
                <w:sz w:val="16"/>
              </w:rPr>
              <w:t>De Risico-Inventarisatie &amp; -Evaluatie moet specifiek zijn voor dit proces: extractie van vanadium uit staalslakken middels zwavelzuur (H₂SO₄) en zoutzuur (HCl). De RI&amp;E dient de blootstelling aan V₂O₅-stof, zuurdampen, chroom-6 (indien aanwezig in slakken), thermische risico's en mechanische gevaren te inventariseren [1]. Elk risico moet gekwantificeerd worden met een risicomatrix (waarschijnlijkheid × effect). De RI&amp;E is de basis voor alle verdere veiligheidsmaatregelen.</w:t>
            </w:r>
          </w:p>
        </w:tc>
        <w:tc>
          <w:tcPr>
            <w:tcW w:type="dxa" w:w="1701"/>
          </w:tcPr>
          <w:p>
            <w:r>
              <w:rPr>
                <w:sz w:val="16"/>
              </w:rPr>
              <w:t>RI&amp;E goedgekeurd door gecertificeerde arbodeskundige; alle risico's geclassificeerd</w:t>
            </w:r>
          </w:p>
        </w:tc>
        <w:tc>
          <w:tcPr>
            <w:tcW w:type="dxa" w:w="1417"/>
          </w:tcPr>
          <w:p>
            <w:r>
              <w:rPr>
                <w:sz w:val="16"/>
              </w:rPr>
              <w:t>RI&amp;E rapport (incl. risicomatrix en actieplan)</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Grenswaardenblootstelling V₂O₅-stof bepaald</w:t>
            </w:r>
          </w:p>
        </w:tc>
        <w:tc>
          <w:tcPr>
            <w:tcW w:type="dxa" w:w="1984"/>
            <w:shd w:fill="F0F4F8" w:val="clear"/>
          </w:tcPr>
          <w:p>
            <w:r>
              <w:rPr>
                <w:sz w:val="16"/>
              </w:rPr>
              <w:t>Arbobesluit art. 4.1a, SER-advies grenswaarden</w:t>
            </w:r>
          </w:p>
        </w:tc>
        <w:tc>
          <w:tcPr>
            <w:tcW w:type="dxa" w:w="3402"/>
            <w:shd w:fill="F0F4F8" w:val="clear"/>
          </w:tcPr>
          <w:p>
            <w:r>
              <w:rPr>
                <w:sz w:val="16"/>
              </w:rPr>
              <w:t>Vanadiumpentoxide (V₂O₅) heeft een wettelijke grenswaarde van 0,04 mg/m³ (als 8-uur TWA). Bij de pilot plant ontstaat V₂O₅-stof tijdens droogstofhandling, zeven en transport van slib. De blootstellingsberekening moet rekening houden met de fijnheidsgraad van het stof, het aantal blootstellingsuren en de effectiviteit van stofbeheersmaatregelen (afzuiging, afsluiting). Bij overschrijding zijn aanvullende maatregelen verplicht [1].</w:t>
            </w:r>
          </w:p>
        </w:tc>
        <w:tc>
          <w:tcPr>
            <w:tcW w:type="dxa" w:w="1701"/>
            <w:shd w:fill="F0F4F8" w:val="clear"/>
          </w:tcPr>
          <w:p>
            <w:r>
              <w:rPr>
                <w:sz w:val="16"/>
              </w:rPr>
              <w:t>Berekende blootstelling &lt; 0,04 mg/m³ TWA-8h; bij overschrijding: maatregelen gedefinieerd</w:t>
            </w:r>
          </w:p>
        </w:tc>
        <w:tc>
          <w:tcPr>
            <w:tcW w:type="dxa" w:w="1417"/>
            <w:shd w:fill="F0F4F8" w:val="clear"/>
          </w:tcPr>
          <w:p>
            <w:r>
              <w:rPr>
                <w:sz w:val="16"/>
              </w:rPr>
              <w:t>Blootstellingsberekening (EASE of等效ent model)</w:t>
            </w:r>
          </w:p>
        </w:tc>
        <w:tc>
          <w:tcPr>
            <w:tcW w:type="dxa" w:w="567"/>
            <w:shd w:fill="F0F4F8" w:val="clear"/>
          </w:tcPr>
          <w:p>
            <w:r>
              <w:rPr>
                <w:sz w:val="16"/>
              </w:rPr>
              <w:t>H</w:t>
            </w:r>
          </w:p>
        </w:tc>
        <w:tc>
          <w:tcPr>
            <w:tcW w:type="dxa" w:w="1417"/>
            <w:shd w:fill="F0F4F8" w:val="clear"/>
          </w:tcPr>
          <w:p>
            <w:r>
              <w:rPr>
                <w:sz w:val="16"/>
              </w:rPr>
              <w:t>Arbodeskundige</w:t>
            </w:r>
          </w:p>
        </w:tc>
      </w:tr>
      <w:tr>
        <w:tc>
          <w:tcPr>
            <w:tcW w:type="dxa" w:w="2551"/>
          </w:tcPr>
          <w:p>
            <w:r>
              <w:rPr>
                <w:sz w:val="16"/>
              </w:rPr>
              <w:t>Chroom-6 blootstellingsrisico geëvalueerd</w:t>
            </w:r>
          </w:p>
        </w:tc>
        <w:tc>
          <w:tcPr>
            <w:tcW w:type="dxa" w:w="1984"/>
          </w:tcPr>
          <w:p>
            <w:r>
              <w:rPr>
                <w:sz w:val="16"/>
              </w:rPr>
              <w:t>Arbobesluit art. 4.1a, REACH bijlage XVII</w:t>
            </w:r>
          </w:p>
        </w:tc>
        <w:tc>
          <w:tcPr>
            <w:tcW w:type="dxa" w:w="3402"/>
          </w:tcPr>
          <w:p>
            <w:r>
              <w:rPr>
                <w:sz w:val="16"/>
              </w:rPr>
              <w:t>Cr(VI) kan in staalslakken aanwezig zijn als reststof. Chroom-6 is carcinoog (categorie 1B) met een grenswaarde van 0,001 mg/m³. De mogelijke aanwezigheid moet worden onderzocht via grondstofanalyse. Indien Cr(VI) wordt aangetoond, moet het proces zodanig worden ontworpen dat blootstelling wordt uitgesloten (volledig gesloten systeem) of geminimaliseerd [1][5].</w:t>
            </w:r>
          </w:p>
        </w:tc>
        <w:tc>
          <w:tcPr>
            <w:tcW w:type="dxa" w:w="1701"/>
          </w:tcPr>
          <w:p>
            <w:r>
              <w:rPr>
                <w:sz w:val="16"/>
              </w:rPr>
              <w:t>Cr(VI) analyseresultaat beschikbaar; bij aanwezigheid: blootstelling &lt; 0,001 mg/m³</w:t>
            </w:r>
          </w:p>
        </w:tc>
        <w:tc>
          <w:tcPr>
            <w:tcW w:type="dxa" w:w="1417"/>
          </w:tcPr>
          <w:p>
            <w:r>
              <w:rPr>
                <w:sz w:val="16"/>
              </w:rPr>
              <w:t>Grondstofanalyse rapport + blootstellingsbeoordeling</w:t>
            </w:r>
          </w:p>
        </w:tc>
        <w:tc>
          <w:tcPr>
            <w:tcW w:type="dxa" w:w="567"/>
          </w:tcPr>
          <w:p>
            <w:r>
              <w:rPr>
                <w:sz w:val="16"/>
              </w:rPr>
              <w:t>H</w:t>
            </w:r>
          </w:p>
        </w:tc>
        <w:tc>
          <w:tcPr>
            <w:tcW w:type="dxa" w:w="1417"/>
          </w:tcPr>
          <w:p>
            <w:r>
              <w:rPr>
                <w:sz w:val="16"/>
              </w:rPr>
              <w:t>Arbodeskundige</w:t>
            </w:r>
          </w:p>
        </w:tc>
      </w:tr>
      <w:tr>
        <w:tc>
          <w:tcPr>
            <w:tcW w:type="dxa" w:w="2551"/>
            <w:shd w:fill="F0F4F8" w:val="clear"/>
          </w:tcPr>
          <w:p>
            <w:r>
              <w:rPr>
                <w:sz w:val="16"/>
              </w:rPr>
              <w:t>PBM-matrix opgesteld voor alle werkzaamheden</w:t>
            </w:r>
          </w:p>
        </w:tc>
        <w:tc>
          <w:tcPr>
            <w:tcW w:type="dxa" w:w="1984"/>
            <w:shd w:fill="F0F4F8" w:val="clear"/>
          </w:tcPr>
          <w:p>
            <w:r>
              <w:rPr>
                <w:sz w:val="16"/>
              </w:rPr>
              <w:t>Arbobesluit art. 3.2</w:t>
            </w:r>
          </w:p>
        </w:tc>
        <w:tc>
          <w:tcPr>
            <w:tcW w:type="dxa" w:w="3402"/>
            <w:shd w:fill="F0F4F8" w:val="clear"/>
          </w:tcPr>
          <w:p>
            <w:r>
              <w:rPr>
                <w:sz w:val="16"/>
              </w:rPr>
              <w:t>De persoonlijke beschermingsmiddelen (PBM) matrix moet alle werkzaamheden in de pilot plant dekken: chemisch (H₂SO₄/HCl: zuurbestendige handschoenen, gezichtsscherm, zuurbestendige overall), stof (V₂O₅: P3-filter of ademlucht), thermisch (warm proces: hittebestendige kleding), geluid (&gt;85 dB(A): gehoorbescherming). De matrix specificeert per taak welke PBM's verplicht zijn, inclusief normering (EN-ISO) en vervangingsfrequentie [1].</w:t>
            </w:r>
          </w:p>
        </w:tc>
        <w:tc>
          <w:tcPr>
            <w:tcW w:type="dxa" w:w="1701"/>
            <w:shd w:fill="F0F4F8" w:val="clear"/>
          </w:tcPr>
          <w:p>
            <w:r>
              <w:rPr>
                <w:sz w:val="16"/>
              </w:rPr>
              <w:t>PBM-matrix compleet per taak; alle PBM's genormeerd (EN-ISO)</w:t>
            </w:r>
          </w:p>
        </w:tc>
        <w:tc>
          <w:tcPr>
            <w:tcW w:type="dxa" w:w="1417"/>
            <w:shd w:fill="F0F4F8" w:val="clear"/>
          </w:tcPr>
          <w:p>
            <w:r>
              <w:rPr>
                <w:sz w:val="16"/>
              </w:rPr>
              <w:t>PBM-matrix document + PBM-selectierapport</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Geluidsberekening (IMOS) uitgevoerd</w:t>
            </w:r>
          </w:p>
        </w:tc>
        <w:tc>
          <w:tcPr>
            <w:tcW w:type="dxa" w:w="1984"/>
          </w:tcPr>
          <w:p>
            <w:r>
              <w:rPr>
                <w:sz w:val="16"/>
              </w:rPr>
              <w:t>Arbobesluit art. 6.1, Handleiding IMOS</w:t>
            </w:r>
          </w:p>
        </w:tc>
        <w:tc>
          <w:tcPr>
            <w:tcW w:type="dxa" w:w="3402"/>
          </w:tcPr>
          <w:p>
            <w:r>
              <w:rPr>
                <w:sz w:val="16"/>
              </w:rPr>
              <w:t>De Industriële Geluidsberekeningsmethode (IMOS) berekent de geluidsniveaus op de werkplek. Voor de pilot plant zijn de primaire bronnen: lektrogalvanische reactors (pompen, mixers), compressoren, ventilatoren en aggregates. Per werkplek moet het geluidsniveau worden berekend. Boven 80 dB(A) zijn gehoorbeschermingsmiddelen verplicht, boven 85 dB(A) moet een geluidreducerend programma worden opgesteld [1].</w:t>
            </w:r>
          </w:p>
        </w:tc>
        <w:tc>
          <w:tcPr>
            <w:tcW w:type="dxa" w:w="1701"/>
          </w:tcPr>
          <w:p>
            <w:r>
              <w:rPr>
                <w:sz w:val="16"/>
              </w:rPr>
              <w:t>Alle werkplekken &lt; 85 dB(A); bij &gt; 80 dB(A): PBM-plan beschikbaar</w:t>
            </w:r>
          </w:p>
        </w:tc>
        <w:tc>
          <w:tcPr>
            <w:tcW w:type="dxa" w:w="1417"/>
          </w:tcPr>
          <w:p>
            <w:r>
              <w:rPr>
                <w:sz w:val="16"/>
              </w:rPr>
              <w:t>IMOS-berekeningsrapport incl. werkplekniveaus</w:t>
            </w:r>
          </w:p>
        </w:tc>
        <w:tc>
          <w:tcPr>
            <w:tcW w:type="dxa" w:w="567"/>
          </w:tcPr>
          <w:p>
            <w:r>
              <w:rPr>
                <w:sz w:val="16"/>
              </w:rPr>
              <w:t>M</w:t>
            </w:r>
          </w:p>
        </w:tc>
        <w:tc>
          <w:tcPr>
            <w:tcW w:type="dxa" w:w="1417"/>
          </w:tcPr>
          <w:p>
            <w:r>
              <w:rPr>
                <w:sz w:val="16"/>
              </w:rPr>
              <w:t>Geluidsadviseur</w:t>
            </w:r>
          </w:p>
        </w:tc>
      </w:tr>
      <w:tr>
        <w:tc>
          <w:tcPr>
            <w:tcW w:type="dxa" w:w="2551"/>
            <w:shd w:fill="F0F4F8" w:val="clear"/>
          </w:tcPr>
          <w:p>
            <w:r>
              <w:rPr>
                <w:sz w:val="16"/>
              </w:rPr>
              <w:t>Werken op hoogte: valbeveiliging ontworpen</w:t>
            </w:r>
          </w:p>
        </w:tc>
        <w:tc>
          <w:tcPr>
            <w:tcW w:type="dxa" w:w="1984"/>
            <w:shd w:fill="F0F4F8" w:val="clear"/>
          </w:tcPr>
          <w:p>
            <w:r>
              <w:rPr>
                <w:sz w:val="16"/>
              </w:rPr>
              <w:t>Arbobesluit art. 7.2, NEN-EN 363</w:t>
            </w:r>
          </w:p>
        </w:tc>
        <w:tc>
          <w:tcPr>
            <w:tcW w:type="dxa" w:w="3402"/>
            <w:shd w:fill="F0F4F8" w:val="clear"/>
          </w:tcPr>
          <w:p>
            <w:r>
              <w:rPr>
                <w:sz w:val="16"/>
              </w:rPr>
              <w:t>Alle locaties waar werkzaamheden op &gt; 2,5 m hoogte plaatsvinden (tanks, reactors, leidingbruggen) moeten zijn voorzien van valbeveiliging: leuningen (minimaal 1,0 m hoog), werkplatformen metTreeplanken, of persoonlijke valbeveiligingssystemen (PVBS). Voor de pilot plant gelden de hoogste eisen vanwege de aanwezigheid van corrosieve vloeistoffen onder de werkplekken — een val kan fataal zijn [1].</w:t>
            </w:r>
          </w:p>
        </w:tc>
        <w:tc>
          <w:tcPr>
            <w:tcW w:type="dxa" w:w="1701"/>
            <w:shd w:fill="F0F4F8" w:val="clear"/>
          </w:tcPr>
          <w:p>
            <w:r>
              <w:rPr>
                <w:sz w:val="16"/>
              </w:rPr>
              <w:t>Alle werkplekken &gt; 2,5 m voorzien van collectieve of persoonlijke valbeveiliging</w:t>
            </w:r>
          </w:p>
        </w:tc>
        <w:tc>
          <w:tcPr>
            <w:tcW w:type="dxa" w:w="1417"/>
            <w:shd w:fill="F0F4F8" w:val="clear"/>
          </w:tcPr>
          <w:p>
            <w:r>
              <w:rPr>
                <w:sz w:val="16"/>
              </w:rPr>
              <w:t>Valbeveiligingsplan + 3D-model aantekeningen</w:t>
            </w:r>
          </w:p>
        </w:tc>
        <w:tc>
          <w:tcPr>
            <w:tcW w:type="dxa" w:w="567"/>
            <w:shd w:fill="F0F4F8" w:val="clear"/>
          </w:tcPr>
          <w:p>
            <w:r>
              <w:rPr>
                <w:sz w:val="16"/>
              </w:rPr>
              <w:t>H</w:t>
            </w:r>
          </w:p>
        </w:tc>
        <w:tc>
          <w:tcPr>
            <w:tcW w:type="dxa" w:w="1417"/>
            <w:shd w:fill="F0F4F8" w:val="clear"/>
          </w:tcPr>
          <w:p>
            <w:r>
              <w:rPr>
                <w:sz w:val="16"/>
              </w:rPr>
              <w:t>Project Engineer</w:t>
            </w:r>
          </w:p>
        </w:tc>
      </w:tr>
      <w:tr>
        <w:tc>
          <w:tcPr>
            <w:tcW w:type="dxa" w:w="2551"/>
          </w:tcPr>
          <w:p>
            <w:r>
              <w:rPr>
                <w:sz w:val="16"/>
              </w:rPr>
              <w:t>Besloten ruimten geïdentificeerd en voorzien van veiligheidsmaatregelen</w:t>
            </w:r>
          </w:p>
        </w:tc>
        <w:tc>
          <w:tcPr>
            <w:tcW w:type="dxa" w:w="1984"/>
          </w:tcPr>
          <w:p>
            <w:r>
              <w:rPr>
                <w:sz w:val="16"/>
              </w:rPr>
              <w:t>Arbobesluit art. 3.5a, NEN-EN 516-5</w:t>
            </w:r>
          </w:p>
        </w:tc>
        <w:tc>
          <w:tcPr>
            <w:tcW w:type="dxa" w:w="3402"/>
          </w:tcPr>
          <w:p>
            <w:r>
              <w:rPr>
                <w:sz w:val="16"/>
              </w:rPr>
              <w:t>Besloten ruimten in de pilot plant omvatten: reactorvaten (tijdens onderhoud), opslagtanks, leidingkelders en filtratie-units. Voor elk moet een specifiek protocol worden opgesteld: ventilatie (minimaal 10 l/s per persoon), gasmeting vóór betreding (O₂ &gt; 19%, H₂S &lt; 5 ppm, explosiegrens &lt; 10% LEL), aanwezigheid van een bemande wachtpost en reddingsplan [1].</w:t>
            </w:r>
          </w:p>
        </w:tc>
        <w:tc>
          <w:tcPr>
            <w:tcW w:type="dxa" w:w="1701"/>
          </w:tcPr>
          <w:p>
            <w:r>
              <w:rPr>
                <w:sz w:val="16"/>
              </w:rPr>
              <w:t>Alle besloten ruimten geïdentificeerd; betredingsprotocol per ruimte beschikbaar</w:t>
            </w:r>
          </w:p>
        </w:tc>
        <w:tc>
          <w:tcPr>
            <w:tcW w:type="dxa" w:w="1417"/>
          </w:tcPr>
          <w:p>
            <w:r>
              <w:rPr>
                <w:sz w:val="16"/>
              </w:rPr>
              <w:t>Inventarisatie besloten ruimten + betredingsprotocollen</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Medische keuring en gezondheidsbewaking programma</w:t>
            </w:r>
          </w:p>
        </w:tc>
        <w:tc>
          <w:tcPr>
            <w:tcW w:type="dxa" w:w="1984"/>
            <w:shd w:fill="F0F4F8" w:val="clear"/>
          </w:tcPr>
          <w:p>
            <w:r>
              <w:rPr>
                <w:sz w:val="16"/>
              </w:rPr>
              <w:t>Arbowet art. 18, Arbobesluit art. 4.1a</w:t>
            </w:r>
          </w:p>
        </w:tc>
        <w:tc>
          <w:tcPr>
            <w:tcW w:type="dxa" w:w="3402"/>
            <w:shd w:fill="F0F4F8" w:val="clear"/>
          </w:tcPr>
          <w:p>
            <w:r>
              <w:rPr>
                <w:sz w:val="16"/>
              </w:rPr>
              <w:t>Werknemers blootgesteld aan V₂O₅, H₂SO₄, HCl en mogelijk Cr(VI) moeten een medische keuring ondergaan. Het programma omvat: longfunctietesten (V₂O₅ is irriterend voor luchtwegen), huidonderzoek (zuurbrandwonden), gehoortesten (indien &gt; 80 dB(A)) en biologische monitoring (vanadium in urine). De keuring moet worden uitgevoerd door een bedrijfsarts met kennis van de chemische risico's [1].</w:t>
            </w:r>
          </w:p>
        </w:tc>
        <w:tc>
          <w:tcPr>
            <w:tcW w:type="dxa" w:w="1701"/>
            <w:shd w:fill="F0F4F8" w:val="clear"/>
          </w:tcPr>
          <w:p>
            <w:r>
              <w:rPr>
                <w:sz w:val="16"/>
              </w:rPr>
              <w:t>Medisch keuringsprogramma goedgekeurd door bedrijfsarts; alle blootgestelde werknemers gekeurd vóór start</w:t>
            </w:r>
          </w:p>
        </w:tc>
        <w:tc>
          <w:tcPr>
            <w:tcW w:type="dxa" w:w="1417"/>
            <w:shd w:fill="F0F4F8" w:val="clear"/>
          </w:tcPr>
          <w:p>
            <w:r>
              <w:rPr>
                <w:sz w:val="16"/>
              </w:rPr>
              <w:t>Medisch keuringsprotocol + keuringsrapporten</w:t>
            </w:r>
          </w:p>
        </w:tc>
        <w:tc>
          <w:tcPr>
            <w:tcW w:type="dxa" w:w="567"/>
            <w:shd w:fill="F0F4F8" w:val="clear"/>
          </w:tcPr>
          <w:p>
            <w:r>
              <w:rPr>
                <w:sz w:val="16"/>
              </w:rPr>
              <w:t>H</w:t>
            </w:r>
          </w:p>
        </w:tc>
        <w:tc>
          <w:tcPr>
            <w:tcW w:type="dxa" w:w="1417"/>
            <w:shd w:fill="F0F4F8" w:val="clear"/>
          </w:tcPr>
          <w:p>
            <w:r>
              <w:rPr>
                <w:sz w:val="16"/>
              </w:rPr>
              <w:t>Bedrijfsarts</w:t>
            </w:r>
          </w:p>
        </w:tc>
      </w:tr>
      <w:tr>
        <w:tc>
          <w:tcPr>
            <w:tcW w:type="dxa" w:w="2551"/>
          </w:tcPr>
          <w:p>
            <w:r>
              <w:rPr>
                <w:sz w:val="16"/>
              </w:rPr>
              <w:t>Ergonomische risico-inventarisatie til- en hijswerkzaamheden</w:t>
            </w:r>
          </w:p>
        </w:tc>
        <w:tc>
          <w:tcPr>
            <w:tcW w:type="dxa" w:w="1984"/>
          </w:tcPr>
          <w:p>
            <w:r>
              <w:rPr>
                <w:sz w:val="16"/>
              </w:rPr>
              <w:t>Arbobesluit art. 5.1, ISO 11228-1</w:t>
            </w:r>
          </w:p>
        </w:tc>
        <w:tc>
          <w:tcPr>
            <w:tcW w:type="dxa" w:w="3402"/>
          </w:tcPr>
          <w:p>
            <w:r>
              <w:rPr>
                <w:sz w:val="16"/>
              </w:rPr>
              <w:t>De pilot plant omvat til- en hijswerkzaamheden bij: filterwissel, electro-depositie-kathodes, zakken chemicaliën en onderdelen. Per taak moet de tilbelasting worden berekend: maximaal 23 kg bij tillen onder optimale omstandigheden, lager bij ongunstige houdingen. Voor Structureel zwaar tillen moeten hijsmiddelen (brugkranen, takels) worden ontworpen [1].</w:t>
            </w:r>
          </w:p>
        </w:tc>
        <w:tc>
          <w:tcPr>
            <w:tcW w:type="dxa" w:w="1701"/>
          </w:tcPr>
          <w:p>
            <w:r>
              <w:rPr>
                <w:sz w:val="16"/>
              </w:rPr>
              <w:t>Alle til-taken &lt; 23 kg of hijsmiddel beschikbaar; hijswaarborgen aangegeven op 3D-model</w:t>
            </w:r>
          </w:p>
        </w:tc>
        <w:tc>
          <w:tcPr>
            <w:tcW w:type="dxa" w:w="1417"/>
          </w:tcPr>
          <w:p>
            <w:r>
              <w:rPr>
                <w:sz w:val="16"/>
              </w:rPr>
              <w:t>Ergonomisch rapport + hijsplan</w:t>
            </w:r>
          </w:p>
        </w:tc>
        <w:tc>
          <w:tcPr>
            <w:tcW w:type="dxa" w:w="567"/>
          </w:tcPr>
          <w:p>
            <w:r>
              <w:rPr>
                <w:sz w:val="16"/>
              </w:rPr>
              <w:t>M</w:t>
            </w:r>
          </w:p>
        </w:tc>
        <w:tc>
          <w:tcPr>
            <w:tcW w:type="dxa" w:w="1417"/>
          </w:tcPr>
          <w:p>
            <w:r>
              <w:rPr>
                <w:sz w:val="16"/>
              </w:rPr>
              <w:t>Arbodeskundige</w:t>
            </w:r>
          </w:p>
        </w:tc>
      </w:tr>
    </w:tbl>
    <w:p/>
    <w:p>
      <w:pPr>
        <w:pStyle w:val="Heading3"/>
      </w:pPr>
      <w:r>
        <w:t>2.1.2 OT Cybersecurity &amp; Procesautomatisering</w:t>
      </w:r>
    </w:p>
    <w:p>
      <w:r>
        <w:t>(8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ICS/SCADA systeemarchitectuur conform IEC 62443 ontworpen</w:t>
            </w:r>
          </w:p>
        </w:tc>
        <w:tc>
          <w:tcPr>
            <w:tcW w:type="dxa" w:w="1984"/>
          </w:tcPr>
          <w:p>
            <w:r>
              <w:rPr>
                <w:sz w:val="16"/>
              </w:rPr>
              <w:t>IEC 62443-1-1, IEC 62443-3-3</w:t>
            </w:r>
          </w:p>
        </w:tc>
        <w:tc>
          <w:tcPr>
            <w:tcW w:type="dxa" w:w="3402"/>
          </w:tcPr>
          <w:p>
            <w:r>
              <w:rPr>
                <w:sz w:val="16"/>
              </w:rPr>
              <w:t>De Industrial Control Systems architectuur moet conform IEC 62443 worden ontworpen met duidelijke scheiding tussen OT (DCS/SCADA/PLC's) en IT (bedrijfsnetwerk). De architectuur omvat: een DMZ (Demilitarized Zone) voor datadeling, firewall tussen OT en IT, en geïsoleerde netwerkzones voor verschillende procesdelen. Security Levels (SL 1-4) moeten per zone worden bepaald op basis van risicoanalyse [13].</w:t>
            </w:r>
          </w:p>
        </w:tc>
        <w:tc>
          <w:tcPr>
            <w:tcW w:type="dxa" w:w="1701"/>
          </w:tcPr>
          <w:p>
            <w:r>
              <w:rPr>
                <w:sz w:val="16"/>
              </w:rPr>
              <w:t>Netwerkarchitectuur met minimaal 3 zones (OT, DMZ, IT); SL bepaald per zone; DMZ geïmplementeerd</w:t>
            </w:r>
          </w:p>
        </w:tc>
        <w:tc>
          <w:tcPr>
            <w:tcW w:type="dxa" w:w="1417"/>
          </w:tcPr>
          <w:p>
            <w:r>
              <w:rPr>
                <w:sz w:val="16"/>
              </w:rPr>
              <w:t>Netwerkarchitectuurdocument + zone/conduit diagram</w:t>
            </w:r>
          </w:p>
        </w:tc>
        <w:tc>
          <w:tcPr>
            <w:tcW w:type="dxa" w:w="567"/>
          </w:tcPr>
          <w:p>
            <w:r>
              <w:rPr>
                <w:sz w:val="16"/>
              </w:rPr>
              <w:t>H</w:t>
            </w:r>
          </w:p>
        </w:tc>
        <w:tc>
          <w:tcPr>
            <w:tcW w:type="dxa" w:w="1417"/>
          </w:tcPr>
          <w:p>
            <w:r>
              <w:rPr>
                <w:sz w:val="16"/>
              </w:rPr>
              <w:t>Cybersecurity Manager</w:t>
            </w:r>
          </w:p>
        </w:tc>
      </w:tr>
      <w:tr>
        <w:tc>
          <w:tcPr>
            <w:tcW w:type="dxa" w:w="2551"/>
            <w:shd w:fill="F0F4F8" w:val="clear"/>
          </w:tcPr>
          <w:p>
            <w:r>
              <w:rPr>
                <w:sz w:val="16"/>
              </w:rPr>
              <w:t>Netwerksegmentatie OT/IT met DMZ en firewall architectuur</w:t>
            </w:r>
          </w:p>
        </w:tc>
        <w:tc>
          <w:tcPr>
            <w:tcW w:type="dxa" w:w="1984"/>
            <w:shd w:fill="F0F4F8" w:val="clear"/>
          </w:tcPr>
          <w:p>
            <w:r>
              <w:rPr>
                <w:sz w:val="16"/>
              </w:rPr>
              <w:t>IEC 62443-3-3</w:t>
            </w:r>
          </w:p>
        </w:tc>
        <w:tc>
          <w:tcPr>
            <w:tcW w:type="dxa" w:w="3402"/>
            <w:shd w:fill="F0F4F8" w:val="clear"/>
          </w:tcPr>
          <w:p>
            <w:r>
              <w:rPr>
                <w:sz w:val="16"/>
              </w:rPr>
              <w:t>De netwerksegmentatie moet fysiek en logisch worden gescheiden: OT-netwerk (procescontrole) op een apart VLAN/subnet, DMZ voor Historian/OPC-UA gateway, en IT-netwerk voor ERP/office. Firewalls moeten tussen elke zone worden geplaatst met whitelisting-beleid (deny-all-default). Remote access uitsluitend via bastion host met MFA [13].</w:t>
            </w:r>
          </w:p>
        </w:tc>
        <w:tc>
          <w:tcPr>
            <w:tcW w:type="dxa" w:w="1701"/>
            <w:shd w:fill="F0F4F8" w:val="clear"/>
          </w:tcPr>
          <w:p>
            <w:r>
              <w:rPr>
                <w:sz w:val="16"/>
              </w:rPr>
              <w:t>Fysieke/logische scheiding OT/IT; deny-all-default firewall; remote access via bastion host + MFA</w:t>
            </w:r>
          </w:p>
        </w:tc>
        <w:tc>
          <w:tcPr>
            <w:tcW w:type="dxa" w:w="1417"/>
            <w:shd w:fill="F0F4F8" w:val="clear"/>
          </w:tcPr>
          <w:p>
            <w:r>
              <w:rPr>
                <w:sz w:val="16"/>
              </w:rPr>
              <w:t>Firewall rule matrix + netwerktopologie</w:t>
            </w:r>
          </w:p>
        </w:tc>
        <w:tc>
          <w:tcPr>
            <w:tcW w:type="dxa" w:w="567"/>
            <w:shd w:fill="F0F4F8" w:val="clear"/>
          </w:tcPr>
          <w:p>
            <w:r>
              <w:rPr>
                <w:sz w:val="16"/>
              </w:rPr>
              <w:t>H</w:t>
            </w:r>
          </w:p>
        </w:tc>
        <w:tc>
          <w:tcPr>
            <w:tcW w:type="dxa" w:w="1417"/>
            <w:shd w:fill="F0F4F8" w:val="clear"/>
          </w:tcPr>
          <w:p>
            <w:r>
              <w:rPr>
                <w:sz w:val="16"/>
              </w:rPr>
              <w:t>Cybersecurity Manager</w:t>
            </w:r>
          </w:p>
        </w:tc>
      </w:tr>
      <w:tr>
        <w:tc>
          <w:tcPr>
            <w:tcW w:type="dxa" w:w="2551"/>
          </w:tcPr>
          <w:p>
            <w:r>
              <w:rPr>
                <w:sz w:val="16"/>
              </w:rPr>
              <w:t>Security Levels (SL 1-4) bepaald per zone en conduit</w:t>
            </w:r>
          </w:p>
        </w:tc>
        <w:tc>
          <w:tcPr>
            <w:tcW w:type="dxa" w:w="1984"/>
          </w:tcPr>
          <w:p>
            <w:r>
              <w:rPr>
                <w:sz w:val="16"/>
              </w:rPr>
              <w:t>IEC 62443-3-3</w:t>
            </w:r>
          </w:p>
        </w:tc>
        <w:tc>
          <w:tcPr>
            <w:tcW w:type="dxa" w:w="3402"/>
          </w:tcPr>
          <w:p>
            <w:r>
              <w:rPr>
                <w:sz w:val="16"/>
              </w:rPr>
              <w:t>Per zone (bijv. reactor-controle, opslag-monitoring, utilities) moet het vereiste Security Level (SL-T) worden bepaald. SL 1 = bescherming tegen casual violation, SL 2 = hacking met eenvoudige middelen, SL 3 = geavanceerde aanvallen, SL 4 = staat-actors. Voor de pilot plant geldt minimum SL 2 voor alle OT-zones, SL 3 voor kritieke veiligheidssystemen (ESD/SIS) [13].</w:t>
            </w:r>
          </w:p>
        </w:tc>
        <w:tc>
          <w:tcPr>
            <w:tcW w:type="dxa" w:w="1701"/>
          </w:tcPr>
          <w:p>
            <w:r>
              <w:rPr>
                <w:sz w:val="16"/>
              </w:rPr>
              <w:t>SL-T bepaald per zone; minimaal SL 2; SL 3 voor ESD/SIS zones</w:t>
            </w:r>
          </w:p>
        </w:tc>
        <w:tc>
          <w:tcPr>
            <w:tcW w:type="dxa" w:w="1417"/>
          </w:tcPr>
          <w:p>
            <w:r>
              <w:rPr>
                <w:sz w:val="16"/>
              </w:rPr>
              <w:t>Security Level assessment rapport</w:t>
            </w:r>
          </w:p>
        </w:tc>
        <w:tc>
          <w:tcPr>
            <w:tcW w:type="dxa" w:w="567"/>
          </w:tcPr>
          <w:p>
            <w:r>
              <w:rPr>
                <w:sz w:val="16"/>
              </w:rPr>
              <w:t>H</w:t>
            </w:r>
          </w:p>
        </w:tc>
        <w:tc>
          <w:tcPr>
            <w:tcW w:type="dxa" w:w="1417"/>
          </w:tcPr>
          <w:p>
            <w:r>
              <w:rPr>
                <w:sz w:val="16"/>
              </w:rPr>
              <w:t>Cybersecurity Manager</w:t>
            </w:r>
          </w:p>
        </w:tc>
      </w:tr>
      <w:tr>
        <w:tc>
          <w:tcPr>
            <w:tcW w:type="dxa" w:w="2551"/>
            <w:shd w:fill="F0F4F8" w:val="clear"/>
          </w:tcPr>
          <w:p>
            <w:r>
              <w:rPr>
                <w:sz w:val="16"/>
              </w:rPr>
              <w:t>Patch management strategie voor OT systemen vastgelegd</w:t>
            </w:r>
          </w:p>
        </w:tc>
        <w:tc>
          <w:tcPr>
            <w:tcW w:type="dxa" w:w="1984"/>
            <w:shd w:fill="F0F4F8" w:val="clear"/>
          </w:tcPr>
          <w:p>
            <w:r>
              <w:rPr>
                <w:sz w:val="16"/>
              </w:rPr>
              <w:t>ISA/IEC 62443-2-3</w:t>
            </w:r>
          </w:p>
        </w:tc>
        <w:tc>
          <w:tcPr>
            <w:tcW w:type="dxa" w:w="3402"/>
            <w:shd w:fill="F0F4F8" w:val="clear"/>
          </w:tcPr>
          <w:p>
            <w:r>
              <w:rPr>
                <w:sz w:val="16"/>
              </w:rPr>
              <w:t>OT systemen kunnen niet zomaar worden gepatcht tijdens productie. De patch management strategie moet definiëren: patch-vensters (geplande stilstand), test-omgeving voor patches, classificatie (critical/high/medium), en rollback-procedure. Critical patches binnen 14 dagen, high binnen 30 dagen, medium binnen 90 dagen. Documentatie van alle patches en hun status [13].</w:t>
            </w:r>
          </w:p>
        </w:tc>
        <w:tc>
          <w:tcPr>
            <w:tcW w:type="dxa" w:w="1701"/>
            <w:shd w:fill="F0F4F8" w:val="clear"/>
          </w:tcPr>
          <w:p>
            <w:r>
              <w:rPr>
                <w:sz w:val="16"/>
              </w:rPr>
              <w:t>Patch management procedure goedgekeurd; test-omgeving beschikbaar; SLA's gedefinieerd</w:t>
            </w:r>
          </w:p>
        </w:tc>
        <w:tc>
          <w:tcPr>
            <w:tcW w:type="dxa" w:w="1417"/>
            <w:shd w:fill="F0F4F8" w:val="clear"/>
          </w:tcPr>
          <w:p>
            <w:r>
              <w:rPr>
                <w:sz w:val="16"/>
              </w:rPr>
              <w:t>Patch management procedure</w:t>
            </w:r>
          </w:p>
        </w:tc>
        <w:tc>
          <w:tcPr>
            <w:tcW w:type="dxa" w:w="567"/>
            <w:shd w:fill="F0F4F8" w:val="clear"/>
          </w:tcPr>
          <w:p>
            <w:r>
              <w:rPr>
                <w:sz w:val="16"/>
              </w:rPr>
              <w:t>M</w:t>
            </w:r>
          </w:p>
        </w:tc>
        <w:tc>
          <w:tcPr>
            <w:tcW w:type="dxa" w:w="1417"/>
            <w:shd w:fill="F0F4F8" w:val="clear"/>
          </w:tcPr>
          <w:p>
            <w:r>
              <w:rPr>
                <w:sz w:val="16"/>
              </w:rPr>
              <w:t>Cybersecurity Manager</w:t>
            </w:r>
          </w:p>
        </w:tc>
      </w:tr>
      <w:tr>
        <w:tc>
          <w:tcPr>
            <w:tcW w:type="dxa" w:w="2551"/>
          </w:tcPr>
          <w:p>
            <w:r>
              <w:rPr>
                <w:sz w:val="16"/>
              </w:rPr>
              <w:t>Remote access beveiliging (VPN, MFA, bastion host)</w:t>
            </w:r>
          </w:p>
        </w:tc>
        <w:tc>
          <w:tcPr>
            <w:tcW w:type="dxa" w:w="1984"/>
          </w:tcPr>
          <w:p>
            <w:r>
              <w:rPr>
                <w:sz w:val="16"/>
              </w:rPr>
              <w:t>IEC 62443, NIS2 (EU) 2022/2555</w:t>
            </w:r>
          </w:p>
        </w:tc>
        <w:tc>
          <w:tcPr>
            <w:tcW w:type="dxa" w:w="3402"/>
          </w:tcPr>
          <w:p>
            <w:r>
              <w:rPr>
                <w:sz w:val="16"/>
              </w:rPr>
              <w:t>Toegang tot het OT-netwerk van buitenaf (leveranciers, remote support) moet uitsluitend via een bastion host met: encrypted VPN-tunnel (IPSec of WireGuard), multi-factor authenticatie (MFA), session recording, en time-limited access tokens. Directe RDP/SSH naar PLC's of SCADA-servers is verboden. Alle sessies moeten worden gelogd [13][19].</w:t>
            </w:r>
          </w:p>
        </w:tc>
        <w:tc>
          <w:tcPr>
            <w:tcW w:type="dxa" w:w="1701"/>
          </w:tcPr>
          <w:p>
            <w:r>
              <w:rPr>
                <w:sz w:val="16"/>
              </w:rPr>
              <w:t>Bastion host operationeel; MFA verplicht; session recording actief; directe RDP/SSH geblokkeerd</w:t>
            </w:r>
          </w:p>
        </w:tc>
        <w:tc>
          <w:tcPr>
            <w:tcW w:type="dxa" w:w="1417"/>
          </w:tcPr>
          <w:p>
            <w:r>
              <w:rPr>
                <w:sz w:val="16"/>
              </w:rPr>
              <w:t>Remote access policy + architectuurdocument</w:t>
            </w:r>
          </w:p>
        </w:tc>
        <w:tc>
          <w:tcPr>
            <w:tcW w:type="dxa" w:w="567"/>
          </w:tcPr>
          <w:p>
            <w:r>
              <w:rPr>
                <w:sz w:val="16"/>
              </w:rPr>
              <w:t>H</w:t>
            </w:r>
          </w:p>
        </w:tc>
        <w:tc>
          <w:tcPr>
            <w:tcW w:type="dxa" w:w="1417"/>
          </w:tcPr>
          <w:p>
            <w:r>
              <w:rPr>
                <w:sz w:val="16"/>
              </w:rPr>
              <w:t>Cybersecurity Manager</w:t>
            </w:r>
          </w:p>
        </w:tc>
      </w:tr>
      <w:tr>
        <w:tc>
          <w:tcPr>
            <w:tcW w:type="dxa" w:w="2551"/>
            <w:shd w:fill="F0F4F8" w:val="clear"/>
          </w:tcPr>
          <w:p>
            <w:r>
              <w:rPr>
                <w:sz w:val="16"/>
              </w:rPr>
              <w:t>Backup en disaster recovery plan voor DCS/SCADA</w:t>
            </w:r>
          </w:p>
        </w:tc>
        <w:tc>
          <w:tcPr>
            <w:tcW w:type="dxa" w:w="1984"/>
            <w:shd w:fill="F0F4F8" w:val="clear"/>
          </w:tcPr>
          <w:p>
            <w:r>
              <w:rPr>
                <w:sz w:val="16"/>
              </w:rPr>
              <w:t>IEC 62443, ISO 22301</w:t>
            </w:r>
          </w:p>
        </w:tc>
        <w:tc>
          <w:tcPr>
            <w:tcW w:type="dxa" w:w="3402"/>
            <w:shd w:fill="F0F4F8" w:val="clear"/>
          </w:tcPr>
          <w:p>
            <w:r>
              <w:rPr>
                <w:sz w:val="16"/>
              </w:rPr>
              <w:t>Het DR-plan moet dekken: DCS-configuratie, SCADA-databases, PLC-programma's, HMI-schermen en historian-data. Backups: dagelijks incrementeel, wekelijks volledig, offline opslag (air-gapped). RTO (Recovery Time Objective) &lt; 4 uur voor kritieke systemen, RPO (Recovery Point Objective) &lt; 1 uur. Jaarlijkse DR-test verplicht [13].</w:t>
            </w:r>
          </w:p>
        </w:tc>
        <w:tc>
          <w:tcPr>
            <w:tcW w:type="dxa" w:w="1701"/>
            <w:shd w:fill="F0F4F8" w:val="clear"/>
          </w:tcPr>
          <w:p>
            <w:r>
              <w:rPr>
                <w:sz w:val="16"/>
              </w:rPr>
              <w:t>DR-plan goedgekeurd; RTO &lt; 4 uur; RPO &lt; 1 uur; offline backup; jaarlijkse test gepland</w:t>
            </w:r>
          </w:p>
        </w:tc>
        <w:tc>
          <w:tcPr>
            <w:tcW w:type="dxa" w:w="1417"/>
            <w:shd w:fill="F0F4F8" w:val="clear"/>
          </w:tcPr>
          <w:p>
            <w:r>
              <w:rPr>
                <w:sz w:val="16"/>
              </w:rPr>
              <w:t>DR-plan + backup schema + testverslag</w:t>
            </w:r>
          </w:p>
        </w:tc>
        <w:tc>
          <w:tcPr>
            <w:tcW w:type="dxa" w:w="567"/>
            <w:shd w:fill="F0F4F8" w:val="clear"/>
          </w:tcPr>
          <w:p>
            <w:r>
              <w:rPr>
                <w:sz w:val="16"/>
              </w:rPr>
              <w:t>H</w:t>
            </w:r>
          </w:p>
        </w:tc>
        <w:tc>
          <w:tcPr>
            <w:tcW w:type="dxa" w:w="1417"/>
            <w:shd w:fill="F0F4F8" w:val="clear"/>
          </w:tcPr>
          <w:p>
            <w:r>
              <w:rPr>
                <w:sz w:val="16"/>
              </w:rPr>
              <w:t>Cybersecurity Manager</w:t>
            </w:r>
          </w:p>
        </w:tc>
      </w:tr>
      <w:tr>
        <w:tc>
          <w:tcPr>
            <w:tcW w:type="dxa" w:w="2551"/>
          </w:tcPr>
          <w:p>
            <w:r>
              <w:rPr>
                <w:sz w:val="16"/>
              </w:rPr>
              <w:t>Cybersecurity incident response plan opgesteld</w:t>
            </w:r>
          </w:p>
        </w:tc>
        <w:tc>
          <w:tcPr>
            <w:tcW w:type="dxa" w:w="1984"/>
          </w:tcPr>
          <w:p>
            <w:r>
              <w:rPr>
                <w:sz w:val="16"/>
              </w:rPr>
              <w:t>NIS2 (EU) 2022/2555, IEC 62443</w:t>
            </w:r>
          </w:p>
        </w:tc>
        <w:tc>
          <w:tcPr>
            <w:tcW w:type="dxa" w:w="3402"/>
          </w:tcPr>
          <w:p>
            <w:r>
              <w:rPr>
                <w:sz w:val="16"/>
              </w:rPr>
              <w:t>Het incident response plan moet scenario's dekken: ransomware, unauthorized access, DDoS, en supply chain aanval. Het plan bevat: escalatie-procedure (detection → triage → containment → eradication → recovery), communicatieplan (intern + extern), en contactpersonen (NCSC, CERT-NL). Voor NIS2-essentiële entiteiten is melding binnen 24 uur verplicht [19].</w:t>
            </w:r>
          </w:p>
        </w:tc>
        <w:tc>
          <w:tcPr>
            <w:tcW w:type="dxa" w:w="1701"/>
          </w:tcPr>
          <w:p>
            <w:r>
              <w:rPr>
                <w:sz w:val="16"/>
              </w:rPr>
              <w:t>IR-plan goedgekeurd; NCSC/CERT-NL contacten beschikbaar; tabletop-oefening gepland</w:t>
            </w:r>
          </w:p>
        </w:tc>
        <w:tc>
          <w:tcPr>
            <w:tcW w:type="dxa" w:w="1417"/>
          </w:tcPr>
          <w:p>
            <w:r>
              <w:rPr>
                <w:sz w:val="16"/>
              </w:rPr>
              <w:t>Incident response plan + contactenlijst</w:t>
            </w:r>
          </w:p>
        </w:tc>
        <w:tc>
          <w:tcPr>
            <w:tcW w:type="dxa" w:w="567"/>
          </w:tcPr>
          <w:p>
            <w:r>
              <w:rPr>
                <w:sz w:val="16"/>
              </w:rPr>
              <w:t>H</w:t>
            </w:r>
          </w:p>
        </w:tc>
        <w:tc>
          <w:tcPr>
            <w:tcW w:type="dxa" w:w="1417"/>
          </w:tcPr>
          <w:p>
            <w:r>
              <w:rPr>
                <w:sz w:val="16"/>
              </w:rPr>
              <w:t>Cybersecurity Manager</w:t>
            </w:r>
          </w:p>
        </w:tc>
      </w:tr>
      <w:tr>
        <w:tc>
          <w:tcPr>
            <w:tcW w:type="dxa" w:w="2551"/>
            <w:shd w:fill="F0F4F8" w:val="clear"/>
          </w:tcPr>
          <w:p>
            <w:r>
              <w:rPr>
                <w:sz w:val="16"/>
              </w:rPr>
              <w:t>NIS2 compliance assessment uitgevoerd</w:t>
            </w:r>
          </w:p>
        </w:tc>
        <w:tc>
          <w:tcPr>
            <w:tcW w:type="dxa" w:w="1984"/>
            <w:shd w:fill="F0F4F8" w:val="clear"/>
          </w:tcPr>
          <w:p>
            <w:r>
              <w:rPr>
                <w:sz w:val="16"/>
              </w:rPr>
              <w:t>NIS2 Richtlijn (EU) 2022/2555</w:t>
            </w:r>
          </w:p>
        </w:tc>
        <w:tc>
          <w:tcPr>
            <w:tcW w:type="dxa" w:w="3402"/>
            <w:shd w:fill="F0F4F8" w:val="clear"/>
          </w:tcPr>
          <w:p>
            <w:r>
              <w:rPr>
                <w:sz w:val="16"/>
              </w:rPr>
              <w:t>Bepaal of Phoenix Metals onder NIS2 valt als essentiële entiteit (chemische industrie &gt; 500 werknemers of &gt; €150M omzet). Indien van toepassing: verplichte maatregelen incl. risicoanalyse, beveiligingsbeleid, supply chain security, en meldingsplicht incidenten. Non-compliance kan leiden tot boetes tot €10M of 2% wereldwijde omzet [19].</w:t>
            </w:r>
          </w:p>
        </w:tc>
        <w:tc>
          <w:tcPr>
            <w:tcW w:type="dxa" w:w="1701"/>
            <w:shd w:fill="F0F4F8" w:val="clear"/>
          </w:tcPr>
          <w:p>
            <w:r>
              <w:rPr>
                <w:sz w:val="16"/>
              </w:rPr>
              <w:t>NIS2-appicability bepaald; compliance-gaps geïdentificeerd; herstelplan beschikbaar</w:t>
            </w:r>
          </w:p>
        </w:tc>
        <w:tc>
          <w:tcPr>
            <w:tcW w:type="dxa" w:w="1417"/>
            <w:shd w:fill="F0F4F8" w:val="clear"/>
          </w:tcPr>
          <w:p>
            <w:r>
              <w:rPr>
                <w:sz w:val="16"/>
              </w:rPr>
              <w:t>NIS2 compliance assessment rapport</w:t>
            </w:r>
          </w:p>
        </w:tc>
        <w:tc>
          <w:tcPr>
            <w:tcW w:type="dxa" w:w="567"/>
            <w:shd w:fill="F0F4F8" w:val="clear"/>
          </w:tcPr>
          <w:p>
            <w:r>
              <w:rPr>
                <w:sz w:val="16"/>
              </w:rPr>
              <w:t>M</w:t>
            </w:r>
          </w:p>
        </w:tc>
        <w:tc>
          <w:tcPr>
            <w:tcW w:type="dxa" w:w="1417"/>
            <w:shd w:fill="F0F4F8" w:val="clear"/>
          </w:tcPr>
          <w:p>
            <w:r>
              <w:rPr>
                <w:sz w:val="16"/>
              </w:rPr>
              <w:t>Cybersecurity Manager</w:t>
            </w:r>
          </w:p>
        </w:tc>
      </w:tr>
    </w:tbl>
    <w:p/>
    <w:p>
      <w:pPr>
        <w:pStyle w:val="Heading3"/>
      </w:pPr>
      <w:r>
        <w:t>2.1.3 Human Factors &amp; Alarm Management</w:t>
      </w:r>
    </w:p>
    <w:p>
      <w:r>
        <w:t>(5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Control Room design conform NEN-EN-ISO 11064</w:t>
            </w:r>
          </w:p>
        </w:tc>
        <w:tc>
          <w:tcPr>
            <w:tcW w:type="dxa" w:w="1984"/>
          </w:tcPr>
          <w:p>
            <w:r>
              <w:rPr>
                <w:sz w:val="16"/>
              </w:rPr>
              <w:t>NEN-EN-ISO 11064-1 t/m 7</w:t>
            </w:r>
          </w:p>
        </w:tc>
        <w:tc>
          <w:tcPr>
            <w:tcW w:type="dxa" w:w="3402"/>
          </w:tcPr>
          <w:p>
            <w:r>
              <w:rPr>
                <w:sz w:val="16"/>
              </w:rPr>
              <w:t>De controlekamer moet conform ISO 11064 worden ontworpen: voldoende werkruimte per operator (minimaal 6 m²), line-of-sight naar kritieke beeldschermen, ergonomische werkplekken (verstelbare stoelen, monitor-arms), en adequate verlichting (300-500 lux, anti-glare). De lay-out moet ondersteunen dat operators overzicht behouden op het proces [14].</w:t>
            </w:r>
          </w:p>
        </w:tc>
        <w:tc>
          <w:tcPr>
            <w:tcW w:type="dxa" w:w="1701"/>
          </w:tcPr>
          <w:p>
            <w:r>
              <w:rPr>
                <w:sz w:val="16"/>
              </w:rPr>
              <w:t>Controlekamer voldoet aan ISO 11064; per operator ≥ 6 m²; verlichting 300-500 lux</w:t>
            </w:r>
          </w:p>
        </w:tc>
        <w:tc>
          <w:tcPr>
            <w:tcW w:type="dxa" w:w="1417"/>
          </w:tcPr>
          <w:p>
            <w:r>
              <w:rPr>
                <w:sz w:val="16"/>
              </w:rPr>
              <w:t>Control Room ontwerp + ergonomisch rapport</w:t>
            </w:r>
          </w:p>
        </w:tc>
        <w:tc>
          <w:tcPr>
            <w:tcW w:type="dxa" w:w="567"/>
          </w:tcPr>
          <w:p>
            <w:r>
              <w:rPr>
                <w:sz w:val="16"/>
              </w:rPr>
              <w:t>H</w:t>
            </w:r>
          </w:p>
        </w:tc>
        <w:tc>
          <w:tcPr>
            <w:tcW w:type="dxa" w:w="1417"/>
          </w:tcPr>
          <w:p>
            <w:r>
              <w:rPr>
                <w:sz w:val="16"/>
              </w:rPr>
              <w:t>Project Engineer</w:t>
            </w:r>
          </w:p>
        </w:tc>
      </w:tr>
      <w:tr>
        <w:tc>
          <w:tcPr>
            <w:tcW w:type="dxa" w:w="2551"/>
            <w:shd w:fill="F0F4F8" w:val="clear"/>
          </w:tcPr>
          <w:p>
            <w:r>
              <w:rPr>
                <w:sz w:val="16"/>
              </w:rPr>
              <w:t>Alarm Management strategie conform ISA-18.2 / IEC 62682</w:t>
            </w:r>
          </w:p>
        </w:tc>
        <w:tc>
          <w:tcPr>
            <w:tcW w:type="dxa" w:w="1984"/>
            <w:shd w:fill="F0F4F8" w:val="clear"/>
          </w:tcPr>
          <w:p>
            <w:r>
              <w:rPr>
                <w:sz w:val="16"/>
              </w:rPr>
              <w:t>ISA-18.2 / IEC 62682</w:t>
            </w:r>
          </w:p>
        </w:tc>
        <w:tc>
          <w:tcPr>
            <w:tcW w:type="dxa" w:w="3402"/>
            <w:shd w:fill="F0F4F8" w:val="clear"/>
          </w:tcPr>
          <w:p>
            <w:r>
              <w:rPr>
                <w:sz w:val="16"/>
              </w:rPr>
              <w:t>Het alarm management systeem moet alarm-flooding voorkomen (maximaal 10 alarmen per uur per operator als streefwaarde, conform EEMUA 191). Alle alarmen moeten worden gerationaliseerd: type (proces-, veiligheids-, systeemalarm), prioriteit (hoog/midden/laag), setpoint, en responsprocedure. Dead-band en shelving-beleid moeten zijn gedefinieerd [15][16].</w:t>
            </w:r>
          </w:p>
        </w:tc>
        <w:tc>
          <w:tcPr>
            <w:tcW w:type="dxa" w:w="1701"/>
            <w:shd w:fill="F0F4F8" w:val="clear"/>
          </w:tcPr>
          <w:p>
            <w:r>
              <w:rPr>
                <w:sz w:val="16"/>
              </w:rPr>
              <w:t>Alarm rationalisatie compleet; &lt; 10 alarmen/uur/operator; alle alarmen gecategoriseerd</w:t>
            </w:r>
          </w:p>
        </w:tc>
        <w:tc>
          <w:tcPr>
            <w:tcW w:type="dxa" w:w="1417"/>
            <w:shd w:fill="F0F4F8" w:val="clear"/>
          </w:tcPr>
          <w:p>
            <w:r>
              <w:rPr>
                <w:sz w:val="16"/>
              </w:rPr>
              <w:t>Alarm rationalisatie rapport + alarm database</w:t>
            </w:r>
          </w:p>
        </w:tc>
        <w:tc>
          <w:tcPr>
            <w:tcW w:type="dxa" w:w="567"/>
            <w:shd w:fill="F0F4F8" w:val="clear"/>
          </w:tcPr>
          <w:p>
            <w:r>
              <w:rPr>
                <w:sz w:val="16"/>
              </w:rPr>
              <w:t>H</w:t>
            </w:r>
          </w:p>
        </w:tc>
        <w:tc>
          <w:tcPr>
            <w:tcW w:type="dxa" w:w="1417"/>
            <w:shd w:fill="F0F4F8" w:val="clear"/>
          </w:tcPr>
          <w:p>
            <w:r>
              <w:rPr>
                <w:sz w:val="16"/>
              </w:rPr>
              <w:t>Proces Engineer</w:t>
            </w:r>
          </w:p>
        </w:tc>
      </w:tr>
      <w:tr>
        <w:tc>
          <w:tcPr>
            <w:tcW w:type="dxa" w:w="2551"/>
          </w:tcPr>
          <w:p>
            <w:r>
              <w:rPr>
                <w:sz w:val="16"/>
              </w:rPr>
              <w:t>HMI design conform EEMUA 201 / ISA-101 (High Performance HMI)</w:t>
            </w:r>
          </w:p>
        </w:tc>
        <w:tc>
          <w:tcPr>
            <w:tcW w:type="dxa" w:w="1984"/>
          </w:tcPr>
          <w:p>
            <w:r>
              <w:rPr>
                <w:sz w:val="16"/>
              </w:rPr>
              <w:t>EEMUA 201, ISA-101</w:t>
            </w:r>
          </w:p>
        </w:tc>
        <w:tc>
          <w:tcPr>
            <w:tcW w:type="dxa" w:w="3402"/>
          </w:tcPr>
          <w:p>
            <w:r>
              <w:rPr>
                <w:sz w:val="16"/>
              </w:rPr>
              <w:t>De Human Machine Interface moet conform High Performance HMI-principes worden ontworpen: grijze achtergronden (geen felle kleuren behalve voor alarmen), analoge indicatoren (balken/trends in plaats van alleen digitale waarden), en consistente kleurcodering (rood = alarm, geel = waarschuwing, groen = normaal). Situational awareness is het doel — de operator moet in één oogopslag de processtatus kunnen beoordelen [17][18].</w:t>
            </w:r>
          </w:p>
        </w:tc>
        <w:tc>
          <w:tcPr>
            <w:tcW w:type="dxa" w:w="1701"/>
          </w:tcPr>
          <w:p>
            <w:r>
              <w:rPr>
                <w:sz w:val="16"/>
              </w:rPr>
              <w:t>HMI conform EEMUA 201/ISA-101; High Performance principes; kleurcodering consistent</w:t>
            </w:r>
          </w:p>
        </w:tc>
        <w:tc>
          <w:tcPr>
            <w:tcW w:type="dxa" w:w="1417"/>
          </w:tcPr>
          <w:p>
            <w:r>
              <w:rPr>
                <w:sz w:val="16"/>
              </w:rPr>
              <w:t>HMI style guide + mock-up schermen</w:t>
            </w:r>
          </w:p>
        </w:tc>
        <w:tc>
          <w:tcPr>
            <w:tcW w:type="dxa" w:w="567"/>
          </w:tcPr>
          <w:p>
            <w:r>
              <w:rPr>
                <w:sz w:val="16"/>
              </w:rPr>
              <w:t>H</w:t>
            </w:r>
          </w:p>
        </w:tc>
        <w:tc>
          <w:tcPr>
            <w:tcW w:type="dxa" w:w="1417"/>
          </w:tcPr>
          <w:p>
            <w:r>
              <w:rPr>
                <w:sz w:val="16"/>
              </w:rPr>
              <w:t>Proces Engineer</w:t>
            </w:r>
          </w:p>
        </w:tc>
      </w:tr>
      <w:tr>
        <w:tc>
          <w:tcPr>
            <w:tcW w:type="dxa" w:w="2551"/>
            <w:shd w:fill="F0F4F8" w:val="clear"/>
          </w:tcPr>
          <w:p>
            <w:r>
              <w:rPr>
                <w:sz w:val="16"/>
              </w:rPr>
              <w:t>Operator workload analyse uitgevoerd</w:t>
            </w:r>
          </w:p>
        </w:tc>
        <w:tc>
          <w:tcPr>
            <w:tcW w:type="dxa" w:w="1984"/>
            <w:shd w:fill="F0F4F8" w:val="clear"/>
          </w:tcPr>
          <w:p>
            <w:r>
              <w:rPr>
                <w:sz w:val="16"/>
              </w:rPr>
              <w:t>ISO 11064-4, EEMUA 201</w:t>
            </w:r>
          </w:p>
        </w:tc>
        <w:tc>
          <w:tcPr>
            <w:tcW w:type="dxa" w:w="3402"/>
            <w:shd w:fill="F0F4F8" w:val="clear"/>
          </w:tcPr>
          <w:p>
            <w:r>
              <w:rPr>
                <w:sz w:val="16"/>
              </w:rPr>
              <w:t>De workload analyse toetst of operators tijdens normale en upset-condities het proces kunnen overzien. Methode: task analysis per scenario (normaal, start-up, shutdown, noodsituatie). Resultaat: aantal taken per operator, cognitieve belasting, en tijdsdruk. Indien &gt; 70% belasting: herverdeling of automatisering vereist [14].</w:t>
            </w:r>
          </w:p>
        </w:tc>
        <w:tc>
          <w:tcPr>
            <w:tcW w:type="dxa" w:w="1701"/>
            <w:shd w:fill="F0F4F8" w:val="clear"/>
          </w:tcPr>
          <w:p>
            <w:r>
              <w:rPr>
                <w:sz w:val="16"/>
              </w:rPr>
              <w:t>Workload &lt; 70% per operator in alle scenario's; bij overschrijding: mitigatie gedefinieerd</w:t>
            </w:r>
          </w:p>
        </w:tc>
        <w:tc>
          <w:tcPr>
            <w:tcW w:type="dxa" w:w="1417"/>
            <w:shd w:fill="F0F4F8" w:val="clear"/>
          </w:tcPr>
          <w:p>
            <w:r>
              <w:rPr>
                <w:sz w:val="16"/>
              </w:rPr>
              <w:t>Workload analyse rapport</w:t>
            </w:r>
          </w:p>
        </w:tc>
        <w:tc>
          <w:tcPr>
            <w:tcW w:type="dxa" w:w="567"/>
            <w:shd w:fill="F0F4F8" w:val="clear"/>
          </w:tcPr>
          <w:p>
            <w:r>
              <w:rPr>
                <w:sz w:val="16"/>
              </w:rPr>
              <w:t>M</w:t>
            </w:r>
          </w:p>
        </w:tc>
        <w:tc>
          <w:tcPr>
            <w:tcW w:type="dxa" w:w="1417"/>
            <w:shd w:fill="F0F4F8" w:val="clear"/>
          </w:tcPr>
          <w:p>
            <w:r>
              <w:rPr>
                <w:sz w:val="16"/>
              </w:rPr>
              <w:t>Proces Engineer</w:t>
            </w:r>
          </w:p>
        </w:tc>
      </w:tr>
      <w:tr>
        <w:tc>
          <w:tcPr>
            <w:tcW w:type="dxa" w:w="2551"/>
          </w:tcPr>
          <w:p>
            <w:r>
              <w:rPr>
                <w:sz w:val="16"/>
              </w:rPr>
              <w:t>Fatigue management programma opgesteld</w:t>
            </w:r>
          </w:p>
        </w:tc>
        <w:tc>
          <w:tcPr>
            <w:tcW w:type="dxa" w:w="1984"/>
          </w:tcPr>
          <w:p>
            <w:r>
              <w:rPr>
                <w:sz w:val="16"/>
              </w:rPr>
              <w:t>Arbowet, Arbobesluit, Best practice</w:t>
            </w:r>
          </w:p>
        </w:tc>
        <w:tc>
          <w:tcPr>
            <w:tcW w:type="dxa" w:w="3402"/>
          </w:tcPr>
          <w:p>
            <w:r>
              <w:rPr>
                <w:sz w:val="16"/>
              </w:rPr>
              <w:t>Het fatigue management programma moet: rusttijden conform Arbowet (minimaal 11 uur onafgebroken rust per 24 uur), maximum dienstduur (12 uur inclusief overwerk), en nachtdienst-beperkingen definiëren. Voor de pilot plant (24/7 operationeel) is een rotatieschema vereist met voldoende hersteltijd. Training over vermoeidheidsrisico's is verplicht [1].</w:t>
            </w:r>
          </w:p>
        </w:tc>
        <w:tc>
          <w:tcPr>
            <w:tcW w:type="dxa" w:w="1701"/>
          </w:tcPr>
          <w:p>
            <w:r>
              <w:rPr>
                <w:sz w:val="16"/>
              </w:rPr>
              <w:t>Fatigue management programma goedgekeurd; rotatieschema conform Arbowet; training gepland</w:t>
            </w:r>
          </w:p>
        </w:tc>
        <w:tc>
          <w:tcPr>
            <w:tcW w:type="dxa" w:w="1417"/>
          </w:tcPr>
          <w:p>
            <w:r>
              <w:rPr>
                <w:sz w:val="16"/>
              </w:rPr>
              <w:t>Fatigue management procedure + rotatieschema</w:t>
            </w:r>
          </w:p>
        </w:tc>
        <w:tc>
          <w:tcPr>
            <w:tcW w:type="dxa" w:w="567"/>
          </w:tcPr>
          <w:p>
            <w:r>
              <w:rPr>
                <w:sz w:val="16"/>
              </w:rPr>
              <w:t>M</w:t>
            </w:r>
          </w:p>
        </w:tc>
        <w:tc>
          <w:tcPr>
            <w:tcW w:type="dxa" w:w="1417"/>
          </w:tcPr>
          <w:p>
            <w:r>
              <w:rPr>
                <w:sz w:val="16"/>
              </w:rPr>
              <w:t>Plant Manager</w:t>
            </w:r>
          </w:p>
        </w:tc>
      </w:tr>
    </w:tbl>
    <w:p/>
    <w:p>
      <w:pPr>
        <w:pStyle w:val="Heading3"/>
      </w:pPr>
      <w:r>
        <w:t>2.1.4 CE-Markering Samenstel</w:t>
      </w:r>
    </w:p>
    <w:p>
      <w:r>
        <w:t>(4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CE-verantwoordelijkheid samenstel van machines vastgelegd</w:t>
            </w:r>
          </w:p>
        </w:tc>
        <w:tc>
          <w:tcPr>
            <w:tcW w:type="dxa" w:w="1984"/>
          </w:tcPr>
          <w:p>
            <w:r>
              <w:rPr>
                <w:sz w:val="16"/>
              </w:rPr>
              <w:t>Machinerichtlijn (EU) 2023/1230 art. 7</w:t>
            </w:r>
          </w:p>
        </w:tc>
        <w:tc>
          <w:tcPr>
            <w:tcW w:type="dxa" w:w="3402"/>
          </w:tcPr>
          <w:p>
            <w:r>
              <w:rPr>
                <w:sz w:val="16"/>
              </w:rPr>
              <w:t>De pilot plant is een 'samenstel van machines' in de zin van de Machinerichtlijn. De eindverantwoordelijke (Phoenix Metals of JvG als assembleur) moet worden aangewezen. Deze persoon is verantwoordelijk voor de CE-markering van het gehele samenstel, inclusief het Technisch Constructiedossier (TCD) en de IIA-verklaring (Inbedrijfnameverklaring) [10].</w:t>
            </w:r>
          </w:p>
        </w:tc>
        <w:tc>
          <w:tcPr>
            <w:tcW w:type="dxa" w:w="1701"/>
          </w:tcPr>
          <w:p>
            <w:r>
              <w:rPr>
                <w:sz w:val="16"/>
              </w:rPr>
              <w:t>CE-verantwoordelijke aangewezen; TCD gestart; IIA-verklaring template beschikbaar</w:t>
            </w:r>
          </w:p>
        </w:tc>
        <w:tc>
          <w:tcPr>
            <w:tcW w:type="dxa" w:w="1417"/>
          </w:tcPr>
          <w:p>
            <w:r>
              <w:rPr>
                <w:sz w:val="16"/>
              </w:rPr>
              <w:t>Aanwijzingsbrief CE-verantwoordelijke + TCD-index</w:t>
            </w:r>
          </w:p>
        </w:tc>
        <w:tc>
          <w:tcPr>
            <w:tcW w:type="dxa" w:w="567"/>
          </w:tcPr>
          <w:p>
            <w:r>
              <w:rPr>
                <w:sz w:val="16"/>
              </w:rPr>
              <w:t>H</w:t>
            </w:r>
          </w:p>
        </w:tc>
        <w:tc>
          <w:tcPr>
            <w:tcW w:type="dxa" w:w="1417"/>
          </w:tcPr>
          <w:p>
            <w:r>
              <w:rPr>
                <w:sz w:val="16"/>
              </w:rPr>
              <w:t>Project Engineer</w:t>
            </w:r>
          </w:p>
        </w:tc>
      </w:tr>
      <w:tr>
        <w:tc>
          <w:tcPr>
            <w:tcW w:type="dxa" w:w="2551"/>
            <w:shd w:fill="F0F4F8" w:val="clear"/>
          </w:tcPr>
          <w:p>
            <w:r>
              <w:rPr>
                <w:sz w:val="16"/>
              </w:rPr>
              <w:t>Technisch Constructiedossier (TCD) samengesteld</w:t>
            </w:r>
          </w:p>
        </w:tc>
        <w:tc>
          <w:tcPr>
            <w:tcW w:type="dxa" w:w="1984"/>
            <w:shd w:fill="F0F4F8" w:val="clear"/>
          </w:tcPr>
          <w:p>
            <w:r>
              <w:rPr>
                <w:sz w:val="16"/>
              </w:rPr>
              <w:t>Machinerichtlijn (EU) 2023/1230 bijlage VII</w:t>
            </w:r>
          </w:p>
        </w:tc>
        <w:tc>
          <w:tcPr>
            <w:tcW w:type="dxa" w:w="3402"/>
            <w:shd w:fill="F0F4F8" w:val="clear"/>
          </w:tcPr>
          <w:p>
            <w:r>
              <w:rPr>
                <w:sz w:val="16"/>
              </w:rPr>
              <w:t>Het TCD moet bevatten: (1) risicoanalyse van het gehele samenstel (inclusief interacties tussen machines), (2) tekeningen en berekeningen, (3) lijst van essentiële gezondheids- en veiligheidseisen, (4) resultaten van ontwerp-berekeningen, (5) testrapporten, en (6) operationele documentatie. Het TCD moet 10 jaar na inbedrijfname bewaard blijven [10].</w:t>
            </w:r>
          </w:p>
        </w:tc>
        <w:tc>
          <w:tcPr>
            <w:tcW w:type="dxa" w:w="1701"/>
            <w:shd w:fill="F0F4F8" w:val="clear"/>
          </w:tcPr>
          <w:p>
            <w:r>
              <w:rPr>
                <w:sz w:val="16"/>
              </w:rPr>
              <w:t>TCD compleet per bijlage VII; alle sub-systemen gedocumenteerd; 10 jaar bewaartermijn</w:t>
            </w:r>
          </w:p>
        </w:tc>
        <w:tc>
          <w:tcPr>
            <w:tcW w:type="dxa" w:w="1417"/>
            <w:shd w:fill="F0F4F8" w:val="clear"/>
          </w:tcPr>
          <w:p>
            <w:r>
              <w:rPr>
                <w:sz w:val="16"/>
              </w:rPr>
              <w:t>Technisch Constructiedossier (compleet)</w:t>
            </w:r>
          </w:p>
        </w:tc>
        <w:tc>
          <w:tcPr>
            <w:tcW w:type="dxa" w:w="567"/>
            <w:shd w:fill="F0F4F8" w:val="clear"/>
          </w:tcPr>
          <w:p>
            <w:r>
              <w:rPr>
                <w:sz w:val="16"/>
              </w:rPr>
              <w:t>H</w:t>
            </w:r>
          </w:p>
        </w:tc>
        <w:tc>
          <w:tcPr>
            <w:tcW w:type="dxa" w:w="1417"/>
            <w:shd w:fill="F0F4F8" w:val="clear"/>
          </w:tcPr>
          <w:p>
            <w:r>
              <w:rPr>
                <w:sz w:val="16"/>
              </w:rPr>
              <w:t>Project Engineer</w:t>
            </w:r>
          </w:p>
        </w:tc>
      </w:tr>
      <w:tr>
        <w:tc>
          <w:tcPr>
            <w:tcW w:type="dxa" w:w="2551"/>
          </w:tcPr>
          <w:p>
            <w:r>
              <w:rPr>
                <w:sz w:val="16"/>
              </w:rPr>
              <w:t>Risicoanalyse samenstellingsrisico's (interacties) uitgevoerd</w:t>
            </w:r>
          </w:p>
        </w:tc>
        <w:tc>
          <w:tcPr>
            <w:tcW w:type="dxa" w:w="1984"/>
          </w:tcPr>
          <w:p>
            <w:r>
              <w:rPr>
                <w:sz w:val="16"/>
              </w:rPr>
              <w:t>Machinerichtlijn (EU) 2023/1230 art. 14</w:t>
            </w:r>
          </w:p>
        </w:tc>
        <w:tc>
          <w:tcPr>
            <w:tcW w:type="dxa" w:w="3402"/>
          </w:tcPr>
          <w:p>
            <w:r>
              <w:rPr>
                <w:sz w:val="16"/>
              </w:rPr>
              <w:t>Naast de risicoanalyse per sub-systeem moet een specifieke analyse worden uitgevoerd voor de interacties binnen het samenstel: materiaalstromen tussen machines, energietransities, software-interfaces, en toegankelijkheid tijdens onderhoud. Voorbeeld: een reactor die wordt gevoed door een pomp — als de pomp faalt terwijl de reactor op temperatuur is, ontstaat een specifiek risico dat alleen op samenstelniveau zichtbaar is [10].</w:t>
            </w:r>
          </w:p>
        </w:tc>
        <w:tc>
          <w:tcPr>
            <w:tcW w:type="dxa" w:w="1701"/>
          </w:tcPr>
          <w:p>
            <w:r>
              <w:rPr>
                <w:sz w:val="16"/>
              </w:rPr>
              <w:t>Samenstellingsrisicoanalyse compleet; alle interacties geïdentificeerd en beheerst</w:t>
            </w:r>
          </w:p>
        </w:tc>
        <w:tc>
          <w:tcPr>
            <w:tcW w:type="dxa" w:w="1417"/>
          </w:tcPr>
          <w:p>
            <w:r>
              <w:rPr>
                <w:sz w:val="16"/>
              </w:rPr>
              <w:t>Samenstellingsrisicoanalyse rapport</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Verklaring van overeenstemming per sub-systeem beschikbaar</w:t>
            </w:r>
          </w:p>
        </w:tc>
        <w:tc>
          <w:tcPr>
            <w:tcW w:type="dxa" w:w="1984"/>
            <w:shd w:fill="F0F4F8" w:val="clear"/>
          </w:tcPr>
          <w:p>
            <w:r>
              <w:rPr>
                <w:sz w:val="16"/>
              </w:rPr>
              <w:t>Machinerichtlijn (EU) 2023/1230 art. 17</w:t>
            </w:r>
          </w:p>
        </w:tc>
        <w:tc>
          <w:tcPr>
            <w:tcW w:type="dxa" w:w="3402"/>
            <w:shd w:fill="F0F4F8" w:val="clear"/>
          </w:tcPr>
          <w:p>
            <w:r>
              <w:rPr>
                <w:sz w:val="16"/>
              </w:rPr>
              <w:t>Elk sub-systeem (pomp, reactor, filter, electrodepositie-unit) dat afzonderlijk op de markt is gebracht, moet vergezeld gaan van een EG-verklaring van overeenstemming (ofleveranciersverklaring). Deze verklaringen vormen de basis voor de CE-markering van het samenstel. Zonder verklaringen van alle sub-systemen kan het samenstel niet CE-gemarkeerd worden [10].</w:t>
            </w:r>
          </w:p>
        </w:tc>
        <w:tc>
          <w:tcPr>
            <w:tcW w:type="dxa" w:w="1701"/>
            <w:shd w:fill="F0F4F8" w:val="clear"/>
          </w:tcPr>
          <w:p>
            <w:r>
              <w:rPr>
                <w:sz w:val="16"/>
              </w:rPr>
              <w:t>100% van sub-systemen voorzien van verklaring van overeenstemming</w:t>
            </w:r>
          </w:p>
        </w:tc>
        <w:tc>
          <w:tcPr>
            <w:tcW w:type="dxa" w:w="1417"/>
            <w:shd w:fill="F0F4F8" w:val="clear"/>
          </w:tcPr>
          <w:p>
            <w:r>
              <w:rPr>
                <w:sz w:val="16"/>
              </w:rPr>
              <w:t>Verzameling verklaringen van overeenstemming</w:t>
            </w:r>
          </w:p>
        </w:tc>
        <w:tc>
          <w:tcPr>
            <w:tcW w:type="dxa" w:w="567"/>
            <w:shd w:fill="F0F4F8" w:val="clear"/>
          </w:tcPr>
          <w:p>
            <w:r>
              <w:rPr>
                <w:sz w:val="16"/>
              </w:rPr>
              <w:t>H</w:t>
            </w:r>
          </w:p>
        </w:tc>
        <w:tc>
          <w:tcPr>
            <w:tcW w:type="dxa" w:w="1417"/>
            <w:shd w:fill="F0F4F8" w:val="clear"/>
          </w:tcPr>
          <w:p>
            <w:r>
              <w:rPr>
                <w:sz w:val="16"/>
              </w:rPr>
              <w:t>Project Engineer</w:t>
            </w:r>
          </w:p>
        </w:tc>
      </w:tr>
    </w:tbl>
    <w:p/>
    <w:p>
      <w:pPr>
        <w:pStyle w:val="Heading3"/>
      </w:pPr>
      <w:r>
        <w:t>2.1.5 Milieu &amp; Emissieontwerp (Omgevingswet)</w:t>
      </w:r>
    </w:p>
    <w:p>
      <w:r>
        <w:t>(11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Omgevingsvergunning (Bal) aangevraagd met complete emissie-inventarisatie</w:t>
            </w:r>
          </w:p>
        </w:tc>
        <w:tc>
          <w:tcPr>
            <w:tcW w:type="dxa" w:w="1984"/>
          </w:tcPr>
          <w:p>
            <w:r>
              <w:rPr>
                <w:sz w:val="16"/>
              </w:rPr>
              <w:t>Besluit activiteiten leefomgeving (Bal) art. 2.1</w:t>
            </w:r>
          </w:p>
        </w:tc>
        <w:tc>
          <w:tcPr>
            <w:tcW w:type="dxa" w:w="3402"/>
          </w:tcPr>
          <w:p>
            <w:r>
              <w:rPr>
                <w:sz w:val="16"/>
              </w:rPr>
              <w:t>De pilot plant vergt een omgevingsvergunning onder de Bal voor: luchtemissies (stof, H₂SO₄-dampen), waterlozingen (vanadium, zware metalen, pH), geluidsproductie en afvalstoffen. De aanvraag moet een complete emissie-inventarisatie bevatten met berekende en verwachte emissies, vergeleken met de geldende grenswaarden. De vergunning bevat voorschriften voor monitoring, rapportage en handhaving [3].</w:t>
            </w:r>
          </w:p>
        </w:tc>
        <w:tc>
          <w:tcPr>
            <w:tcW w:type="dxa" w:w="1701"/>
          </w:tcPr>
          <w:p>
            <w:r>
              <w:rPr>
                <w:sz w:val="16"/>
              </w:rPr>
              <w:t>Omgevingsvergunning verleend; alle emissiegrenswaarden gehaald</w:t>
            </w:r>
          </w:p>
        </w:tc>
        <w:tc>
          <w:tcPr>
            <w:tcW w:type="dxa" w:w="1417"/>
          </w:tcPr>
          <w:p>
            <w:r>
              <w:rPr>
                <w:sz w:val="16"/>
              </w:rPr>
              <w:t>Vergunningsaanvraag + emissieberekeningen + vergunningsbesluit</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ZZS-minimisatietoets vanadiumverbindingen uitgevoerd</w:t>
            </w:r>
          </w:p>
        </w:tc>
        <w:tc>
          <w:tcPr>
            <w:tcW w:type="dxa" w:w="1984"/>
            <w:shd w:fill="F0F4F8" w:val="clear"/>
          </w:tcPr>
          <w:p>
            <w:r>
              <w:rPr>
                <w:sz w:val="16"/>
              </w:rPr>
              <w:t>Bal, REACH bijlage XV — ZZS-list</w:t>
            </w:r>
          </w:p>
        </w:tc>
        <w:tc>
          <w:tcPr>
            <w:tcW w:type="dxa" w:w="3402"/>
            <w:shd w:fill="F0F4F8" w:val="clear"/>
          </w:tcPr>
          <w:p>
            <w:r>
              <w:rPr>
                <w:sz w:val="16"/>
              </w:rPr>
              <w:t>Vanadiumpentoxide (V₂O₅) en vanadiumtrioxide (V₂O₃) staan op de ZZS-lijst (Zeer Zorgwekkende Stoffen). De ZZS-minimisatietoets toetst of emissies zoveel mogelijk worden geminimaliseerd. Voor de pilot plant betekent dit: gesloten procesvoering waar mogelijk, afvang van stofemissies (WESP of equivalente techniek), en continue monitoring van emissiepunten. De toets moet aantonen dat BBT (Best Beschikbare Technieken) worden toegepast [3][5].</w:t>
            </w:r>
          </w:p>
        </w:tc>
        <w:tc>
          <w:tcPr>
            <w:tcW w:type="dxa" w:w="1701"/>
            <w:shd w:fill="F0F4F8" w:val="clear"/>
          </w:tcPr>
          <w:p>
            <w:r>
              <w:rPr>
                <w:sz w:val="16"/>
              </w:rPr>
              <w:t>ZZS-minimisatietoets afgerond; BBT-selectie gedocumenteerd</w:t>
            </w:r>
          </w:p>
        </w:tc>
        <w:tc>
          <w:tcPr>
            <w:tcW w:type="dxa" w:w="1417"/>
            <w:shd w:fill="F0F4F8" w:val="clear"/>
          </w:tcPr>
          <w:p>
            <w:r>
              <w:rPr>
                <w:sz w:val="16"/>
              </w:rPr>
              <w:t>ZZS-minimisatietoets rapport</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Luchtemissiegrenswaarden vertaald naar ontwerpparameters</w:t>
            </w:r>
          </w:p>
        </w:tc>
        <w:tc>
          <w:tcPr>
            <w:tcW w:type="dxa" w:w="1984"/>
          </w:tcPr>
          <w:p>
            <w:r>
              <w:rPr>
                <w:sz w:val="16"/>
              </w:rPr>
              <w:t>Bal, BREF LVIC-AAF</w:t>
            </w:r>
          </w:p>
        </w:tc>
        <w:tc>
          <w:tcPr>
            <w:tcW w:type="dxa" w:w="3402"/>
          </w:tcPr>
          <w:p>
            <w:r>
              <w:rPr>
                <w:sz w:val="16"/>
              </w:rPr>
              <w:t>De vergunningsgrenswaarden voor luchtemissies moeten worden vertaald naar concrete ontwerpeisen: stofemissie &lt; 5 mg/Nm³ (of vergunningswaarde), H₂SO₄-dampen &lt; grenswaarde, en eventueel NOₓ/CO bij warmtekracht. Per emissiepunt (stack) moet de verwachte concentratie worden berekend op basis van procescondities, afvangrendement (WESP: &gt;99% voor stof &gt;1 μm) en debiet [3].</w:t>
            </w:r>
          </w:p>
        </w:tc>
        <w:tc>
          <w:tcPr>
            <w:tcW w:type="dxa" w:w="1701"/>
          </w:tcPr>
          <w:p>
            <w:r>
              <w:rPr>
                <w:sz w:val="16"/>
              </w:rPr>
              <w:t>Alle stack-emissies &lt; vergunningsgrenswaarden; afvangrendement berekend per bron</w:t>
            </w:r>
          </w:p>
        </w:tc>
        <w:tc>
          <w:tcPr>
            <w:tcW w:type="dxa" w:w="1417"/>
          </w:tcPr>
          <w:p>
            <w:r>
              <w:rPr>
                <w:sz w:val="16"/>
              </w:rPr>
              <w:t>Emissieberekening per stack + afvangrendementrapport</w:t>
            </w:r>
          </w:p>
        </w:tc>
        <w:tc>
          <w:tcPr>
            <w:tcW w:type="dxa" w:w="567"/>
          </w:tcPr>
          <w:p>
            <w:r>
              <w:rPr>
                <w:sz w:val="16"/>
              </w:rPr>
              <w:t>H</w:t>
            </w:r>
          </w:p>
        </w:tc>
        <w:tc>
          <w:tcPr>
            <w:tcW w:type="dxa" w:w="1417"/>
          </w:tcPr>
          <w:p>
            <w:r>
              <w:rPr>
                <w:sz w:val="16"/>
              </w:rPr>
              <w:t>Proces Engineer</w:t>
            </w:r>
          </w:p>
        </w:tc>
      </w:tr>
      <w:tr>
        <w:tc>
          <w:tcPr>
            <w:tcW w:type="dxa" w:w="2551"/>
            <w:shd w:fill="F0F4F8" w:val="clear"/>
          </w:tcPr>
          <w:p>
            <w:r>
              <w:rPr>
                <w:sz w:val="16"/>
              </w:rPr>
              <w:t>Waterlozingemissies berekend en vergund</w:t>
            </w:r>
          </w:p>
        </w:tc>
        <w:tc>
          <w:tcPr>
            <w:tcW w:type="dxa" w:w="1984"/>
            <w:shd w:fill="F0F4F8" w:val="clear"/>
          </w:tcPr>
          <w:p>
            <w:r>
              <w:rPr>
                <w:sz w:val="16"/>
              </w:rPr>
              <w:t>Bal, Europese Kaderrichtlijn Water</w:t>
            </w:r>
          </w:p>
        </w:tc>
        <w:tc>
          <w:tcPr>
            <w:tcW w:type="dxa" w:w="3402"/>
            <w:shd w:fill="F0F4F8" w:val="clear"/>
          </w:tcPr>
          <w:p>
            <w:r>
              <w:rPr>
                <w:sz w:val="16"/>
              </w:rPr>
              <w:t>De pilot plant produceert afvalwater met vanadium, zware metalen, sulfaten en chloriden. De lozing moet voldoen aan de vergunningsvoorwaarden: V &lt; vergunningswaarde mg/l, pH 6-9, sulfaten &lt; vergunningswaarde. De waterzuivering moet bestaan uit: neutrale buffer → vanadiumprecipitatie → pH-correctie → lozing. Een waterbalans moet alle stromen in kaart brengen [3].</w:t>
            </w:r>
          </w:p>
        </w:tc>
        <w:tc>
          <w:tcPr>
            <w:tcW w:type="dxa" w:w="1701"/>
            <w:shd w:fill="F0F4F8" w:val="clear"/>
          </w:tcPr>
          <w:p>
            <w:r>
              <w:rPr>
                <w:sz w:val="16"/>
              </w:rPr>
              <w:t>Alle lozingsparameters &lt; vergunningsgrenswaarden; waterbalans compleet</w:t>
            </w:r>
          </w:p>
        </w:tc>
        <w:tc>
          <w:tcPr>
            <w:tcW w:type="dxa" w:w="1417"/>
            <w:shd w:fill="F0F4F8" w:val="clear"/>
          </w:tcPr>
          <w:p>
            <w:r>
              <w:rPr>
                <w:sz w:val="16"/>
              </w:rPr>
              <w:t>Waterbalans + zuiveringsontwerp + lozingsvergunning</w:t>
            </w:r>
          </w:p>
        </w:tc>
        <w:tc>
          <w:tcPr>
            <w:tcW w:type="dxa" w:w="567"/>
            <w:shd w:fill="F0F4F8" w:val="clear"/>
          </w:tcPr>
          <w:p>
            <w:r>
              <w:rPr>
                <w:sz w:val="16"/>
              </w:rPr>
              <w:t>H</w:t>
            </w:r>
          </w:p>
        </w:tc>
        <w:tc>
          <w:tcPr>
            <w:tcW w:type="dxa" w:w="1417"/>
            <w:shd w:fill="F0F4F8" w:val="clear"/>
          </w:tcPr>
          <w:p>
            <w:r>
              <w:rPr>
                <w:sz w:val="16"/>
              </w:rPr>
              <w:t>Proces Engineer</w:t>
            </w:r>
          </w:p>
        </w:tc>
      </w:tr>
      <w:tr>
        <w:tc>
          <w:tcPr>
            <w:tcW w:type="dxa" w:w="2551"/>
          </w:tcPr>
          <w:p>
            <w:r>
              <w:rPr>
                <w:sz w:val="16"/>
              </w:rPr>
              <w:t>BBT (Best Beschikbare Technieken) documentatie compleet</w:t>
            </w:r>
          </w:p>
        </w:tc>
        <w:tc>
          <w:tcPr>
            <w:tcW w:type="dxa" w:w="1984"/>
          </w:tcPr>
          <w:p>
            <w:r>
              <w:rPr>
                <w:sz w:val="16"/>
              </w:rPr>
              <w:t>BREF LVIC-AAF, Bal</w:t>
            </w:r>
          </w:p>
        </w:tc>
        <w:tc>
          <w:tcPr>
            <w:tcW w:type="dxa" w:w="3402"/>
          </w:tcPr>
          <w:p>
            <w:r>
              <w:rPr>
                <w:sz w:val="16"/>
              </w:rPr>
              <w:t>De BBT-documentatie moet aantonen dat de pilot plant ontworpen is conform de Best Beschikbare Technieken zoals beschreven in het BREF-document voor Large Volume Inorganic Chemicals (LVIC). Dit omvat: emissiebeperking, energie-efficiëntie, afvalminimalisatie en waterzuivering. Afwijkingen van BBT moeten worden gemotiveerd [3].</w:t>
            </w:r>
          </w:p>
        </w:tc>
        <w:tc>
          <w:tcPr>
            <w:tcW w:type="dxa" w:w="1701"/>
          </w:tcPr>
          <w:p>
            <w:r>
              <w:rPr>
                <w:sz w:val="16"/>
              </w:rPr>
              <w:t>BBT-documentatie compleet; afwijkingen gemotiveerd</w:t>
            </w:r>
          </w:p>
        </w:tc>
        <w:tc>
          <w:tcPr>
            <w:tcW w:type="dxa" w:w="1417"/>
          </w:tcPr>
          <w:p>
            <w:r>
              <w:rPr>
                <w:sz w:val="16"/>
              </w:rPr>
              <w:t>BBT-vergelijkingsdocument</w:t>
            </w:r>
          </w:p>
        </w:tc>
        <w:tc>
          <w:tcPr>
            <w:tcW w:type="dxa" w:w="567"/>
          </w:tcPr>
          <w:p>
            <w:r>
              <w:rPr>
                <w:sz w:val="16"/>
              </w:rPr>
              <w:t>M</w:t>
            </w:r>
          </w:p>
        </w:tc>
        <w:tc>
          <w:tcPr>
            <w:tcW w:type="dxa" w:w="1417"/>
          </w:tcPr>
          <w:p>
            <w:r>
              <w:rPr>
                <w:sz w:val="16"/>
              </w:rPr>
              <w:t>HSEQ Manager</w:t>
            </w:r>
          </w:p>
        </w:tc>
      </w:tr>
      <w:tr>
        <w:tc>
          <w:tcPr>
            <w:tcW w:type="dxa" w:w="2551"/>
            <w:shd w:fill="F0F4F8" w:val="clear"/>
          </w:tcPr>
          <w:p>
            <w:r>
              <w:rPr>
                <w:sz w:val="16"/>
              </w:rPr>
              <w:t>Afvalstoffenplan opgesteld (classificatie, opslag, afvoer)</w:t>
            </w:r>
          </w:p>
        </w:tc>
        <w:tc>
          <w:tcPr>
            <w:tcW w:type="dxa" w:w="1984"/>
            <w:shd w:fill="F0F4F8" w:val="clear"/>
          </w:tcPr>
          <w:p>
            <w:r>
              <w:rPr>
                <w:sz w:val="16"/>
              </w:rPr>
              <w:t>Bal, Landelijk Afvalbeheerplan</w:t>
            </w:r>
          </w:p>
        </w:tc>
        <w:tc>
          <w:tcPr>
            <w:tcW w:type="dxa" w:w="3402"/>
            <w:shd w:fill="F0F4F8" w:val="clear"/>
          </w:tcPr>
          <w:p>
            <w:r>
              <w:rPr>
                <w:sz w:val="16"/>
              </w:rPr>
              <w:t>Alle afvalstromen van de pilot plant moeten worden geïnventariseerd en geclassificeerd: slakresten (EURAL-code), filterkoek (mogelijk gevaarlijk afval), zuurafval, metallocius slib, en bedrijfsafval. Per stroom moet de EURAL-code, het afvalbehandelingspad en de afvoerfrequentie worden vastgelegd. Gevaarlijk afval moet conform LAP3 worden afgevoerd [3].</w:t>
            </w:r>
          </w:p>
        </w:tc>
        <w:tc>
          <w:tcPr>
            <w:tcW w:type="dxa" w:w="1701"/>
            <w:shd w:fill="F0F4F8" w:val="clear"/>
          </w:tcPr>
          <w:p>
            <w:r>
              <w:rPr>
                <w:sz w:val="16"/>
              </w:rPr>
              <w:t>Afvalstoffenplan compleet; alle stromen geclassificeerd (EURAL); afvoerpaden bepaald</w:t>
            </w:r>
          </w:p>
        </w:tc>
        <w:tc>
          <w:tcPr>
            <w:tcW w:type="dxa" w:w="1417"/>
            <w:shd w:fill="F0F4F8" w:val="clear"/>
          </w:tcPr>
          <w:p>
            <w:r>
              <w:rPr>
                <w:sz w:val="16"/>
              </w:rPr>
              <w:t>Afvalstoffeninventarisatie + afvoerovereenkomsten</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Bluswater als afvalstroom geclassificeerd</w:t>
            </w:r>
          </w:p>
        </w:tc>
        <w:tc>
          <w:tcPr>
            <w:tcW w:type="dxa" w:w="1984"/>
          </w:tcPr>
          <w:p>
            <w:r>
              <w:rPr>
                <w:sz w:val="16"/>
              </w:rPr>
              <w:t>Bal, PGS 15:2025 §7</w:t>
            </w:r>
          </w:p>
        </w:tc>
        <w:tc>
          <w:tcPr>
            <w:tcW w:type="dxa" w:w="3402"/>
          </w:tcPr>
          <w:p>
            <w:r>
              <w:rPr>
                <w:sz w:val="16"/>
              </w:rPr>
              <w:t>Bluswater bij een brand in de pilot plant kan verontreinigd zijn met vanadium, zuren en andere chemicaliën. Dit water mag niet direct op het riool worden geloosd. Het moet worden opgevangen (bluswateropvangbak/retentiebekken) en als afvalstroom worden geclassificeerd. De opvangcapaciteit moet minimaal 3x het opslagvolume bedragen conform PGS 15:2025 [4][7].</w:t>
            </w:r>
          </w:p>
        </w:tc>
        <w:tc>
          <w:tcPr>
            <w:tcW w:type="dxa" w:w="1701"/>
          </w:tcPr>
          <w:p>
            <w:r>
              <w:rPr>
                <w:sz w:val="16"/>
              </w:rPr>
              <w:t>Bluswateropvang capaciteit ≥ 3x opslagvolume; classificatie als afvalstroom bepaald</w:t>
            </w:r>
          </w:p>
        </w:tc>
        <w:tc>
          <w:tcPr>
            <w:tcW w:type="dxa" w:w="1417"/>
          </w:tcPr>
          <w:p>
            <w:r>
              <w:rPr>
                <w:sz w:val="16"/>
              </w:rPr>
              <w:t>Bluswaterberekening + classificatierapport</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PFAS-vrije alternatieven gespecificeerd voor blusschuim en afdichtingen</w:t>
            </w:r>
          </w:p>
        </w:tc>
        <w:tc>
          <w:tcPr>
            <w:tcW w:type="dxa" w:w="1984"/>
            <w:shd w:fill="F0F4F8" w:val="clear"/>
          </w:tcPr>
          <w:p>
            <w:r>
              <w:rPr>
                <w:sz w:val="16"/>
              </w:rPr>
              <w:t>REACH restrictievoorstel PFAS [20]</w:t>
            </w:r>
          </w:p>
        </w:tc>
        <w:tc>
          <w:tcPr>
            <w:tcW w:type="dxa" w:w="3402"/>
            <w:shd w:fill="F0F4F8" w:val="clear"/>
          </w:tcPr>
          <w:p>
            <w:r>
              <w:rPr>
                <w:sz w:val="16"/>
              </w:rPr>
              <w:t>PFAS (per- en polyfluoralkylstoffen) worden in de EU aan banden gelegd. De pilot plant moet PFAS-vrij blusschuim specificeren (fluorvrij schuim op basis van synthetische of eiwitbasis). Ook afdichtingen en pakkingen die traditioneel PTFE bevatten moeten worden geëvalueerd op PFAS-vrije alternatieven. Dit voorkomt toekomstige vervangingskosten en compliance-risico's [20].</w:t>
            </w:r>
          </w:p>
        </w:tc>
        <w:tc>
          <w:tcPr>
            <w:tcW w:type="dxa" w:w="1701"/>
            <w:shd w:fill="F0F4F8" w:val="clear"/>
          </w:tcPr>
          <w:p>
            <w:r>
              <w:rPr>
                <w:sz w:val="16"/>
              </w:rPr>
              <w:t>Alle blusschuim-specificaties PFAS-vrij; PTFE-alternatieven geëvalueerd</w:t>
            </w:r>
          </w:p>
        </w:tc>
        <w:tc>
          <w:tcPr>
            <w:tcW w:type="dxa" w:w="1417"/>
            <w:shd w:fill="F0F4F8" w:val="clear"/>
          </w:tcPr>
          <w:p>
            <w:r>
              <w:rPr>
                <w:sz w:val="16"/>
              </w:rPr>
              <w:t>Materialsamenstellingslijst + PFAS-verklaring leveranciers</w:t>
            </w:r>
          </w:p>
        </w:tc>
        <w:tc>
          <w:tcPr>
            <w:tcW w:type="dxa" w:w="567"/>
            <w:shd w:fill="F0F4F8" w:val="clear"/>
          </w:tcPr>
          <w:p>
            <w:r>
              <w:rPr>
                <w:sz w:val="16"/>
              </w:rPr>
              <w:t>M</w:t>
            </w:r>
          </w:p>
        </w:tc>
        <w:tc>
          <w:tcPr>
            <w:tcW w:type="dxa" w:w="1417"/>
            <w:shd w:fill="F0F4F8" w:val="clear"/>
          </w:tcPr>
          <w:p>
            <w:r>
              <w:rPr>
                <w:sz w:val="16"/>
              </w:rPr>
              <w:t>HSEQ Manager</w:t>
            </w:r>
          </w:p>
        </w:tc>
      </w:tr>
      <w:tr>
        <w:tc>
          <w:tcPr>
            <w:tcW w:type="dxa" w:w="2551"/>
          </w:tcPr>
          <w:p>
            <w:r>
              <w:rPr>
                <w:sz w:val="16"/>
              </w:rPr>
              <w:t>Kadastrale grenscontrole uitgevoerd</w:t>
            </w:r>
          </w:p>
        </w:tc>
        <w:tc>
          <w:tcPr>
            <w:tcW w:type="dxa" w:w="1984"/>
          </w:tcPr>
          <w:p>
            <w:r>
              <w:rPr>
                <w:sz w:val="16"/>
              </w:rPr>
              <w:t>Kadasterwet</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L</w:t>
            </w:r>
          </w:p>
        </w:tc>
        <w:tc>
          <w:tcPr>
            <w:tcW w:type="dxa" w:w="1417"/>
          </w:tcPr>
          <w:p>
            <w:r>
              <w:rPr>
                <w:sz w:val="16"/>
              </w:rPr>
              <w:t>Project Manager</w:t>
            </w:r>
          </w:p>
        </w:tc>
      </w:tr>
      <w:tr>
        <w:tc>
          <w:tcPr>
            <w:tcW w:type="dxa" w:w="2551"/>
            <w:shd w:fill="F0F4F8" w:val="clear"/>
          </w:tcPr>
          <w:p>
            <w:r>
              <w:rPr>
                <w:sz w:val="16"/>
              </w:rPr>
              <w:t>Bestemmingsplanconformiteit gecheckt</w:t>
            </w:r>
          </w:p>
        </w:tc>
        <w:tc>
          <w:tcPr>
            <w:tcW w:type="dxa" w:w="1984"/>
            <w:shd w:fill="F0F4F8" w:val="clear"/>
          </w:tcPr>
          <w:p>
            <w:r>
              <w:rPr>
                <w:sz w:val="16"/>
              </w:rPr>
              <w:t>Wro</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Planoloog</w:t>
            </w:r>
          </w:p>
        </w:tc>
      </w:tr>
      <w:tr>
        <w:tc>
          <w:tcPr>
            <w:tcW w:type="dxa" w:w="2551"/>
          </w:tcPr>
          <w:p>
            <w:r>
              <w:rPr>
                <w:sz w:val="16"/>
              </w:rPr>
              <w:t>Communicatieplan omgeving opgesteld</w:t>
            </w:r>
          </w:p>
        </w:tc>
        <w:tc>
          <w:tcPr>
            <w:tcW w:type="dxa" w:w="1984"/>
          </w:tcPr>
          <w:p>
            <w:r>
              <w:rPr>
                <w:sz w:val="16"/>
              </w:rPr>
              <w:t>Omgevingswet</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M</w:t>
            </w:r>
          </w:p>
        </w:tc>
        <w:tc>
          <w:tcPr>
            <w:tcW w:type="dxa" w:w="1417"/>
          </w:tcPr>
          <w:p>
            <w:r>
              <w:rPr>
                <w:sz w:val="16"/>
              </w:rPr>
              <w:t>Communicatie</w:t>
            </w:r>
          </w:p>
        </w:tc>
      </w:tr>
    </w:tbl>
    <w:p/>
    <w:p>
      <w:pPr>
        <w:pStyle w:val="Heading3"/>
      </w:pPr>
      <w:r>
        <w:t>2.1.6 Procesveiligheid Gates (HAZOP/LOPA/SIL)</w:t>
      </w:r>
    </w:p>
    <w:p>
      <w:r>
        <w:t>(4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Gate 1: HAZID studie afronding — GO/NO-GO beslissing</w:t>
            </w:r>
          </w:p>
        </w:tc>
        <w:tc>
          <w:tcPr>
            <w:tcW w:type="dxa" w:w="1984"/>
          </w:tcPr>
          <w:p>
            <w:r>
              <w:rPr>
                <w:sz w:val="16"/>
              </w:rPr>
              <w:t>IEC 61511:2024, Best practice</w:t>
            </w:r>
          </w:p>
        </w:tc>
        <w:tc>
          <w:tcPr>
            <w:tcW w:type="dxa" w:w="3402"/>
          </w:tcPr>
          <w:p>
            <w:r>
              <w:rPr>
                <w:sz w:val="16"/>
              </w:rPr>
              <w:t>De HAZID (Hazard Identification) wordt uitgevoerd in de conceptfase en identificeert alle grote gevaren: toxische releases (H₂SO₄, V₂O₅), brand/explosie (waterstof), milieugevaren (vanadium in water), en externe gevaren (aardbeving, overstroming). Resultaat: gevarenregister met initiële risicobeoordeling en aanbevolen maatregelen. De HAZID moet worden gefaciliteerd door een onafhankelijke HAZOP-voorzitter [21].</w:t>
            </w:r>
          </w:p>
        </w:tc>
        <w:tc>
          <w:tcPr>
            <w:tcW w:type="dxa" w:w="1701"/>
          </w:tcPr>
          <w:p>
            <w:r>
              <w:rPr>
                <w:sz w:val="16"/>
              </w:rPr>
              <w:t>HAZID voltooid; gevarenregister compleet; GO/NO-GO formeel vastgelegd door PM + HSEQ Manager</w:t>
            </w:r>
          </w:p>
        </w:tc>
        <w:tc>
          <w:tcPr>
            <w:tcW w:type="dxa" w:w="1417"/>
          </w:tcPr>
          <w:p>
            <w:r>
              <w:rPr>
                <w:sz w:val="16"/>
              </w:rPr>
              <w:t>HAZID rapport + gevarenregister + GO/NO-GO formulier</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Gate 2: HAZOP studie afronding — GO/NO-GO beslissing</w:t>
            </w:r>
          </w:p>
        </w:tc>
        <w:tc>
          <w:tcPr>
            <w:tcW w:type="dxa" w:w="1984"/>
            <w:shd w:fill="F0F4F8" w:val="clear"/>
          </w:tcPr>
          <w:p>
            <w:r>
              <w:rPr>
                <w:sz w:val="16"/>
              </w:rPr>
              <w:t>IEC 61511:2024 §7</w:t>
            </w:r>
          </w:p>
        </w:tc>
        <w:tc>
          <w:tcPr>
            <w:tcW w:type="dxa" w:w="3402"/>
            <w:shd w:fill="F0F4F8" w:val="clear"/>
          </w:tcPr>
          <w:p>
            <w:r>
              <w:rPr>
                <w:sz w:val="16"/>
              </w:rPr>
              <w:t>De HAZOP (Hazard and Operability Study) wordt uitgevoerd in de Front End Engineering fase. Alle procesknopen (nodes) worden systematisch onderzocht op deviaties (meer/minder/geen stroom, temperatuur, druk, etc.) met behulp van guidewords. Elke deviatie leidt tot oorzaak → gevolg → maatregel. De studie moet worden uitgevoerd door een multidisciplinair team (proces, instrumentatie, mechanisch, HSEQ) onder leiding van een gecertificeerde HAZOP-voorzitter [21].</w:t>
            </w:r>
          </w:p>
        </w:tc>
        <w:tc>
          <w:tcPr>
            <w:tcW w:type="dxa" w:w="1701"/>
            <w:shd w:fill="F0F4F8" w:val="clear"/>
          </w:tcPr>
          <w:p>
            <w:r>
              <w:rPr>
                <w:sz w:val="16"/>
              </w:rPr>
              <w:t>HAZOP voltooid; alle nodes onderzocht; aanbevelingen geregistreerd; GO/NO-GO vastgelegd</w:t>
            </w:r>
          </w:p>
        </w:tc>
        <w:tc>
          <w:tcPr>
            <w:tcW w:type="dxa" w:w="1417"/>
            <w:shd w:fill="F0F4F8" w:val="clear"/>
          </w:tcPr>
          <w:p>
            <w:r>
              <w:rPr>
                <w:sz w:val="16"/>
              </w:rPr>
              <w:t>HAZOP rapport + actie-itemlijst</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Gate 3: LOPA + SIL-classificatie — GO/NO-GO beslissing</w:t>
            </w:r>
          </w:p>
        </w:tc>
        <w:tc>
          <w:tcPr>
            <w:tcW w:type="dxa" w:w="1984"/>
          </w:tcPr>
          <w:p>
            <w:r>
              <w:rPr>
                <w:sz w:val="16"/>
              </w:rPr>
              <w:t>IEC 61511:2024 §8-§9</w:t>
            </w:r>
          </w:p>
        </w:tc>
        <w:tc>
          <w:tcPr>
            <w:tcW w:type="dxa" w:w="3402"/>
          </w:tcPr>
          <w:p>
            <w:r>
              <w:rPr>
                <w:sz w:val="16"/>
              </w:rPr>
              <w:t>De Layer of Protection Analysis (LOPA) kwantificeert de risico's uit de HAZOP en bepaalt of bestaande beveiligingslagen (BPCS, alarms, fysieke beveiliging) voldoende zijn. Indien niet: een Safety Instrumented Function (SIF) met een SIL-doel (1, 2, of 3) wordt vereist. De SIL-classificatie wordt vastgelegd in een SIL-target matrix. SIF's moeten worden ontworpen conform IEC 61511:2024 met gespecificeerde PFD (Probability of Failure on Demand) [21].</w:t>
            </w:r>
          </w:p>
        </w:tc>
        <w:tc>
          <w:tcPr>
            <w:tcW w:type="dxa" w:w="1701"/>
          </w:tcPr>
          <w:p>
            <w:r>
              <w:rPr>
                <w:sz w:val="16"/>
              </w:rPr>
              <w:t>LOPA voltooid; SIL-targets bepaald per SIF; PFD berekend; GO/NO-GO vastgelegd</w:t>
            </w:r>
          </w:p>
        </w:tc>
        <w:tc>
          <w:tcPr>
            <w:tcW w:type="dxa" w:w="1417"/>
          </w:tcPr>
          <w:p>
            <w:r>
              <w:rPr>
                <w:sz w:val="16"/>
              </w:rPr>
              <w:t>LOPA rapport + SIL-target matrix + SIF specificaties</w:t>
            </w:r>
          </w:p>
        </w:tc>
        <w:tc>
          <w:tcPr>
            <w:tcW w:type="dxa" w:w="567"/>
          </w:tcPr>
          <w:p>
            <w:r>
              <w:rPr>
                <w:sz w:val="16"/>
              </w:rPr>
              <w:t>H</w:t>
            </w:r>
          </w:p>
        </w:tc>
        <w:tc>
          <w:tcPr>
            <w:tcW w:type="dxa" w:w="1417"/>
          </w:tcPr>
          <w:p>
            <w:r>
              <w:rPr>
                <w:sz w:val="16"/>
              </w:rPr>
              <w:t>Proces Engineer</w:t>
            </w:r>
          </w:p>
        </w:tc>
      </w:tr>
      <w:tr>
        <w:tc>
          <w:tcPr>
            <w:tcW w:type="dxa" w:w="2551"/>
            <w:shd w:fill="F0F4F8" w:val="clear"/>
          </w:tcPr>
          <w:p>
            <w:r>
              <w:rPr>
                <w:sz w:val="16"/>
              </w:rPr>
              <w:t>Gate 4: PSSR #1 (Pre-Startup Safety Review) ontwerp review</w:t>
            </w:r>
          </w:p>
        </w:tc>
        <w:tc>
          <w:tcPr>
            <w:tcW w:type="dxa" w:w="1984"/>
            <w:shd w:fill="F0F4F8" w:val="clear"/>
          </w:tcPr>
          <w:p>
            <w:r>
              <w:rPr>
                <w:sz w:val="16"/>
              </w:rPr>
              <w:t>IEC 61511:2024 §15, OSHA PSM</w:t>
            </w:r>
          </w:p>
        </w:tc>
        <w:tc>
          <w:tcPr>
            <w:tcW w:type="dxa" w:w="3402"/>
            <w:shd w:fill="F0F4F8" w:val="clear"/>
          </w:tcPr>
          <w:p>
            <w:r>
              <w:rPr>
                <w:sz w:val="16"/>
              </w:rPr>
              <w:t>De PSSR #1 wordt uitgevoerd na afronding van het detailontwerp, vóór de bouw start. De review toetst: alle HAZOP/LOPA-aanbevelingen zijn verwerkt in het ontwerp, veiligheidsinformatiebladen compleet, ontwerpafwijkingen gemotiveerd en goedgekeurd, en constructie-veiligheidsplan beschikbaar. De PSSR #1 is een formele GO/NO-GO voor de bouwfase [21].</w:t>
            </w:r>
          </w:p>
        </w:tc>
        <w:tc>
          <w:tcPr>
            <w:tcW w:type="dxa" w:w="1701"/>
            <w:shd w:fill="F0F4F8" w:val="clear"/>
          </w:tcPr>
          <w:p>
            <w:r>
              <w:rPr>
                <w:sz w:val="16"/>
              </w:rPr>
              <w:t>PSSR #1 voltooid; alle aanbevelingen verwerkt; afwijkingen goedgekeurd; GO vastgelegd</w:t>
            </w:r>
          </w:p>
        </w:tc>
        <w:tc>
          <w:tcPr>
            <w:tcW w:type="dxa" w:w="1417"/>
            <w:shd w:fill="F0F4F8" w:val="clear"/>
          </w:tcPr>
          <w:p>
            <w:r>
              <w:rPr>
                <w:sz w:val="16"/>
              </w:rPr>
              <w:t>PSSR #1 rapport + checklist</w:t>
            </w:r>
          </w:p>
        </w:tc>
        <w:tc>
          <w:tcPr>
            <w:tcW w:type="dxa" w:w="567"/>
            <w:shd w:fill="F0F4F8" w:val="clear"/>
          </w:tcPr>
          <w:p>
            <w:r>
              <w:rPr>
                <w:sz w:val="16"/>
              </w:rPr>
              <w:t>H</w:t>
            </w:r>
          </w:p>
        </w:tc>
        <w:tc>
          <w:tcPr>
            <w:tcW w:type="dxa" w:w="1417"/>
            <w:shd w:fill="F0F4F8" w:val="clear"/>
          </w:tcPr>
          <w:p>
            <w:r>
              <w:rPr>
                <w:sz w:val="16"/>
              </w:rPr>
              <w:t>Plant Manager</w:t>
            </w:r>
          </w:p>
        </w:tc>
      </w:tr>
    </w:tbl>
    <w:p/>
    <w:p>
      <w:pPr>
        <w:pStyle w:val="Heading3"/>
      </w:pPr>
      <w:r>
        <w:t>2.1.7 Degradatie &amp; Corrosie</w:t>
      </w:r>
    </w:p>
    <w:p>
      <w:r>
        <w:t>(4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Materiaalselectie-studie uitgevoerd (NACE MR0175/ISO 21462)</w:t>
            </w:r>
          </w:p>
        </w:tc>
        <w:tc>
          <w:tcPr>
            <w:tcW w:type="dxa" w:w="1984"/>
          </w:tcPr>
          <w:p>
            <w:r>
              <w:rPr>
                <w:sz w:val="16"/>
              </w:rPr>
              <w:t>NACE MR0175 / ISO 21462, ASME B31.3</w:t>
            </w:r>
          </w:p>
        </w:tc>
        <w:tc>
          <w:tcPr>
            <w:tcW w:type="dxa" w:w="3402"/>
          </w:tcPr>
          <w:p>
            <w:r>
              <w:rPr>
                <w:sz w:val="16"/>
              </w:rPr>
              <w:t>Het hydrometallurgische proces is extreem corrosief: H₂SO₄ (tot 98%), HCl (tot 37%), en V₂O₅-oplossingen bij verhoogde temperaturen. De materiaalselectie-studie moet per medium de optimale materiaalkeuze bepalen: PP/FRP voor verdunde zuren, duplex roestvrijstaal (2205/2507) voor geconcentreerde zuren bij hoge temperatuur, PTFE-bekeleding voor de meest agressieve omstandigheden. Legeringskosten versus levensduur moeten worden afgewogen [23].</w:t>
            </w:r>
          </w:p>
        </w:tc>
        <w:tc>
          <w:tcPr>
            <w:tcW w:type="dxa" w:w="1701"/>
          </w:tcPr>
          <w:p>
            <w:r>
              <w:rPr>
                <w:sz w:val="16"/>
              </w:rPr>
              <w:t>Materiaalselectie per medium gedocumenteerd; beheersing bij alle procescondities</w:t>
            </w:r>
          </w:p>
        </w:tc>
        <w:tc>
          <w:tcPr>
            <w:tcW w:type="dxa" w:w="1417"/>
          </w:tcPr>
          <w:p>
            <w:r>
              <w:rPr>
                <w:sz w:val="16"/>
              </w:rPr>
              <w:t>Materiaalselectie-rapport + corrosietabellen</w:t>
            </w:r>
          </w:p>
        </w:tc>
        <w:tc>
          <w:tcPr>
            <w:tcW w:type="dxa" w:w="567"/>
          </w:tcPr>
          <w:p>
            <w:r>
              <w:rPr>
                <w:sz w:val="16"/>
              </w:rPr>
              <w:t>H</w:t>
            </w:r>
          </w:p>
        </w:tc>
        <w:tc>
          <w:tcPr>
            <w:tcW w:type="dxa" w:w="1417"/>
          </w:tcPr>
          <w:p>
            <w:r>
              <w:rPr>
                <w:sz w:val="16"/>
              </w:rPr>
              <w:t>Materials Engineer</w:t>
            </w:r>
          </w:p>
        </w:tc>
      </w:tr>
      <w:tr>
        <w:tc>
          <w:tcPr>
            <w:tcW w:type="dxa" w:w="2551"/>
            <w:shd w:fill="F0F4F8" w:val="clear"/>
          </w:tcPr>
          <w:p>
            <w:r>
              <w:rPr>
                <w:sz w:val="16"/>
              </w:rPr>
              <w:t>Corrosiestudie hydrometallurgisch proces uitgevoerd</w:t>
            </w:r>
          </w:p>
        </w:tc>
        <w:tc>
          <w:tcPr>
            <w:tcW w:type="dxa" w:w="1984"/>
            <w:shd w:fill="F0F4F8" w:val="clear"/>
          </w:tcPr>
          <w:p>
            <w:r>
              <w:rPr>
                <w:sz w:val="16"/>
              </w:rPr>
              <w:t>API 570, NACE SP0169</w:t>
            </w:r>
          </w:p>
        </w:tc>
        <w:tc>
          <w:tcPr>
            <w:tcW w:type="dxa" w:w="3402"/>
            <w:shd w:fill="F0F4F8" w:val="clear"/>
          </w:tcPr>
          <w:p>
            <w:r>
              <w:rPr>
                <w:sz w:val="16"/>
              </w:rPr>
              <w:t>De corrosiestudie moet de verwachte corrosiesnelheden (mm/jaar) bepalen voor alle materiaal/medium-combinaties: carbon steel in zure omgeving (holle correktie), RVS in chloride-houdende oplossingen (pitting/scheurcorrosie), en lasverbindingen (galvanische corrosie). De studie moet rekening houden met procescondities (temperatuur, concentratie, stroomsnelheid) en upset-scenario's [23].</w:t>
            </w:r>
          </w:p>
        </w:tc>
        <w:tc>
          <w:tcPr>
            <w:tcW w:type="dxa" w:w="1701"/>
            <w:shd w:fill="F0F4F8" w:val="clear"/>
          </w:tcPr>
          <w:p>
            <w:r>
              <w:rPr>
                <w:sz w:val="16"/>
              </w:rPr>
              <w:t>Corrosiesnelheden bepaald per combinatie; ≤ acceptabele limiet; inspectie-interval afgeleid</w:t>
            </w:r>
          </w:p>
        </w:tc>
        <w:tc>
          <w:tcPr>
            <w:tcW w:type="dxa" w:w="1417"/>
            <w:shd w:fill="F0F4F8" w:val="clear"/>
          </w:tcPr>
          <w:p>
            <w:r>
              <w:rPr>
                <w:sz w:val="16"/>
              </w:rPr>
              <w:t>Corrosiestudie rapport + inspectie-intervallentabel</w:t>
            </w:r>
          </w:p>
        </w:tc>
        <w:tc>
          <w:tcPr>
            <w:tcW w:type="dxa" w:w="567"/>
            <w:shd w:fill="F0F4F8" w:val="clear"/>
          </w:tcPr>
          <w:p>
            <w:r>
              <w:rPr>
                <w:sz w:val="16"/>
              </w:rPr>
              <w:t>H</w:t>
            </w:r>
          </w:p>
        </w:tc>
        <w:tc>
          <w:tcPr>
            <w:tcW w:type="dxa" w:w="1417"/>
            <w:shd w:fill="F0F4F8" w:val="clear"/>
          </w:tcPr>
          <w:p>
            <w:r>
              <w:rPr>
                <w:sz w:val="16"/>
              </w:rPr>
              <w:t>Materials Engineer</w:t>
            </w:r>
          </w:p>
        </w:tc>
      </w:tr>
      <w:tr>
        <w:tc>
          <w:tcPr>
            <w:tcW w:type="dxa" w:w="2551"/>
          </w:tcPr>
          <w:p>
            <w:r>
              <w:rPr>
                <w:sz w:val="16"/>
              </w:rPr>
              <w:t>CUI (Corrosion Under Insulation) inspectieprogramma ontworpen</w:t>
            </w:r>
          </w:p>
        </w:tc>
        <w:tc>
          <w:tcPr>
            <w:tcW w:type="dxa" w:w="1984"/>
          </w:tcPr>
          <w:p>
            <w:r>
              <w:rPr>
                <w:sz w:val="16"/>
              </w:rPr>
              <w:t>API 570, NACE SP0198</w:t>
            </w:r>
          </w:p>
        </w:tc>
        <w:tc>
          <w:tcPr>
            <w:tcW w:type="dxa" w:w="3402"/>
          </w:tcPr>
          <w:p>
            <w:r>
              <w:rPr>
                <w:sz w:val="16"/>
              </w:rPr>
              <w:t>Leidingen en apparaten die zijn geïsoleerd (temperatuurbeheersing) zijn gevoelig voor corrosie onder isolatie (CUI). Water infiltreert onder de isolatie en veroorzaakt versnelde corrosie. Het CUI-programma moet definiëren: inspectiemethode (röntgen/ultrasoon van buitenaf), inspectiefrequentie (3-5 jaar), risicogebieden (flanges, steunen, laagste punten), en preventieve coating [23].</w:t>
            </w:r>
          </w:p>
        </w:tc>
        <w:tc>
          <w:tcPr>
            <w:tcW w:type="dxa" w:w="1701"/>
          </w:tcPr>
          <w:p>
            <w:r>
              <w:rPr>
                <w:sz w:val="16"/>
              </w:rPr>
              <w:t>CUI-programma compleet; risicogebieden geïdentificeerd; inspectie-interval bepaald</w:t>
            </w:r>
          </w:p>
        </w:tc>
        <w:tc>
          <w:tcPr>
            <w:tcW w:type="dxa" w:w="1417"/>
          </w:tcPr>
          <w:p>
            <w:r>
              <w:rPr>
                <w:sz w:val="16"/>
              </w:rPr>
              <w:t>CUI inspectieprogramma + risicokaart</w:t>
            </w:r>
          </w:p>
        </w:tc>
        <w:tc>
          <w:tcPr>
            <w:tcW w:type="dxa" w:w="567"/>
          </w:tcPr>
          <w:p>
            <w:r>
              <w:rPr>
                <w:sz w:val="16"/>
              </w:rPr>
              <w:t>M</w:t>
            </w:r>
          </w:p>
        </w:tc>
        <w:tc>
          <w:tcPr>
            <w:tcW w:type="dxa" w:w="1417"/>
          </w:tcPr>
          <w:p>
            <w:r>
              <w:rPr>
                <w:sz w:val="16"/>
              </w:rPr>
              <w:t>Inspection Engineer</w:t>
            </w:r>
          </w:p>
        </w:tc>
      </w:tr>
      <w:tr>
        <w:tc>
          <w:tcPr>
            <w:tcW w:type="dxa" w:w="2551"/>
            <w:shd w:fill="F0F4F8" w:val="clear"/>
          </w:tcPr>
          <w:p>
            <w:r>
              <w:rPr>
                <w:sz w:val="16"/>
              </w:rPr>
              <w:t>Proefstukken (coupons) geplaatst voor corrosiemonitoring</w:t>
            </w:r>
          </w:p>
        </w:tc>
        <w:tc>
          <w:tcPr>
            <w:tcW w:type="dxa" w:w="1984"/>
            <w:shd w:fill="F0F4F8" w:val="clear"/>
          </w:tcPr>
          <w:p>
            <w:r>
              <w:rPr>
                <w:sz w:val="16"/>
              </w:rPr>
              <w:t>NACE RP0775, Best practice</w:t>
            </w:r>
          </w:p>
        </w:tc>
        <w:tc>
          <w:tcPr>
            <w:tcW w:type="dxa" w:w="3402"/>
            <w:shd w:fill="F0F4F8" w:val="clear"/>
          </w:tcPr>
          <w:p>
            <w:r>
              <w:rPr>
                <w:sz w:val="16"/>
              </w:rPr>
              <w:t>Corrosie-coupons (proefstukken van hetzelfde materiaal) worden in kritieke leidingen geplaatst om de werkelijke corrosiesnelheid te meten. Coupons worden periodiek (elke 3-6 maanden) verwijderd, gewogen en geanalyseerd. Dit geeft een directe meting van de corrosie die in het proces plaatsvindt, onafhankelijk van theoretische modellen [23].</w:t>
            </w:r>
          </w:p>
        </w:tc>
        <w:tc>
          <w:tcPr>
            <w:tcW w:type="dxa" w:w="1701"/>
            <w:shd w:fill="F0F4F8" w:val="clear"/>
          </w:tcPr>
          <w:p>
            <w:r>
              <w:rPr>
                <w:sz w:val="16"/>
              </w:rPr>
              <w:t>Coupons geplaatst op alle kritieke locaties; meetinterval 3-6 maanden; data logging actief</w:t>
            </w:r>
          </w:p>
        </w:tc>
        <w:tc>
          <w:tcPr>
            <w:tcW w:type="dxa" w:w="1417"/>
            <w:shd w:fill="F0F4F8" w:val="clear"/>
          </w:tcPr>
          <w:p>
            <w:r>
              <w:rPr>
                <w:sz w:val="16"/>
              </w:rPr>
              <w:t>Coupon-plaatsingsschema + analyseprotocol</w:t>
            </w:r>
          </w:p>
        </w:tc>
        <w:tc>
          <w:tcPr>
            <w:tcW w:type="dxa" w:w="567"/>
            <w:shd w:fill="F0F4F8" w:val="clear"/>
          </w:tcPr>
          <w:p>
            <w:r>
              <w:rPr>
                <w:sz w:val="16"/>
              </w:rPr>
              <w:t>L</w:t>
            </w:r>
          </w:p>
        </w:tc>
        <w:tc>
          <w:tcPr>
            <w:tcW w:type="dxa" w:w="1417"/>
            <w:shd w:fill="F0F4F8" w:val="clear"/>
          </w:tcPr>
          <w:p>
            <w:r>
              <w:rPr>
                <w:sz w:val="16"/>
              </w:rPr>
              <w:t>Inspection Engineer</w:t>
            </w:r>
          </w:p>
        </w:tc>
      </w:tr>
    </w:tbl>
    <w:p/>
    <w:p>
      <w:pPr>
        <w:pStyle w:val="Heading3"/>
      </w:pPr>
      <w:r>
        <w:t>2.1.8 Onderhoudbaarheid &amp; Ergonomie (3D Reviews)</w:t>
      </w:r>
    </w:p>
    <w:p>
      <w:r>
        <w:t>(4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3D-model review 30% (concept): onderhoudsruimte en hijsvoorzieningen</w:t>
            </w:r>
          </w:p>
        </w:tc>
        <w:tc>
          <w:tcPr>
            <w:tcW w:type="dxa" w:w="1984"/>
          </w:tcPr>
          <w:p>
            <w:r>
              <w:rPr>
                <w:sz w:val="16"/>
              </w:rPr>
              <w:t>Arbowet, Arbobesluit, Best practice</w:t>
            </w:r>
          </w:p>
        </w:tc>
        <w:tc>
          <w:tcPr>
            <w:tcW w:type="dxa" w:w="3402"/>
          </w:tcPr>
          <w:p>
            <w:r>
              <w:rPr>
                <w:sz w:val="16"/>
              </w:rPr>
              <w:t>Op 30% ontwerpstadium wordt de 3D-model review uitgevoerd met focus op: voldoende ruimte rond apparaten voor onderhoud (minimaal 1,0 m rondom), hijsogen boven zware componenten, bereikbaarheid van afsluiters en instrumenten, en voldoende hoofdruimte (&gt; 2,1 m). Bevindingen worden vastgelegd in een review-rapport met actie-items [1].</w:t>
            </w:r>
          </w:p>
        </w:tc>
        <w:tc>
          <w:tcPr>
            <w:tcW w:type="dxa" w:w="1701"/>
          </w:tcPr>
          <w:p>
            <w:r>
              <w:rPr>
                <w:sz w:val="16"/>
              </w:rPr>
              <w:t>30% review voltooid; alle actie-items geregistreerd en toegewezen</w:t>
            </w:r>
          </w:p>
        </w:tc>
        <w:tc>
          <w:tcPr>
            <w:tcW w:type="dxa" w:w="1417"/>
          </w:tcPr>
          <w:p>
            <w:r>
              <w:rPr>
                <w:sz w:val="16"/>
              </w:rPr>
              <w:t>3D-model review rapport (30%)</w:t>
            </w:r>
          </w:p>
        </w:tc>
        <w:tc>
          <w:tcPr>
            <w:tcW w:type="dxa" w:w="567"/>
          </w:tcPr>
          <w:p>
            <w:r>
              <w:rPr>
                <w:sz w:val="16"/>
              </w:rPr>
              <w:t>H</w:t>
            </w:r>
          </w:p>
        </w:tc>
        <w:tc>
          <w:tcPr>
            <w:tcW w:type="dxa" w:w="1417"/>
          </w:tcPr>
          <w:p>
            <w:r>
              <w:rPr>
                <w:sz w:val="16"/>
              </w:rPr>
              <w:t>Project Engineer</w:t>
            </w:r>
          </w:p>
        </w:tc>
      </w:tr>
      <w:tr>
        <w:tc>
          <w:tcPr>
            <w:tcW w:type="dxa" w:w="2551"/>
            <w:shd w:fill="F0F4F8" w:val="clear"/>
          </w:tcPr>
          <w:p>
            <w:r>
              <w:rPr>
                <w:sz w:val="16"/>
              </w:rPr>
              <w:t>3D-model review 60% (detail): afsluiterbereikbaarheid en ergonomie</w:t>
            </w:r>
          </w:p>
        </w:tc>
        <w:tc>
          <w:tcPr>
            <w:tcW w:type="dxa" w:w="1984"/>
            <w:shd w:fill="F0F4F8" w:val="clear"/>
          </w:tcPr>
          <w:p>
            <w:r>
              <w:rPr>
                <w:sz w:val="16"/>
              </w:rPr>
              <w:t>Arbowet, Arbobesluit art. 3.2</w:t>
            </w:r>
          </w:p>
        </w:tc>
        <w:tc>
          <w:tcPr>
            <w:tcW w:type="dxa" w:w="3402"/>
            <w:shd w:fill="F0F4F8" w:val="clear"/>
          </w:tcPr>
          <w:p>
            <w:r>
              <w:rPr>
                <w:sz w:val="16"/>
              </w:rPr>
              <w:t>Op 60% ontwerpstadium wordt specifiek gecontroleerd: alle afsluiters bereikbaar (maximaal 2,1 m hoogte, of via platform), handbediende afsluiters op ergonomische hoogte (70-120 cm), krukafsluiters met voldoende zwaai ruimte, en veilige looproutes (minimaal 0,8 m breed, 2,1 m vrij hoogte). Platformen bij hoge locaties met Treeplanken en leuningen [1].</w:t>
            </w:r>
          </w:p>
        </w:tc>
        <w:tc>
          <w:tcPr>
            <w:tcW w:type="dxa" w:w="1701"/>
            <w:shd w:fill="F0F4F8" w:val="clear"/>
          </w:tcPr>
          <w:p>
            <w:r>
              <w:rPr>
                <w:sz w:val="16"/>
              </w:rPr>
              <w:t>60% review voltooid; alle afsluiters bereikbaar; looproutes voldoen aan norm</w:t>
            </w:r>
          </w:p>
        </w:tc>
        <w:tc>
          <w:tcPr>
            <w:tcW w:type="dxa" w:w="1417"/>
            <w:shd w:fill="F0F4F8" w:val="clear"/>
          </w:tcPr>
          <w:p>
            <w:r>
              <w:rPr>
                <w:sz w:val="16"/>
              </w:rPr>
              <w:t>3D-model review rapport (60%)</w:t>
            </w:r>
          </w:p>
        </w:tc>
        <w:tc>
          <w:tcPr>
            <w:tcW w:type="dxa" w:w="567"/>
            <w:shd w:fill="F0F4F8" w:val="clear"/>
          </w:tcPr>
          <w:p>
            <w:r>
              <w:rPr>
                <w:sz w:val="16"/>
              </w:rPr>
              <w:t>H</w:t>
            </w:r>
          </w:p>
        </w:tc>
        <w:tc>
          <w:tcPr>
            <w:tcW w:type="dxa" w:w="1417"/>
            <w:shd w:fill="F0F4F8" w:val="clear"/>
          </w:tcPr>
          <w:p>
            <w:r>
              <w:rPr>
                <w:sz w:val="16"/>
              </w:rPr>
              <w:t>Project Engineer</w:t>
            </w:r>
          </w:p>
        </w:tc>
      </w:tr>
      <w:tr>
        <w:tc>
          <w:tcPr>
            <w:tcW w:type="dxa" w:w="2551"/>
          </w:tcPr>
          <w:p>
            <w:r>
              <w:rPr>
                <w:sz w:val="16"/>
              </w:rPr>
              <w:t>3D-model review 90% (constructie): finale check hijs en toegankelijkheid</w:t>
            </w:r>
          </w:p>
        </w:tc>
        <w:tc>
          <w:tcPr>
            <w:tcW w:type="dxa" w:w="1984"/>
          </w:tcPr>
          <w:p>
            <w:r>
              <w:rPr>
                <w:sz w:val="16"/>
              </w:rPr>
              <w:t>Arbowet, Arbobesluit</w:t>
            </w:r>
          </w:p>
        </w:tc>
        <w:tc>
          <w:tcPr>
            <w:tcW w:type="dxa" w:w="3402"/>
          </w:tcPr>
          <w:p>
            <w:r>
              <w:rPr>
                <w:sz w:val="16"/>
              </w:rPr>
              <w:t>De finale 3D-model review op 90% controleert: hijs- en tillplan compleet (brugkranen, hijsogen, takelponen), evacuatieroutes (minimaal 2 onafhankelijke routes per zone), brandblustoestellen bereikbaar, en veilige toegang tot alle werkplekken. Constructieve wijzigingen na 90% zijn kostbaar — dit is de laatste formele review [1].</w:t>
            </w:r>
          </w:p>
        </w:tc>
        <w:tc>
          <w:tcPr>
            <w:tcW w:type="dxa" w:w="1701"/>
          </w:tcPr>
          <w:p>
            <w:r>
              <w:rPr>
                <w:sz w:val="16"/>
              </w:rPr>
              <w:t>90% review voltooid; hijsplan definitief; evacuatieroutes geverifieerd; 0 open kritieke items</w:t>
            </w:r>
          </w:p>
        </w:tc>
        <w:tc>
          <w:tcPr>
            <w:tcW w:type="dxa" w:w="1417"/>
          </w:tcPr>
          <w:p>
            <w:r>
              <w:rPr>
                <w:sz w:val="16"/>
              </w:rPr>
              <w:t>3D-model review rapport (90%) + hijsplan</w:t>
            </w:r>
          </w:p>
        </w:tc>
        <w:tc>
          <w:tcPr>
            <w:tcW w:type="dxa" w:w="567"/>
          </w:tcPr>
          <w:p>
            <w:r>
              <w:rPr>
                <w:sz w:val="16"/>
              </w:rPr>
              <w:t>H</w:t>
            </w:r>
          </w:p>
        </w:tc>
        <w:tc>
          <w:tcPr>
            <w:tcW w:type="dxa" w:w="1417"/>
          </w:tcPr>
          <w:p>
            <w:r>
              <w:rPr>
                <w:sz w:val="16"/>
              </w:rPr>
              <w:t>Project Engineer</w:t>
            </w:r>
          </w:p>
        </w:tc>
      </w:tr>
      <w:tr>
        <w:tc>
          <w:tcPr>
            <w:tcW w:type="dxa" w:w="2551"/>
            <w:shd w:fill="F0F4F8" w:val="clear"/>
          </w:tcPr>
          <w:p>
            <w:r>
              <w:rPr>
                <w:sz w:val="16"/>
              </w:rPr>
              <w:t>Hijs- en tillplan: hijsogen, takelponen, brugkraan capaciteit</w:t>
            </w:r>
          </w:p>
        </w:tc>
        <w:tc>
          <w:tcPr>
            <w:tcW w:type="dxa" w:w="1984"/>
            <w:shd w:fill="F0F4F8" w:val="clear"/>
          </w:tcPr>
          <w:p>
            <w:r>
              <w:rPr>
                <w:sz w:val="16"/>
              </w:rPr>
              <w:t>Arbobesluit art. 5.1, NEN-EN 13155</w:t>
            </w:r>
          </w:p>
        </w:tc>
        <w:tc>
          <w:tcPr>
            <w:tcW w:type="dxa" w:w="3402"/>
            <w:shd w:fill="F0F4F8" w:val="clear"/>
          </w:tcPr>
          <w:p>
            <w:r>
              <w:rPr>
                <w:sz w:val="16"/>
              </w:rPr>
              <w:t>Het hijs- en tillplan specificeert per locatie: het te tillen gewicht, het hijsmiddel (brugkraan, katrol, takel), de capaciteit (met 25% veiligheidsmarge), en de hijsroute. Brugkranen moeten periodiek worden gekeurd (jaarlijks conform NEN-EN 13155). Alle hijsogen moeten worden berekend en gecertificeerd. Alternatief: montagevlonders voor zware componenten [1].</w:t>
            </w:r>
          </w:p>
        </w:tc>
        <w:tc>
          <w:tcPr>
            <w:tcW w:type="dxa" w:w="1701"/>
            <w:shd w:fill="F0F4F8" w:val="clear"/>
          </w:tcPr>
          <w:p>
            <w:r>
              <w:rPr>
                <w:sz w:val="16"/>
              </w:rPr>
              <w:t>Hijsplan compleet per locatie; alle hijsmiddelen gecertificeerd; veiligheidsmarge ≥ 25%</w:t>
            </w:r>
          </w:p>
        </w:tc>
        <w:tc>
          <w:tcPr>
            <w:tcW w:type="dxa" w:w="1417"/>
            <w:shd w:fill="F0F4F8" w:val="clear"/>
          </w:tcPr>
          <w:p>
            <w:r>
              <w:rPr>
                <w:sz w:val="16"/>
              </w:rPr>
              <w:t>Hijs- en tillplan + keuringscertificaten</w:t>
            </w:r>
          </w:p>
        </w:tc>
        <w:tc>
          <w:tcPr>
            <w:tcW w:type="dxa" w:w="567"/>
            <w:shd w:fill="F0F4F8" w:val="clear"/>
          </w:tcPr>
          <w:p>
            <w:r>
              <w:rPr>
                <w:sz w:val="16"/>
              </w:rPr>
              <w:t>H</w:t>
            </w:r>
          </w:p>
        </w:tc>
        <w:tc>
          <w:tcPr>
            <w:tcW w:type="dxa" w:w="1417"/>
            <w:shd w:fill="F0F4F8" w:val="clear"/>
          </w:tcPr>
          <w:p>
            <w:r>
              <w:rPr>
                <w:sz w:val="16"/>
              </w:rPr>
              <w:t>Project Engineer</w:t>
            </w:r>
          </w:p>
        </w:tc>
      </w:tr>
    </w:tbl>
    <w:p/>
    <w:p>
      <w:pPr>
        <w:pStyle w:val="Heading3"/>
      </w:pPr>
      <w:r>
        <w:t>2.1.9 PGS 15:2025 Opslag</w:t>
      </w:r>
    </w:p>
    <w:p>
      <w:r>
        <w:t>(5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Opslagstructuur conform PGS 15:2025 ontworpen</w:t>
            </w:r>
          </w:p>
        </w:tc>
        <w:tc>
          <w:tcPr>
            <w:tcW w:type="dxa" w:w="1984"/>
          </w:tcPr>
          <w:p>
            <w:r>
              <w:rPr>
                <w:sz w:val="16"/>
              </w:rPr>
              <w:t>PGS 15:2025 §3-§4 (definitief 11 maart 2025)</w:t>
            </w:r>
          </w:p>
        </w:tc>
        <w:tc>
          <w:tcPr>
            <w:tcW w:type="dxa" w:w="3402"/>
          </w:tcPr>
          <w:p>
            <w:r>
              <w:rPr>
                <w:sz w:val="16"/>
              </w:rPr>
              <w:t>De opslag van verpakte gevaarlijke stoffen (H₂SO₄, HCl, NaOH, eventueel H₂O₂) moet conform PGS 15:2025 worden ontworpen. Dit omvat: brandwerende scheiding tussen opslagcompartimenten (minimaal REI 60), vloerafwerking met vloeistofdichte oppervlakte, lekdetectie en opvangbakken met capaciteit ≥ 110% van het grootste vat. De definitieve versie van PGS 15:2025 is gepubliceerd op 11 maart 2025 [4].</w:t>
            </w:r>
          </w:p>
        </w:tc>
        <w:tc>
          <w:tcPr>
            <w:tcW w:type="dxa" w:w="1701"/>
          </w:tcPr>
          <w:p>
            <w:r>
              <w:rPr>
                <w:sz w:val="16"/>
              </w:rPr>
              <w:t>Opslagontwerp conform PGS 15:2025; brandwerendheid REI 60; opvangcapaciteit ≥ 110%</w:t>
            </w:r>
          </w:p>
        </w:tc>
        <w:tc>
          <w:tcPr>
            <w:tcW w:type="dxa" w:w="1417"/>
          </w:tcPr>
          <w:p>
            <w:r>
              <w:rPr>
                <w:sz w:val="16"/>
              </w:rPr>
              <w:t>Opslagtekening + PGS 15 conformiteitsverklaring</w:t>
            </w:r>
          </w:p>
        </w:tc>
        <w:tc>
          <w:tcPr>
            <w:tcW w:type="dxa" w:w="567"/>
          </w:tcPr>
          <w:p>
            <w:r>
              <w:rPr>
                <w:sz w:val="16"/>
              </w:rPr>
              <w:t>H</w:t>
            </w:r>
          </w:p>
        </w:tc>
        <w:tc>
          <w:tcPr>
            <w:tcW w:type="dxa" w:w="1417"/>
          </w:tcPr>
          <w:p>
            <w:r>
              <w:rPr>
                <w:sz w:val="16"/>
              </w:rPr>
              <w:t>Project Engineer</w:t>
            </w:r>
          </w:p>
        </w:tc>
      </w:tr>
      <w:tr>
        <w:tc>
          <w:tcPr>
            <w:tcW w:type="dxa" w:w="2551"/>
            <w:shd w:fill="F0F4F8" w:val="clear"/>
          </w:tcPr>
          <w:p>
            <w:r>
              <w:rPr>
                <w:sz w:val="16"/>
              </w:rPr>
              <w:t>Ventilatie opslagruimte gedimensioneerd</w:t>
            </w:r>
          </w:p>
        </w:tc>
        <w:tc>
          <w:tcPr>
            <w:tcW w:type="dxa" w:w="1984"/>
            <w:shd w:fill="F0F4F8" w:val="clear"/>
          </w:tcPr>
          <w:p>
            <w:r>
              <w:rPr>
                <w:sz w:val="16"/>
              </w:rPr>
              <w:t>PGS 15:2025 §5</w:t>
            </w:r>
          </w:p>
        </w:tc>
        <w:tc>
          <w:tcPr>
            <w:tcW w:type="dxa" w:w="3402"/>
            <w:shd w:fill="F0F4F8" w:val="clear"/>
          </w:tcPr>
          <w:p>
            <w:r>
              <w:rPr>
                <w:sz w:val="16"/>
              </w:rPr>
              <w:t>Opslagruimten voor giftige of brandbare stoffen moeten voldoende ventilatie hebben om accumulatie van dampen te voorkomen. Voor H₂SO₄-opslag geldt een minimum van 6 luchtverversingen per uur, met gastight afzuiging op vloerniveau (zwaarder dan lucht). Het ventilatiesysteem moet worden aangesloten op een gaswasscher. Alarm bij ventilatiestoring [4].</w:t>
            </w:r>
          </w:p>
        </w:tc>
        <w:tc>
          <w:tcPr>
            <w:tcW w:type="dxa" w:w="1701"/>
            <w:shd w:fill="F0F4F8" w:val="clear"/>
          </w:tcPr>
          <w:p>
            <w:r>
              <w:rPr>
                <w:sz w:val="16"/>
              </w:rPr>
              <w:t>Ventilatie ≥ 6 lv/uur; aangesloten op gaswasser; alarm bij storing</w:t>
            </w:r>
          </w:p>
        </w:tc>
        <w:tc>
          <w:tcPr>
            <w:tcW w:type="dxa" w:w="1417"/>
            <w:shd w:fill="F0F4F8" w:val="clear"/>
          </w:tcPr>
          <w:p>
            <w:r>
              <w:rPr>
                <w:sz w:val="16"/>
              </w:rPr>
              <w:t>Ventilatieberekening + lay-outtekening</w:t>
            </w:r>
          </w:p>
        </w:tc>
        <w:tc>
          <w:tcPr>
            <w:tcW w:type="dxa" w:w="567"/>
            <w:shd w:fill="F0F4F8" w:val="clear"/>
          </w:tcPr>
          <w:p>
            <w:r>
              <w:rPr>
                <w:sz w:val="16"/>
              </w:rPr>
              <w:t>H</w:t>
            </w:r>
          </w:p>
        </w:tc>
        <w:tc>
          <w:tcPr>
            <w:tcW w:type="dxa" w:w="1417"/>
            <w:shd w:fill="F0F4F8" w:val="clear"/>
          </w:tcPr>
          <w:p>
            <w:r>
              <w:rPr>
                <w:sz w:val="16"/>
              </w:rPr>
              <w:t>Installateur</w:t>
            </w:r>
          </w:p>
        </w:tc>
      </w:tr>
      <w:tr>
        <w:tc>
          <w:tcPr>
            <w:tcW w:type="dxa" w:w="2551"/>
          </w:tcPr>
          <w:p>
            <w:r>
              <w:rPr>
                <w:sz w:val="16"/>
              </w:rPr>
              <w:t>Bluswateropvang conform PGS 15:2025 §7 berekend</w:t>
            </w:r>
          </w:p>
        </w:tc>
        <w:tc>
          <w:tcPr>
            <w:tcW w:type="dxa" w:w="1984"/>
          </w:tcPr>
          <w:p>
            <w:r>
              <w:rPr>
                <w:sz w:val="16"/>
              </w:rPr>
              <w:t>PGS 15:2025 §7</w:t>
            </w:r>
          </w:p>
        </w:tc>
        <w:tc>
          <w:tcPr>
            <w:tcW w:type="dxa" w:w="3402"/>
          </w:tcPr>
          <w:p>
            <w:r>
              <w:rPr>
                <w:sz w:val="16"/>
              </w:rPr>
              <w:t>De bluswateropvang moet voldoen aan de eis van minimaal 3x het opslagvolume of een berekende capaciteit op basis van de bluswaterhoeveelheid tijdens 2 uur brandbestrijding. Voor de pilot plant betekent dit een retentiebekken of opvangsysteem dat bluswater met zuur- en vanadiumverontreiniging opvangt. Het systeem moet voorzien zijn van een afsluitbare afvoer en pompinstallatie [4].</w:t>
            </w:r>
          </w:p>
        </w:tc>
        <w:tc>
          <w:tcPr>
            <w:tcW w:type="dxa" w:w="1701"/>
          </w:tcPr>
          <w:p>
            <w:r>
              <w:rPr>
                <w:sz w:val="16"/>
              </w:rPr>
              <w:t>Bluswateropvang ≥ 3x opslagvolume; afsluitbare afvoer; pompinstallatie beschikbaar</w:t>
            </w:r>
          </w:p>
        </w:tc>
        <w:tc>
          <w:tcPr>
            <w:tcW w:type="dxa" w:w="1417"/>
          </w:tcPr>
          <w:p>
            <w:r>
              <w:rPr>
                <w:sz w:val="16"/>
              </w:rPr>
              <w:t>Bluswaterberekening + ontwerp retentiebekken</w:t>
            </w:r>
          </w:p>
        </w:tc>
        <w:tc>
          <w:tcPr>
            <w:tcW w:type="dxa" w:w="567"/>
          </w:tcPr>
          <w:p>
            <w:r>
              <w:rPr>
                <w:sz w:val="16"/>
              </w:rPr>
              <w:t>H</w:t>
            </w:r>
          </w:p>
        </w:tc>
        <w:tc>
          <w:tcPr>
            <w:tcW w:type="dxa" w:w="1417"/>
          </w:tcPr>
          <w:p>
            <w:r>
              <w:rPr>
                <w:sz w:val="16"/>
              </w:rPr>
              <w:t>Proces Engineer</w:t>
            </w:r>
          </w:p>
        </w:tc>
      </w:tr>
      <w:tr>
        <w:tc>
          <w:tcPr>
            <w:tcW w:type="dxa" w:w="2551"/>
            <w:shd w:fill="F0F4F8" w:val="clear"/>
          </w:tcPr>
          <w:p>
            <w:r>
              <w:rPr>
                <w:sz w:val="16"/>
              </w:rPr>
              <w:t>SDS (Safety Data Sheets) beschikbaar voor alle opgeslagen stoffen</w:t>
            </w:r>
          </w:p>
        </w:tc>
        <w:tc>
          <w:tcPr>
            <w:tcW w:type="dxa" w:w="1984"/>
            <w:shd w:fill="F0F4F8" w:val="clear"/>
          </w:tcPr>
          <w:p>
            <w:r>
              <w:rPr>
                <w:sz w:val="16"/>
              </w:rPr>
              <w:t>REACH art. 31, CLP art. 41, PGS 15:2025 §9</w:t>
            </w:r>
          </w:p>
        </w:tc>
        <w:tc>
          <w:tcPr>
            <w:tcW w:type="dxa" w:w="3402"/>
            <w:shd w:fill="F0F4F8" w:val="clear"/>
          </w:tcPr>
          <w:p>
            <w:r>
              <w:rPr>
                <w:sz w:val="16"/>
              </w:rPr>
              <w:t>Voor elke opgeslagen gevaarlijke stof moet een actuele SDS beschikbaar zijn (niet ouder dan 3 jaar, in de taal van de werknemers). De SDS moet toegankelijk zijn in de opslagruimte en op de werkplek. Digitaal archiveren is toegestaan mits altijd bereikbaar. De SDS-informatie moet zijn verwerkt in de instructiekaarten (WIC/VIK) [5][6].</w:t>
            </w:r>
          </w:p>
        </w:tc>
        <w:tc>
          <w:tcPr>
            <w:tcW w:type="dxa" w:w="1701"/>
            <w:shd w:fill="F0F4F8" w:val="clear"/>
          </w:tcPr>
          <w:p>
            <w:r>
              <w:rPr>
                <w:sz w:val="16"/>
              </w:rPr>
              <w:t>SDS beschikbaar voor 100% van opgeslagen stoffen; in het Nederlands; niet ouder dan 3 jaar</w:t>
            </w:r>
          </w:p>
        </w:tc>
        <w:tc>
          <w:tcPr>
            <w:tcW w:type="dxa" w:w="1417"/>
            <w:shd w:fill="F0F4F8" w:val="clear"/>
          </w:tcPr>
          <w:p>
            <w:r>
              <w:rPr>
                <w:sz w:val="16"/>
              </w:rPr>
              <w:t>SDS-archief + inventarisatielijst</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Lekdetectie en opvangbakken voor vloeistofopslag</w:t>
            </w:r>
          </w:p>
        </w:tc>
        <w:tc>
          <w:tcPr>
            <w:tcW w:type="dxa" w:w="1984"/>
          </w:tcPr>
          <w:p>
            <w:r>
              <w:rPr>
                <w:sz w:val="16"/>
              </w:rPr>
              <w:t>PGS 15:2025 §6</w:t>
            </w:r>
          </w:p>
        </w:tc>
        <w:tc>
          <w:tcPr>
            <w:tcW w:type="dxa" w:w="3402"/>
          </w:tcPr>
          <w:p>
            <w:r>
              <w:rPr>
                <w:sz w:val="16"/>
              </w:rPr>
              <w:t>Elke vloeistofopslag (zuren, basen) moet zijn voorzien van lekdetectie (visueel of elektronisch) en opvangbakken. De opvangcapaciteit moet minimaal 110% van het grootste enkele vat bedragen. Bij meervoudige opslag moet de capaciteit 110% van het grootste vat + 10% van de rest bedragen. Vloeren moeten chemisch bestendig zijn [4].</w:t>
            </w:r>
          </w:p>
        </w:tc>
        <w:tc>
          <w:tcPr>
            <w:tcW w:type="dxa" w:w="1701"/>
          </w:tcPr>
          <w:p>
            <w:r>
              <w:rPr>
                <w:sz w:val="16"/>
              </w:rPr>
              <w:t>Opvangcapaciteit ≥ 110% grootste vat; lekdetectie functioneel; vloer chemisch bestendig</w:t>
            </w:r>
          </w:p>
        </w:tc>
        <w:tc>
          <w:tcPr>
            <w:tcW w:type="dxa" w:w="1417"/>
          </w:tcPr>
          <w:p>
            <w:r>
              <w:rPr>
                <w:sz w:val="16"/>
              </w:rPr>
              <w:t>Opvangbakberekening + lekdetectieplan</w:t>
            </w:r>
          </w:p>
        </w:tc>
        <w:tc>
          <w:tcPr>
            <w:tcW w:type="dxa" w:w="567"/>
          </w:tcPr>
          <w:p>
            <w:r>
              <w:rPr>
                <w:sz w:val="16"/>
              </w:rPr>
              <w:t>H</w:t>
            </w:r>
          </w:p>
        </w:tc>
        <w:tc>
          <w:tcPr>
            <w:tcW w:type="dxa" w:w="1417"/>
          </w:tcPr>
          <w:p>
            <w:r>
              <w:rPr>
                <w:sz w:val="16"/>
              </w:rPr>
              <w:t>Project Engineer</w:t>
            </w:r>
          </w:p>
        </w:tc>
      </w:tr>
    </w:tbl>
    <w:p/>
    <w:p>
      <w:pPr>
        <w:pStyle w:val="Heading3"/>
      </w:pPr>
      <w:r>
        <w:t>2.1.10 REACH/CLP Compliance</w:t>
      </w:r>
    </w:p>
    <w:p>
      <w:r>
        <w:t>(3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PPORD notificatie bij ECHA ingediend</w:t>
            </w:r>
          </w:p>
        </w:tc>
        <w:tc>
          <w:tcPr>
            <w:tcW w:type="dxa" w:w="1984"/>
          </w:tcPr>
          <w:p>
            <w:r>
              <w:rPr>
                <w:sz w:val="16"/>
              </w:rPr>
              <w:t>REACH art. 56(4)(b), ECHA PPORD guidance</w:t>
            </w:r>
          </w:p>
        </w:tc>
        <w:tc>
          <w:tcPr>
            <w:tcW w:type="dxa" w:w="3402"/>
          </w:tcPr>
          <w:p>
            <w:r>
              <w:rPr>
                <w:sz w:val="16"/>
              </w:rPr>
              <w:t>Voor product- en procesgeoriënteerd onderzoek en ontwikkeling (PPORD) geldt een 5-jaar vrijstelling van REACH-registratie. De Phoenix Metals pilot plant kwalificeert als PPORD. De notificatie moet bij ECHA worden ingediend vóór aanvang, inclusief: stofidentiteit, verwachte hoeveelheden (tonnage), beheersmaatregelen en een beschrijving van het onderzoek [5].</w:t>
            </w:r>
          </w:p>
        </w:tc>
        <w:tc>
          <w:tcPr>
            <w:tcW w:type="dxa" w:w="1701"/>
          </w:tcPr>
          <w:p>
            <w:r>
              <w:rPr>
                <w:sz w:val="16"/>
              </w:rPr>
              <w:t>PPORD notificatie bevestigd door ECHA; referentienummer beschikbaar</w:t>
            </w:r>
          </w:p>
        </w:tc>
        <w:tc>
          <w:tcPr>
            <w:tcW w:type="dxa" w:w="1417"/>
          </w:tcPr>
          <w:p>
            <w:r>
              <w:rPr>
                <w:sz w:val="16"/>
              </w:rPr>
              <w:t>ECHA PPORD bevestigingsbrief</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Zelfclassificatie vanadiumverbindingen conform CLP amendement</w:t>
            </w:r>
          </w:p>
        </w:tc>
        <w:tc>
          <w:tcPr>
            <w:tcW w:type="dxa" w:w="1984"/>
            <w:shd w:fill="F0F4F8" w:val="clear"/>
          </w:tcPr>
          <w:p>
            <w:r>
              <w:rPr>
                <w:sz w:val="16"/>
              </w:rPr>
              <w:t>CLP 1272/2008, (EU) 2024/2865</w:t>
            </w:r>
          </w:p>
        </w:tc>
        <w:tc>
          <w:tcPr>
            <w:tcW w:type="dxa" w:w="3402"/>
            <w:shd w:fill="F0F4F8" w:val="clear"/>
          </w:tcPr>
          <w:p>
            <w:r>
              <w:rPr>
                <w:sz w:val="16"/>
              </w:rPr>
              <w:t>De zelfclassificatie van vanadiumverbindingen moet conform de nieuwste CLP-amendementen. V₂O₅ is Repr. 1B (H360D — kan schade aan het ongeboren kind veroorzaken), Acute Tox. 2 (H330 — dodelijk bij inademing), Skin Corr. 1B (H314). Per amendement (EU) 2024/2865 zijn nieuwe gevaarklassen van kracht (endocriene verstoorders, PFAS-gerelateerd) die moeten worden geëvalueerd [6].</w:t>
            </w:r>
          </w:p>
        </w:tc>
        <w:tc>
          <w:tcPr>
            <w:tcW w:type="dxa" w:w="1701"/>
            <w:shd w:fill="F0F4F8" w:val="clear"/>
          </w:tcPr>
          <w:p>
            <w:r>
              <w:rPr>
                <w:sz w:val="16"/>
              </w:rPr>
              <w:t>Alle vanadiumverbindingen geclassificeerd conform CLP inclusief (EU) 2024/2865 amendementen</w:t>
            </w:r>
          </w:p>
        </w:tc>
        <w:tc>
          <w:tcPr>
            <w:tcW w:type="dxa" w:w="1417"/>
            <w:shd w:fill="F0F4F8" w:val="clear"/>
          </w:tcPr>
          <w:p>
            <w:r>
              <w:rPr>
                <w:sz w:val="16"/>
              </w:rPr>
              <w:t>Classificatieoverzicht + CLP-labelspecificaties</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Nieuwe CLP-gevaarklassen geëvalueerd (EU) 2024/2865</w:t>
            </w:r>
          </w:p>
        </w:tc>
        <w:tc>
          <w:tcPr>
            <w:tcW w:type="dxa" w:w="1984"/>
          </w:tcPr>
          <w:p>
            <w:r>
              <w:rPr>
                <w:sz w:val="16"/>
              </w:rPr>
              <w:t>(EU) 2024/2865, art. 1-3</w:t>
            </w:r>
          </w:p>
        </w:tc>
        <w:tc>
          <w:tcPr>
            <w:tcW w:type="dxa" w:w="3402"/>
          </w:tcPr>
          <w:p>
            <w:r>
              <w:rPr>
                <w:sz w:val="16"/>
              </w:rPr>
              <w:t>Het amendement (EU) 2024/2865 introduceert nieuwe gevaarklassen voor endocriene verstoorders (Cat. 1 en 2), PFAS-gerelateerde eigenschappen, en persistent/mobiele stoffen in water. Voor de pilot plant moet worden geëvalueerd of vanadiumverbindingen onder deze nieuwe klassen vallen. Self-classification is verplicht per de inwerkingtredingsdatum [6].</w:t>
            </w:r>
          </w:p>
        </w:tc>
        <w:tc>
          <w:tcPr>
            <w:tcW w:type="dxa" w:w="1701"/>
          </w:tcPr>
          <w:p>
            <w:r>
              <w:rPr>
                <w:sz w:val="16"/>
              </w:rPr>
              <w:t>Evaluatie nieuwe gevaarklassen afgerond; classificatie bijgewerkt</w:t>
            </w:r>
          </w:p>
        </w:tc>
        <w:tc>
          <w:tcPr>
            <w:tcW w:type="dxa" w:w="1417"/>
          </w:tcPr>
          <w:p>
            <w:r>
              <w:rPr>
                <w:sz w:val="16"/>
              </w:rPr>
              <w:t>CLP-evaluatierapport nieuwe gevaarklassen</w:t>
            </w:r>
          </w:p>
        </w:tc>
        <w:tc>
          <w:tcPr>
            <w:tcW w:type="dxa" w:w="567"/>
          </w:tcPr>
          <w:p>
            <w:r>
              <w:rPr>
                <w:sz w:val="16"/>
              </w:rPr>
              <w:t>M</w:t>
            </w:r>
          </w:p>
        </w:tc>
        <w:tc>
          <w:tcPr>
            <w:tcW w:type="dxa" w:w="1417"/>
          </w:tcPr>
          <w:p>
            <w:r>
              <w:rPr>
                <w:sz w:val="16"/>
              </w:rPr>
              <w:t>HSEQ Manager</w:t>
            </w:r>
          </w:p>
        </w:tc>
      </w:tr>
    </w:tbl>
    <w:p/>
    <w:p>
      <w:pPr>
        <w:pStyle w:val="Heading3"/>
      </w:pPr>
      <w:r>
        <w:t>2.1.11 Brand &amp; Explosieveiligheid</w:t>
      </w:r>
    </w:p>
    <w:p>
      <w:r>
        <w:t>(7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ATEX zone-indeling uitgevoerd voor volledige installatie</w:t>
            </w:r>
          </w:p>
        </w:tc>
        <w:tc>
          <w:tcPr>
            <w:tcW w:type="dxa" w:w="1984"/>
          </w:tcPr>
          <w:p>
            <w:r>
              <w:rPr>
                <w:sz w:val="16"/>
              </w:rPr>
              <w:t>ATEX 2014/34/EU, ATEX 1999/92/EG</w:t>
            </w:r>
          </w:p>
        </w:tc>
        <w:tc>
          <w:tcPr>
            <w:tcW w:type="dxa" w:w="3402"/>
          </w:tcPr>
          <w:p>
            <w:r>
              <w:rPr>
                <w:sz w:val="16"/>
              </w:rPr>
              <w:t>De ATEX zone-indeling moet rekening houden met alle potentieel explosieve atmosferen: waterstofgas (bij elektrolyse of corrosie), stof (V₂O₅, slib), en eventueel oplosmiddelen. Per zone moet worden bepaald: zone-indeling (0/1/2 voor gas, 20/21/22 voor stof), bronnen van ontsteking, en vereiste apparatuurcategorie. De zone-indeling moet gedocumenteerd zijn op ATEX-tekeningen [8].</w:t>
            </w:r>
          </w:p>
        </w:tc>
        <w:tc>
          <w:tcPr>
            <w:tcW w:type="dxa" w:w="1701"/>
          </w:tcPr>
          <w:p>
            <w:r>
              <w:rPr>
                <w:sz w:val="16"/>
              </w:rPr>
              <w:t>ATEX zone-indeling compleet; alle zones gedefinieerd op tekening; apparatuurcategorie bepaald</w:t>
            </w:r>
          </w:p>
        </w:tc>
        <w:tc>
          <w:tcPr>
            <w:tcW w:type="dxa" w:w="1417"/>
          </w:tcPr>
          <w:p>
            <w:r>
              <w:rPr>
                <w:sz w:val="16"/>
              </w:rPr>
              <w:t>ATEX zone-indelingsrapport + ATEX-tekeningen</w:t>
            </w:r>
          </w:p>
        </w:tc>
        <w:tc>
          <w:tcPr>
            <w:tcW w:type="dxa" w:w="567"/>
          </w:tcPr>
          <w:p>
            <w:r>
              <w:rPr>
                <w:sz w:val="16"/>
              </w:rPr>
              <w:t>H</w:t>
            </w:r>
          </w:p>
        </w:tc>
        <w:tc>
          <w:tcPr>
            <w:tcW w:type="dxa" w:w="1417"/>
          </w:tcPr>
          <w:p>
            <w:r>
              <w:rPr>
                <w:sz w:val="16"/>
              </w:rPr>
              <w:t>Explosieveiligingsdeskundige</w:t>
            </w:r>
          </w:p>
        </w:tc>
      </w:tr>
      <w:tr>
        <w:tc>
          <w:tcPr>
            <w:tcW w:type="dxa" w:w="2551"/>
            <w:shd w:fill="F0F4F8" w:val="clear"/>
          </w:tcPr>
          <w:p>
            <w:r>
              <w:rPr>
                <w:sz w:val="16"/>
              </w:rPr>
              <w:t>Stofexplosiedocument (Kst-waarde) opgesteld</w:t>
            </w:r>
          </w:p>
        </w:tc>
        <w:tc>
          <w:tcPr>
            <w:tcW w:type="dxa" w:w="1984"/>
            <w:shd w:fill="F0F4F8" w:val="clear"/>
          </w:tcPr>
          <w:p>
            <w:r>
              <w:rPr>
                <w:sz w:val="16"/>
              </w:rPr>
              <w:t>NEN-EN 14034, Arbobesluit art. 3.2c</w:t>
            </w:r>
          </w:p>
        </w:tc>
        <w:tc>
          <w:tcPr>
            <w:tcW w:type="dxa" w:w="3402"/>
            <w:shd w:fill="F0F4F8" w:val="clear"/>
          </w:tcPr>
          <w:p>
            <w:r>
              <w:rPr>
                <w:sz w:val="16"/>
              </w:rPr>
              <w:t>Vanadiumstof uit het extractieproces moet worden gekarakteriseerd op explosiegevaarlijkheid. De Kst-waarde (stofexplosieconstante), Pmax (maximale explosiedruk) en MIT (minimum ontstekingstemperatuur) moeten worden bepaald in een lab. Indien Kst &gt; 0 is het stof explosiegevaarlijk en moeten maatregelen worden genomen: explosiedrukventilatie, explosieonderdrukking of inertisering [8].</w:t>
            </w:r>
          </w:p>
        </w:tc>
        <w:tc>
          <w:tcPr>
            <w:tcW w:type="dxa" w:w="1701"/>
            <w:shd w:fill="F0F4F8" w:val="clear"/>
          </w:tcPr>
          <w:p>
            <w:r>
              <w:rPr>
                <w:sz w:val="16"/>
              </w:rPr>
              <w:t>Kst-waarde bepaald; bij Kst &gt; 0: explosiebeveiligingsmaatregelen gedocumenteerd</w:t>
            </w:r>
          </w:p>
        </w:tc>
        <w:tc>
          <w:tcPr>
            <w:tcW w:type="dxa" w:w="1417"/>
            <w:shd w:fill="F0F4F8" w:val="clear"/>
          </w:tcPr>
          <w:p>
            <w:r>
              <w:rPr>
                <w:sz w:val="16"/>
              </w:rPr>
              <w:t>Stofexplosie-rapport (Kst, Pmax, MIT)</w:t>
            </w:r>
          </w:p>
        </w:tc>
        <w:tc>
          <w:tcPr>
            <w:tcW w:type="dxa" w:w="567"/>
            <w:shd w:fill="F0F4F8" w:val="clear"/>
          </w:tcPr>
          <w:p>
            <w:r>
              <w:rPr>
                <w:sz w:val="16"/>
              </w:rPr>
              <w:t>H</w:t>
            </w:r>
          </w:p>
        </w:tc>
        <w:tc>
          <w:tcPr>
            <w:tcW w:type="dxa" w:w="1417"/>
            <w:shd w:fill="F0F4F8" w:val="clear"/>
          </w:tcPr>
          <w:p>
            <w:r>
              <w:rPr>
                <w:sz w:val="16"/>
              </w:rPr>
              <w:t>Explosieveiligingsdeskundige</w:t>
            </w:r>
          </w:p>
        </w:tc>
      </w:tr>
      <w:tr>
        <w:tc>
          <w:tcPr>
            <w:tcW w:type="dxa" w:w="2551"/>
          </w:tcPr>
          <w:p>
            <w:r>
              <w:rPr>
                <w:sz w:val="16"/>
              </w:rPr>
              <w:t>PFAS-vrij blusschuim gespecificeerd en getest</w:t>
            </w:r>
          </w:p>
        </w:tc>
        <w:tc>
          <w:tcPr>
            <w:tcW w:type="dxa" w:w="1984"/>
          </w:tcPr>
          <w:p>
            <w:r>
              <w:rPr>
                <w:sz w:val="16"/>
              </w:rPr>
              <w:t>REACH PFAS restrictievoorstel, PGS 15:2025</w:t>
            </w:r>
          </w:p>
        </w:tc>
        <w:tc>
          <w:tcPr>
            <w:tcW w:type="dxa" w:w="3402"/>
          </w:tcPr>
          <w:p>
            <w:r>
              <w:rPr>
                <w:sz w:val="16"/>
              </w:rPr>
              <w:t>Alle blusschuiminstallaties in de pilot plant moeten PFAS-vrij schuim gebruiken (fluorvrij). Beschikbare alternatieven zijn op basis van synthetische schuimvormers (zoals Fomtec of equivalent). Het schuim moet geschikt zijn voor klasse B-branden (vloeistoffen) en compatibel met de opgeslagen stoffen (zuren). Het schuim moet getest zijn conform EN 1568 [20].</w:t>
            </w:r>
          </w:p>
        </w:tc>
        <w:tc>
          <w:tcPr>
            <w:tcW w:type="dxa" w:w="1701"/>
          </w:tcPr>
          <w:p>
            <w:r>
              <w:rPr>
                <w:sz w:val="16"/>
              </w:rPr>
              <w:t>PFAS-vrij schuim geselecteerd; getest conform EN 1568; compatibel met zuren</w:t>
            </w:r>
          </w:p>
        </w:tc>
        <w:tc>
          <w:tcPr>
            <w:tcW w:type="dxa" w:w="1417"/>
          </w:tcPr>
          <w:p>
            <w:r>
              <w:rPr>
                <w:sz w:val="16"/>
              </w:rPr>
              <w:t>Schuimtestrapport + leveranciersverklaring PFAS-vrij</w:t>
            </w:r>
          </w:p>
        </w:tc>
        <w:tc>
          <w:tcPr>
            <w:tcW w:type="dxa" w:w="567"/>
          </w:tcPr>
          <w:p>
            <w:r>
              <w:rPr>
                <w:sz w:val="16"/>
              </w:rPr>
              <w:t>H</w:t>
            </w:r>
          </w:p>
        </w:tc>
        <w:tc>
          <w:tcPr>
            <w:tcW w:type="dxa" w:w="1417"/>
          </w:tcPr>
          <w:p>
            <w:r>
              <w:rPr>
                <w:sz w:val="16"/>
              </w:rPr>
              <w:t>Brandveiligheidsadviseur</w:t>
            </w:r>
          </w:p>
        </w:tc>
      </w:tr>
      <w:tr>
        <w:tc>
          <w:tcPr>
            <w:tcW w:type="dxa" w:w="2551"/>
            <w:shd w:fill="F0F4F8" w:val="clear"/>
          </w:tcPr>
          <w:p>
            <w:r>
              <w:rPr>
                <w:sz w:val="16"/>
              </w:rPr>
              <w:t>Spill containment zuren (H₂SO₄, HCl) — retentiebekken ontworpen</w:t>
            </w:r>
          </w:p>
        </w:tc>
        <w:tc>
          <w:tcPr>
            <w:tcW w:type="dxa" w:w="1984"/>
            <w:shd w:fill="F0F4F8" w:val="clear"/>
          </w:tcPr>
          <w:p>
            <w:r>
              <w:rPr>
                <w:sz w:val="16"/>
              </w:rPr>
              <w:t>PGS 15:2025, Bal</w:t>
            </w:r>
          </w:p>
        </w:tc>
        <w:tc>
          <w:tcPr>
            <w:tcW w:type="dxa" w:w="3402"/>
            <w:shd w:fill="F0F4F8" w:val="clear"/>
          </w:tcPr>
          <w:p>
            <w:r>
              <w:rPr>
                <w:sz w:val="16"/>
              </w:rPr>
              <w:t>Het spill containment systeem voor zuren moet bestaan uit: randen/opvangbakken rond tanks (110% grootste vat), gekozen retentiebekken voor grote lekkage, en noodafvoer naar opvangtank. Het materiaal moet bestendig zijn tegen 98% H₂SO₄ en 37% HCl (PVDF, PTFE-bekeleding of equivalente coating). De capaciteit moet worden berekend op basis van het maximale lekscenario [4].</w:t>
            </w:r>
          </w:p>
        </w:tc>
        <w:tc>
          <w:tcPr>
            <w:tcW w:type="dxa" w:w="1701"/>
            <w:shd w:fill="F0F4F8" w:val="clear"/>
          </w:tcPr>
          <w:p>
            <w:r>
              <w:rPr>
                <w:sz w:val="16"/>
              </w:rPr>
              <w:t>Spill containment capaciteit ≥ maximaal lekscenario; materiaal bestand tegen 98% H₂SO₄</w:t>
            </w:r>
          </w:p>
        </w:tc>
        <w:tc>
          <w:tcPr>
            <w:tcW w:type="dxa" w:w="1417"/>
            <w:shd w:fill="F0F4F8" w:val="clear"/>
          </w:tcPr>
          <w:p>
            <w:r>
              <w:rPr>
                <w:sz w:val="16"/>
              </w:rPr>
              <w:t>Spill containment berekening + materiaalkeuzerapport</w:t>
            </w:r>
          </w:p>
        </w:tc>
        <w:tc>
          <w:tcPr>
            <w:tcW w:type="dxa" w:w="567"/>
            <w:shd w:fill="F0F4F8" w:val="clear"/>
          </w:tcPr>
          <w:p>
            <w:r>
              <w:rPr>
                <w:sz w:val="16"/>
              </w:rPr>
              <w:t>H</w:t>
            </w:r>
          </w:p>
        </w:tc>
        <w:tc>
          <w:tcPr>
            <w:tcW w:type="dxa" w:w="1417"/>
            <w:shd w:fill="F0F4F8" w:val="clear"/>
          </w:tcPr>
          <w:p>
            <w:r>
              <w:rPr>
                <w:sz w:val="16"/>
              </w:rPr>
              <w:t>Proces Engineer</w:t>
            </w:r>
          </w:p>
        </w:tc>
      </w:tr>
      <w:tr>
        <w:tc>
          <w:tcPr>
            <w:tcW w:type="dxa" w:w="2551"/>
          </w:tcPr>
          <w:p>
            <w:r>
              <w:rPr>
                <w:sz w:val="16"/>
              </w:rPr>
              <w:t>Spill containment vanadium-oplossingen — opvangcapaciteit berekend</w:t>
            </w:r>
          </w:p>
        </w:tc>
        <w:tc>
          <w:tcPr>
            <w:tcW w:type="dxa" w:w="1984"/>
          </w:tcPr>
          <w:p>
            <w:r>
              <w:rPr>
                <w:sz w:val="16"/>
              </w:rPr>
              <w:t>PGS 15:2025, Bal</w:t>
            </w:r>
          </w:p>
        </w:tc>
        <w:tc>
          <w:tcPr>
            <w:tcW w:type="dxa" w:w="3402"/>
          </w:tcPr>
          <w:p>
            <w:r>
              <w:rPr>
                <w:sz w:val="16"/>
              </w:rPr>
              <w:t>Vanadium-oplossingen uit het extractieproces (leaching, precipitation) moeten worden opgevangen bij lekkage. De opvangcapaciteit moet rekening houden met het maximale volume van de grootste reactor of tank. Vanadium-oplossingen zijn giftig voor aquatische organismen en mogen niet in het oppervlaktewater terechtkomen. De opvang moet worden aangesloten op het noodafvalwatersysteem [4].</w:t>
            </w:r>
          </w:p>
        </w:tc>
        <w:tc>
          <w:tcPr>
            <w:tcW w:type="dxa" w:w="1701"/>
          </w:tcPr>
          <w:p>
            <w:r>
              <w:rPr>
                <w:sz w:val="16"/>
              </w:rPr>
              <w:t>Opvangcapaciteit ≥ volume grootste reactor; aangesloten op noodafvalwatersysteem</w:t>
            </w:r>
          </w:p>
        </w:tc>
        <w:tc>
          <w:tcPr>
            <w:tcW w:type="dxa" w:w="1417"/>
          </w:tcPr>
          <w:p>
            <w:r>
              <w:rPr>
                <w:sz w:val="16"/>
              </w:rPr>
              <w:t>Opvangberekening + lay-out</w:t>
            </w:r>
          </w:p>
        </w:tc>
        <w:tc>
          <w:tcPr>
            <w:tcW w:type="dxa" w:w="567"/>
          </w:tcPr>
          <w:p>
            <w:r>
              <w:rPr>
                <w:sz w:val="16"/>
              </w:rPr>
              <w:t>H</w:t>
            </w:r>
          </w:p>
        </w:tc>
        <w:tc>
          <w:tcPr>
            <w:tcW w:type="dxa" w:w="1417"/>
          </w:tcPr>
          <w:p>
            <w:r>
              <w:rPr>
                <w:sz w:val="16"/>
              </w:rPr>
              <w:t>Proces Engineer</w:t>
            </w:r>
          </w:p>
        </w:tc>
      </w:tr>
      <w:tr>
        <w:tc>
          <w:tcPr>
            <w:tcW w:type="dxa" w:w="2551"/>
            <w:shd w:fill="F0F4F8" w:val="clear"/>
          </w:tcPr>
          <w:p>
            <w:r>
              <w:rPr>
                <w:sz w:val="16"/>
              </w:rPr>
              <w:t>Gasdetectiesysteem H₂SO₄/HCl-dampen ontworpen</w:t>
            </w:r>
          </w:p>
        </w:tc>
        <w:tc>
          <w:tcPr>
            <w:tcW w:type="dxa" w:w="1984"/>
            <w:shd w:fill="F0F4F8" w:val="clear"/>
          </w:tcPr>
          <w:p>
            <w:r>
              <w:rPr>
                <w:sz w:val="16"/>
              </w:rPr>
              <w:t>Arbobesluit, PGS 15:2025</w:t>
            </w:r>
          </w:p>
        </w:tc>
        <w:tc>
          <w:tcPr>
            <w:tcW w:type="dxa" w:w="3402"/>
            <w:shd w:fill="F0F4F8" w:val="clear"/>
          </w:tcPr>
          <w:p>
            <w:r>
              <w:rPr>
                <w:sz w:val="16"/>
              </w:rPr>
              <w:t>Een gasdetectiesysteem moet worden ontworpen voor de detectie van H₂SO₄-dampen en HCl-gas. Detectiepunten: opslagruimten, laad/loslocaties, procesruimte (reactor/digestor). Bij overschrijding van alarmniveaus moet automatisch ventilatie worden verhoogd en moet het alarm worden doorgegeven aan de controlekamer. Detectietechniek: electrochemische sensoren of open-path IR [8].</w:t>
            </w:r>
          </w:p>
        </w:tc>
        <w:tc>
          <w:tcPr>
            <w:tcW w:type="dxa" w:w="1701"/>
            <w:shd w:fill="F0F4F8" w:val="clear"/>
          </w:tcPr>
          <w:p>
            <w:r>
              <w:rPr>
                <w:sz w:val="16"/>
              </w:rPr>
              <w:t>Gasdetectie bij alle bronnen; alarmniveaus ingesteld; automatische ventilatie-esc alatie</w:t>
            </w:r>
          </w:p>
        </w:tc>
        <w:tc>
          <w:tcPr>
            <w:tcW w:type="dxa" w:w="1417"/>
            <w:shd w:fill="F0F4F8" w:val="clear"/>
          </w:tcPr>
          <w:p>
            <w:r>
              <w:rPr>
                <w:sz w:val="16"/>
              </w:rPr>
              <w:t>Gasdetectie-ontwerp + sensorplaatsingsschema</w:t>
            </w:r>
          </w:p>
        </w:tc>
        <w:tc>
          <w:tcPr>
            <w:tcW w:type="dxa" w:w="567"/>
            <w:shd w:fill="F0F4F8" w:val="clear"/>
          </w:tcPr>
          <w:p>
            <w:r>
              <w:rPr>
                <w:sz w:val="16"/>
              </w:rPr>
              <w:t>H</w:t>
            </w:r>
          </w:p>
        </w:tc>
        <w:tc>
          <w:tcPr>
            <w:tcW w:type="dxa" w:w="1417"/>
            <w:shd w:fill="F0F4F8" w:val="clear"/>
          </w:tcPr>
          <w:p>
            <w:r>
              <w:rPr>
                <w:sz w:val="16"/>
              </w:rPr>
              <w:t>Instrumentatie Engineer</w:t>
            </w:r>
          </w:p>
        </w:tc>
      </w:tr>
      <w:tr>
        <w:tc>
          <w:tcPr>
            <w:tcW w:type="dxa" w:w="2551"/>
          </w:tcPr>
          <w:p>
            <w:r>
              <w:rPr>
                <w:sz w:val="16"/>
              </w:rPr>
              <w:t>Brandweerinzichtplan opgesteld</w:t>
            </w:r>
          </w:p>
        </w:tc>
        <w:tc>
          <w:tcPr>
            <w:tcW w:type="dxa" w:w="1984"/>
          </w:tcPr>
          <w:p>
            <w:r>
              <w:rPr>
                <w:sz w:val="16"/>
              </w:rPr>
              <w:t>Brandweerwet</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Brandpreventie</w:t>
            </w:r>
          </w:p>
        </w:tc>
      </w:tr>
    </w:tbl>
    <w:p/>
    <w:p>
      <w:pPr>
        <w:pStyle w:val="Heading3"/>
      </w:pPr>
      <w:r>
        <w:t>2.1.12 Drukapparatuur</w:t>
      </w:r>
    </w:p>
    <w:p>
      <w:r>
        <w:t>(2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Alle drukapparatuur conform PED 2014/68/EU geclassificeerd</w:t>
            </w:r>
          </w:p>
        </w:tc>
        <w:tc>
          <w:tcPr>
            <w:tcW w:type="dxa" w:w="1984"/>
          </w:tcPr>
          <w:p>
            <w:r>
              <w:rPr>
                <w:sz w:val="16"/>
              </w:rPr>
              <w:t>PED 2014/68/EU (gewijzigd 2024)</w:t>
            </w:r>
          </w:p>
        </w:tc>
        <w:tc>
          <w:tcPr>
            <w:tcW w:type="dxa" w:w="3402"/>
          </w:tcPr>
          <w:p>
            <w:r>
              <w:rPr>
                <w:sz w:val="16"/>
              </w:rPr>
              <w:t>Alle drukapparatuur (reactoren, leidingen, opslagtanks) moet worden geclassificeerd conform PED: categorie I t/m IV of SEP (Sound Engineering Practice). Classificatie is gebaseerd op: druk (bar), volume/DN, en agressiviteit van het medium (gas/vloeistof, groep 1/2). Apparatuur in categorie II+ vereist CE-markering en een conformiteitsbeoordeling door een Notified Body [9].</w:t>
            </w:r>
          </w:p>
        </w:tc>
        <w:tc>
          <w:tcPr>
            <w:tcW w:type="dxa" w:w="1701"/>
          </w:tcPr>
          <w:p>
            <w:r>
              <w:rPr>
                <w:sz w:val="16"/>
              </w:rPr>
              <w:t>Alle drukapparatuur geclassificeerd; CE-markering aangebracht waar vereist; Notified Body betrokken</w:t>
            </w:r>
          </w:p>
        </w:tc>
        <w:tc>
          <w:tcPr>
            <w:tcW w:type="dxa" w:w="1417"/>
          </w:tcPr>
          <w:p>
            <w:r>
              <w:rPr>
                <w:sz w:val="16"/>
              </w:rPr>
              <w:t>PED-classificatieoverzicht + conformiteitsbeoordeling</w:t>
            </w:r>
          </w:p>
        </w:tc>
        <w:tc>
          <w:tcPr>
            <w:tcW w:type="dxa" w:w="567"/>
          </w:tcPr>
          <w:p>
            <w:r>
              <w:rPr>
                <w:sz w:val="16"/>
              </w:rPr>
              <w:t>H</w:t>
            </w:r>
          </w:p>
        </w:tc>
        <w:tc>
          <w:tcPr>
            <w:tcW w:type="dxa" w:w="1417"/>
          </w:tcPr>
          <w:p>
            <w:r>
              <w:rPr>
                <w:sz w:val="16"/>
              </w:rPr>
              <w:t>Project Engineer</w:t>
            </w:r>
          </w:p>
        </w:tc>
      </w:tr>
      <w:tr>
        <w:tc>
          <w:tcPr>
            <w:tcW w:type="dxa" w:w="2551"/>
            <w:shd w:fill="F0F4F8" w:val="clear"/>
          </w:tcPr>
          <w:p>
            <w:r>
              <w:rPr>
                <w:sz w:val="16"/>
              </w:rPr>
              <w:t>Veiligheidskleppen en overdrukbeveiliging gedimensioneerd</w:t>
            </w:r>
          </w:p>
        </w:tc>
        <w:tc>
          <w:tcPr>
            <w:tcW w:type="dxa" w:w="1984"/>
            <w:shd w:fill="F0F4F8" w:val="clear"/>
          </w:tcPr>
          <w:p>
            <w:r>
              <w:rPr>
                <w:sz w:val="16"/>
              </w:rPr>
              <w:t>PED 2014/68/EU bijlage I §2.11</w:t>
            </w:r>
          </w:p>
        </w:tc>
        <w:tc>
          <w:tcPr>
            <w:tcW w:type="dxa" w:w="3402"/>
            <w:shd w:fill="F0F4F8" w:val="clear"/>
          </w:tcPr>
          <w:p>
            <w:r>
              <w:rPr>
                <w:sz w:val="16"/>
              </w:rPr>
              <w:t>Elke drukapparatuur moet zijn voorzien van overdrukbeveiliging: veiligheidskleppen, burst discs, of een combinatie. De capaciteit moet worden berekend op het maximale inlastscenario (brandcase, gesloten afsluiter, koelwaterstoring). De veiligheidskleppen moeten conform PED zijn goedgekeurd en regelmatig worden getest (minimaal 1x per 2 jaar) [9].</w:t>
            </w:r>
          </w:p>
        </w:tc>
        <w:tc>
          <w:tcPr>
            <w:tcW w:type="dxa" w:w="1701"/>
            <w:shd w:fill="F0F4F8" w:val="clear"/>
          </w:tcPr>
          <w:p>
            <w:r>
              <w:rPr>
                <w:sz w:val="16"/>
              </w:rPr>
              <w:t>Alle drukapparatuur voorzien van overdrukbeveiliging; capaciteit berekend; testinterval vastgelegd</w:t>
            </w:r>
          </w:p>
        </w:tc>
        <w:tc>
          <w:tcPr>
            <w:tcW w:type="dxa" w:w="1417"/>
            <w:shd w:fill="F0F4F8" w:val="clear"/>
          </w:tcPr>
          <w:p>
            <w:r>
              <w:rPr>
                <w:sz w:val="16"/>
              </w:rPr>
              <w:t>Berekening overdrukbeveiliging + kleinspecificaties</w:t>
            </w:r>
          </w:p>
        </w:tc>
        <w:tc>
          <w:tcPr>
            <w:tcW w:type="dxa" w:w="567"/>
            <w:shd w:fill="F0F4F8" w:val="clear"/>
          </w:tcPr>
          <w:p>
            <w:r>
              <w:rPr>
                <w:sz w:val="16"/>
              </w:rPr>
              <w:t>H</w:t>
            </w:r>
          </w:p>
        </w:tc>
        <w:tc>
          <w:tcPr>
            <w:tcW w:type="dxa" w:w="1417"/>
            <w:shd w:fill="F0F4F8" w:val="clear"/>
          </w:tcPr>
          <w:p>
            <w:r>
              <w:rPr>
                <w:sz w:val="16"/>
              </w:rPr>
              <w:t>Proces Engineer</w:t>
            </w:r>
          </w:p>
        </w:tc>
      </w:tr>
    </w:tbl>
    <w:p/>
    <w:p>
      <w:pPr>
        <w:pStyle w:val="Heading3"/>
      </w:pPr>
      <w:r>
        <w:t>2.1.13 Machineveiligheid</w:t>
      </w:r>
    </w:p>
    <w:p>
      <w:r>
        <w:t>(2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CE-markering machines conform Machinerichtlijn (EU) 2023/1230</w:t>
            </w:r>
          </w:p>
        </w:tc>
        <w:tc>
          <w:tcPr>
            <w:tcW w:type="dxa" w:w="1984"/>
          </w:tcPr>
          <w:p>
            <w:r>
              <w:rPr>
                <w:sz w:val="16"/>
              </w:rPr>
              <w:t>(EU) 2023/1230 (van kracht 20-1-2027), nu nog 2006/42/EG</w:t>
            </w:r>
          </w:p>
        </w:tc>
        <w:tc>
          <w:tcPr>
            <w:tcW w:type="dxa" w:w="3402"/>
          </w:tcPr>
          <w:p>
            <w:r>
              <w:rPr>
                <w:sz w:val="16"/>
              </w:rPr>
              <w:t>Alle machines in de pilot plant (pompen, mixers, conveyors, filters) moeten CE-gemarkeerd zijn. De Machinerichtlijn (EU) 2023/1230 vervangt de oude 2006/42/EG per 20 januari 2027. Voor nieuwe projecten die na die datum in gebruik worden genomen, geldt de nieuwe verordening. Essentiële eisen: afscherming, noodstop, LOTO-voorzieningen, en bedieningspanelen [10].</w:t>
            </w:r>
          </w:p>
        </w:tc>
        <w:tc>
          <w:tcPr>
            <w:tcW w:type="dxa" w:w="1701"/>
          </w:tcPr>
          <w:p>
            <w:r>
              <w:rPr>
                <w:sz w:val="16"/>
              </w:rPr>
              <w:t>Alle machines CE-gemarkeerd; conform (EU) 2023/1230 (indien na 20-1-2027 in gebruik); risicoanalyse per machine</w:t>
            </w:r>
          </w:p>
        </w:tc>
        <w:tc>
          <w:tcPr>
            <w:tcW w:type="dxa" w:w="1417"/>
          </w:tcPr>
          <w:p>
            <w:r>
              <w:rPr>
                <w:sz w:val="16"/>
              </w:rPr>
              <w:t>CE-verklaringen + risicoanalyses per machine</w:t>
            </w:r>
          </w:p>
        </w:tc>
        <w:tc>
          <w:tcPr>
            <w:tcW w:type="dxa" w:w="567"/>
          </w:tcPr>
          <w:p>
            <w:r>
              <w:rPr>
                <w:sz w:val="16"/>
              </w:rPr>
              <w:t>H</w:t>
            </w:r>
          </w:p>
        </w:tc>
        <w:tc>
          <w:tcPr>
            <w:tcW w:type="dxa" w:w="1417"/>
          </w:tcPr>
          <w:p>
            <w:r>
              <w:rPr>
                <w:sz w:val="16"/>
              </w:rPr>
              <w:t>Project Engineer</w:t>
            </w:r>
          </w:p>
        </w:tc>
      </w:tr>
      <w:tr>
        <w:tc>
          <w:tcPr>
            <w:tcW w:type="dxa" w:w="2551"/>
            <w:shd w:fill="F0F4F8" w:val="clear"/>
          </w:tcPr>
          <w:p>
            <w:r>
              <w:rPr>
                <w:sz w:val="16"/>
              </w:rPr>
              <w:t>LOTO-voorzieningen op alle energiebronnen</w:t>
            </w:r>
          </w:p>
        </w:tc>
        <w:tc>
          <w:tcPr>
            <w:tcW w:type="dxa" w:w="1984"/>
            <w:shd w:fill="F0F4F8" w:val="clear"/>
          </w:tcPr>
          <w:p>
            <w:r>
              <w:rPr>
                <w:sz w:val="16"/>
              </w:rPr>
              <w:t>Arbobesluit art. 7.4, (EU) 2023/1230 bijlage I §1.6</w:t>
            </w:r>
          </w:p>
        </w:tc>
        <w:tc>
          <w:tcPr>
            <w:tcW w:type="dxa" w:w="3402"/>
            <w:shd w:fill="F0F4F8" w:val="clear"/>
          </w:tcPr>
          <w:p>
            <w:r>
              <w:rPr>
                <w:sz w:val="16"/>
              </w:rPr>
              <w:t>Lock-Out/Tag-Out voorzieningen moeten op alle energiebronnen aanwezig zijn: elektrisch, pneumatisch, hydraulisch, thermisch, chemisch (druk, vloeistof), en zwaartekracht (gespannen veren). Per machine moet een LOTO-procedure beschikbaar zijn die definieert: welke energiebronnen, hoe af te sluiten, wie verantwoordelijk, en hoe te verifieren (zero-energy check) [10].</w:t>
            </w:r>
          </w:p>
        </w:tc>
        <w:tc>
          <w:tcPr>
            <w:tcW w:type="dxa" w:w="1701"/>
            <w:shd w:fill="F0F4F8" w:val="clear"/>
          </w:tcPr>
          <w:p>
            <w:r>
              <w:rPr>
                <w:sz w:val="16"/>
              </w:rPr>
              <w:t>LOTO-plan compleet per machine; alle energiebronnen afsluitbaar; zero-energy procedure beschikbaar</w:t>
            </w:r>
          </w:p>
        </w:tc>
        <w:tc>
          <w:tcPr>
            <w:tcW w:type="dxa" w:w="1417"/>
            <w:shd w:fill="F0F4F8" w:val="clear"/>
          </w:tcPr>
          <w:p>
            <w:r>
              <w:rPr>
                <w:sz w:val="16"/>
              </w:rPr>
              <w:t>LOTO-procedures per machine + energiebronnenkaart</w:t>
            </w:r>
          </w:p>
        </w:tc>
        <w:tc>
          <w:tcPr>
            <w:tcW w:type="dxa" w:w="567"/>
            <w:shd w:fill="F0F4F8" w:val="clear"/>
          </w:tcPr>
          <w:p>
            <w:r>
              <w:rPr>
                <w:sz w:val="16"/>
              </w:rPr>
              <w:t>H</w:t>
            </w:r>
          </w:p>
        </w:tc>
        <w:tc>
          <w:tcPr>
            <w:tcW w:type="dxa" w:w="1417"/>
            <w:shd w:fill="F0F4F8" w:val="clear"/>
          </w:tcPr>
          <w:p>
            <w:r>
              <w:rPr>
                <w:sz w:val="16"/>
              </w:rPr>
              <w:t>HSEQ Manager</w:t>
            </w:r>
          </w:p>
        </w:tc>
      </w:tr>
    </w:tbl>
    <w:p/>
    <w:p>
      <w:pPr>
        <w:pStyle w:val="Heading3"/>
      </w:pPr>
      <w:r>
        <w:t>2.1.14 Elektrische Veiligheid</w:t>
      </w:r>
    </w:p>
    <w:p>
      <w:r>
        <w:t>(1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Elektrische installatie conform NEN 1010:2020+C1:2024</w:t>
            </w:r>
          </w:p>
        </w:tc>
        <w:tc>
          <w:tcPr>
            <w:tcW w:type="dxa" w:w="1984"/>
          </w:tcPr>
          <w:p>
            <w:r>
              <w:rPr>
                <w:sz w:val="16"/>
              </w:rPr>
              <w:t>NEN 1010:2020+C1:2024</w:t>
            </w:r>
          </w:p>
        </w:tc>
        <w:tc>
          <w:tcPr>
            <w:tcW w:type="dxa" w:w="3402"/>
          </w:tcPr>
          <w:p>
            <w:r>
              <w:rPr>
                <w:sz w:val="16"/>
              </w:rPr>
              <w:t>De elektrische installatie moet conform NEN 1010 worden ontworpen: aarding (TN-S systeem), aardlekschakelaars (30 mA voor stopcontacten, 300 mA voor verlichting), overbelastingsbeveiliging, en kortsluitbeveiliging. In ATEX-zones moet de installatie Ex-proof zijn (verhoogde veiligheid, drukbestendige behuizing, of intrinsiek veilig) [12].</w:t>
            </w:r>
          </w:p>
        </w:tc>
        <w:tc>
          <w:tcPr>
            <w:tcW w:type="dxa" w:w="1701"/>
          </w:tcPr>
          <w:p>
            <w:r>
              <w:rPr>
                <w:sz w:val="16"/>
              </w:rPr>
              <w:t>Installatie conform NEN 1010; aarding TN-S; Ex-proof in ATEX-zones; keuring gepland</w:t>
            </w:r>
          </w:p>
        </w:tc>
        <w:tc>
          <w:tcPr>
            <w:tcW w:type="dxa" w:w="1417"/>
          </w:tcPr>
          <w:p>
            <w:r>
              <w:rPr>
                <w:sz w:val="16"/>
              </w:rPr>
              <w:t>Elektrisch ontwerp + NEN 1010 conformiteitsverklaring</w:t>
            </w:r>
          </w:p>
        </w:tc>
        <w:tc>
          <w:tcPr>
            <w:tcW w:type="dxa" w:w="567"/>
          </w:tcPr>
          <w:p>
            <w:r>
              <w:rPr>
                <w:sz w:val="16"/>
              </w:rPr>
              <w:t>H</w:t>
            </w:r>
          </w:p>
        </w:tc>
        <w:tc>
          <w:tcPr>
            <w:tcW w:type="dxa" w:w="1417"/>
          </w:tcPr>
          <w:p>
            <w:r>
              <w:rPr>
                <w:sz w:val="16"/>
              </w:rPr>
              <w:t>Elektrotechnisch Installateur</w:t>
            </w:r>
          </w:p>
        </w:tc>
      </w:tr>
    </w:tbl>
    <w:p/>
    <w:p>
      <w:pPr>
        <w:pStyle w:val="Heading3"/>
      </w:pPr>
      <w:r>
        <w:t>2.1.15 Transport (ADR 2025)</w:t>
      </w:r>
    </w:p>
    <w:p>
      <w:r>
        <w:t>(1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ADR 2025 compliant vervoer gevaarlijke stoffen geregeld</w:t>
            </w:r>
          </w:p>
        </w:tc>
        <w:tc>
          <w:tcPr>
            <w:tcW w:type="dxa" w:w="1984"/>
          </w:tcPr>
          <w:p>
            <w:r>
              <w:rPr>
                <w:sz w:val="16"/>
              </w:rPr>
              <w:t>ADR 2025 (verplicht per 1 juli 2025)</w:t>
            </w:r>
          </w:p>
        </w:tc>
        <w:tc>
          <w:tcPr>
            <w:tcW w:type="dxa" w:w="3402"/>
          </w:tcPr>
          <w:p>
            <w:r>
              <w:rPr>
                <w:sz w:val="16"/>
              </w:rPr>
              <w:t>Het vervoer van H₂SO₄ (UN 1830, klasse 8), HCl (UN 1789, klasse 8), en vanadiumverbindingen moet conform ADR 2025 worden geregeld. Dit omvat: goedgekeurde verpakking/containers, VEVI-documenten, veiligheidsadviseur aangesteld, en chauffeurs in het bezit van ADR-certificaat. Voor nieuwe ADR 2025-wijzigingen: natrium-ion batterijen en elektrische voertuigen in klasse 9 [11].</w:t>
            </w:r>
          </w:p>
        </w:tc>
        <w:tc>
          <w:tcPr>
            <w:tcW w:type="dxa" w:w="1701"/>
          </w:tcPr>
          <w:p>
            <w:r>
              <w:rPr>
                <w:sz w:val="16"/>
              </w:rPr>
              <w:t>ADR-compliance aangetoond; veiligheidsadviseur aangesteld; alle vervoer gedocumenteerd</w:t>
            </w:r>
          </w:p>
        </w:tc>
        <w:tc>
          <w:tcPr>
            <w:tcW w:type="dxa" w:w="1417"/>
          </w:tcPr>
          <w:p>
            <w:r>
              <w:rPr>
                <w:sz w:val="16"/>
              </w:rPr>
              <w:t>ADR-compliance dossier + veiligheidsadviseursrapport</w:t>
            </w:r>
          </w:p>
        </w:tc>
        <w:tc>
          <w:tcPr>
            <w:tcW w:type="dxa" w:w="567"/>
          </w:tcPr>
          <w:p>
            <w:r>
              <w:rPr>
                <w:sz w:val="16"/>
              </w:rPr>
              <w:t>H</w:t>
            </w:r>
          </w:p>
        </w:tc>
        <w:tc>
          <w:tcPr>
            <w:tcW w:type="dxa" w:w="1417"/>
          </w:tcPr>
          <w:p>
            <w:r>
              <w:rPr>
                <w:sz w:val="16"/>
              </w:rPr>
              <w:t>HSEQ Manager</w:t>
            </w:r>
          </w:p>
        </w:tc>
      </w:tr>
    </w:tbl>
    <w:p/>
    <w:p>
      <w:pPr>
        <w:pStyle w:val="Heading3"/>
      </w:pPr>
      <w:r>
        <w:t>2.1.16 Seveso-regeling 2024</w:t>
      </w:r>
    </w:p>
    <w:p>
      <w:r>
        <w:t>(1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Seveso-regeling 2024 van toepassing bepaald</w:t>
            </w:r>
          </w:p>
        </w:tc>
        <w:tc>
          <w:tcPr>
            <w:tcW w:type="dxa" w:w="1984"/>
          </w:tcPr>
          <w:p>
            <w:r>
              <w:rPr>
                <w:sz w:val="16"/>
              </w:rPr>
              <w:t>Seveso-regeling 2024</w:t>
            </w:r>
          </w:p>
        </w:tc>
        <w:tc>
          <w:tcPr>
            <w:tcW w:type="dxa" w:w="3402"/>
          </w:tcPr>
          <w:p>
            <w:r>
              <w:rPr>
                <w:sz w:val="16"/>
              </w:rPr>
              <w:t>Bepaal of de pilot plant onder de Seveso-regeling 2024 (voorheen BRZO) valt op basis van de hoeveelheden gevaarlijke stoffen: H₂SO₄ (drempelwaarde 100 ton voor categorie 1), HCl, en vanadiumverbindingen. Indien van toepassing: Veiligheidsrapport (VR) of Notitie Beheersing Risico's (NBR) vereist, evenals een intern en extern noodplan. De Seveso-regeling is in werking getreden per 2024 [7].</w:t>
            </w:r>
          </w:p>
        </w:tc>
        <w:tc>
          <w:tcPr>
            <w:tcW w:type="dxa" w:w="1701"/>
          </w:tcPr>
          <w:p>
            <w:r>
              <w:rPr>
                <w:sz w:val="16"/>
              </w:rPr>
              <w:t>Seveso-applicability bepaald; indien van toepassing: VR/NBR ingediend; noodplan compleet</w:t>
            </w:r>
          </w:p>
        </w:tc>
        <w:tc>
          <w:tcPr>
            <w:tcW w:type="dxa" w:w="1417"/>
          </w:tcPr>
          <w:p>
            <w:r>
              <w:rPr>
                <w:sz w:val="16"/>
              </w:rPr>
              <w:t>Seveso-applicability assessment + VR/NBR (indien van toepassing)</w:t>
            </w:r>
          </w:p>
        </w:tc>
        <w:tc>
          <w:tcPr>
            <w:tcW w:type="dxa" w:w="567"/>
          </w:tcPr>
          <w:p>
            <w:r>
              <w:rPr>
                <w:sz w:val="16"/>
              </w:rPr>
              <w:t>H</w:t>
            </w:r>
          </w:p>
        </w:tc>
        <w:tc>
          <w:tcPr>
            <w:tcW w:type="dxa" w:w="1417"/>
          </w:tcPr>
          <w:p>
            <w:r>
              <w:rPr>
                <w:sz w:val="16"/>
              </w:rPr>
              <w:t>HSEQ Manager</w:t>
            </w:r>
          </w:p>
        </w:tc>
      </w:tr>
    </w:tbl>
    <w:p/>
    <w:p>
      <w:pPr>
        <w:pStyle w:val="Heading3"/>
      </w:pPr>
      <w:r>
        <w:t>2.1.17 Documentatie &amp; Kwaliteitsborging</w:t>
      </w:r>
    </w:p>
    <w:p>
      <w:r>
        <w:t>(4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Document Management Systeem (DMS) geïmplementeerd</w:t>
            </w:r>
          </w:p>
        </w:tc>
        <w:tc>
          <w:tcPr>
            <w:tcW w:type="dxa" w:w="1984"/>
          </w:tcPr>
          <w:p>
            <w:r>
              <w:rPr>
                <w:sz w:val="16"/>
              </w:rPr>
              <w:t>ISO 9001, MASTER_SOP §7</w:t>
            </w:r>
          </w:p>
        </w:tc>
        <w:tc>
          <w:tcPr>
            <w:tcW w:type="dxa" w:w="3402"/>
          </w:tcPr>
          <w:p>
            <w:r>
              <w:rPr>
                <w:sz w:val="16"/>
              </w:rPr>
              <w:t>Een DMS moet vóór de bouwfase operationeel zijn. Vereisten: versiebeheer (semantic versioning), goedkeuringsmatrix (opsteller → reviewer → goedkeurder), distributielijsten, archief (oud → nieuw), en toegangsbeheer. Alle projectdocumenten (tekeningen, berekeningen, procedures, keuringsrapporten) moeten in het DMS worden beheerd. Het DMS moet voldoen aan ISO 9001 eisen voor documentbeheer [12].</w:t>
            </w:r>
          </w:p>
        </w:tc>
        <w:tc>
          <w:tcPr>
            <w:tcW w:type="dxa" w:w="1701"/>
          </w:tcPr>
          <w:p>
            <w:r>
              <w:rPr>
                <w:sz w:val="16"/>
              </w:rPr>
              <w:t>DMS operationeel; versiebeheer actief; goedkeuringsmatrix functioneel; alle documenten opgenomen</w:t>
            </w:r>
          </w:p>
        </w:tc>
        <w:tc>
          <w:tcPr>
            <w:tcW w:type="dxa" w:w="1417"/>
          </w:tcPr>
          <w:p>
            <w:r>
              <w:rPr>
                <w:sz w:val="16"/>
              </w:rPr>
              <w:t>DMS procedure + goedkeuringsmatrix + user-acceptatie test</w:t>
            </w:r>
          </w:p>
        </w:tc>
        <w:tc>
          <w:tcPr>
            <w:tcW w:type="dxa" w:w="567"/>
          </w:tcPr>
          <w:p>
            <w:r>
              <w:rPr>
                <w:sz w:val="16"/>
              </w:rPr>
              <w:t>H</w:t>
            </w:r>
          </w:p>
        </w:tc>
        <w:tc>
          <w:tcPr>
            <w:tcW w:type="dxa" w:w="1417"/>
          </w:tcPr>
          <w:p>
            <w:r>
              <w:rPr>
                <w:sz w:val="16"/>
              </w:rPr>
              <w:t>Project Manager</w:t>
            </w:r>
          </w:p>
        </w:tc>
      </w:tr>
      <w:tr>
        <w:tc>
          <w:tcPr>
            <w:tcW w:type="dxa" w:w="2551"/>
            <w:shd w:fill="F0F4F8" w:val="clear"/>
          </w:tcPr>
          <w:p>
            <w:r>
              <w:rPr>
                <w:sz w:val="16"/>
              </w:rPr>
              <w:t>Alle documenten voorzien van versiebeheer en classificatie</w:t>
            </w:r>
          </w:p>
        </w:tc>
        <w:tc>
          <w:tcPr>
            <w:tcW w:type="dxa" w:w="1984"/>
            <w:shd w:fill="F0F4F8" w:val="clear"/>
          </w:tcPr>
          <w:p>
            <w:r>
              <w:rPr>
                <w:sz w:val="16"/>
              </w:rPr>
              <w:t>MASTER_SOP §7, ISO 9001 §7.5</w:t>
            </w:r>
          </w:p>
        </w:tc>
        <w:tc>
          <w:tcPr>
            <w:tcW w:type="dxa" w:w="3402"/>
            <w:shd w:fill="F0F4F8" w:val="clear"/>
          </w:tcPr>
          <w:p>
            <w:r>
              <w:rPr>
                <w:sz w:val="16"/>
              </w:rPr>
              <w:t>Elk document moet bevatten: versienummer (MAJOR.MINOR.PATCH), status (Concept/Review/Goedgekeurd/Vervallen), auteur, reviewer, goedkeurder, en datum. Classificatie: Vertrouwelijk/Intern/Openbaar. Documenten mogen NOOIT worden overschreven — oude versies gaan naar archief. Template: JvG huisstijl met logo, footer, documentheader [12].</w:t>
            </w:r>
          </w:p>
        </w:tc>
        <w:tc>
          <w:tcPr>
            <w:tcW w:type="dxa" w:w="1701"/>
            <w:shd w:fill="F0F4F8" w:val="clear"/>
          </w:tcPr>
          <w:p>
            <w:r>
              <w:rPr>
                <w:sz w:val="16"/>
              </w:rPr>
              <w:t>100% van documenten voorzien van metadata; geen overschrijvingen; archief actief</w:t>
            </w:r>
          </w:p>
        </w:tc>
        <w:tc>
          <w:tcPr>
            <w:tcW w:type="dxa" w:w="1417"/>
            <w:shd w:fill="F0F4F8" w:val="clear"/>
          </w:tcPr>
          <w:p>
            <w:r>
              <w:rPr>
                <w:sz w:val="16"/>
              </w:rPr>
              <w:t>Documentenregister + template-bibliotheek</w:t>
            </w:r>
          </w:p>
        </w:tc>
        <w:tc>
          <w:tcPr>
            <w:tcW w:type="dxa" w:w="567"/>
            <w:shd w:fill="F0F4F8" w:val="clear"/>
          </w:tcPr>
          <w:p>
            <w:r>
              <w:rPr>
                <w:sz w:val="16"/>
              </w:rPr>
              <w:t>H</w:t>
            </w:r>
          </w:p>
        </w:tc>
        <w:tc>
          <w:tcPr>
            <w:tcW w:type="dxa" w:w="1417"/>
            <w:shd w:fill="F0F4F8" w:val="clear"/>
          </w:tcPr>
          <w:p>
            <w:r>
              <w:rPr>
                <w:sz w:val="16"/>
              </w:rPr>
              <w:t>Project Manager</w:t>
            </w:r>
          </w:p>
        </w:tc>
      </w:tr>
      <w:tr>
        <w:tc>
          <w:tcPr>
            <w:tcW w:type="dxa" w:w="2551"/>
          </w:tcPr>
          <w:p>
            <w:r>
              <w:rPr>
                <w:sz w:val="16"/>
              </w:rPr>
              <w:t>Project Quality Plan opgesteld</w:t>
            </w:r>
          </w:p>
        </w:tc>
        <w:tc>
          <w:tcPr>
            <w:tcW w:type="dxa" w:w="1984"/>
          </w:tcPr>
          <w:p>
            <w:r>
              <w:rPr>
                <w:sz w:val="16"/>
              </w:rPr>
              <w:t>ISO 9001</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M</w:t>
            </w:r>
          </w:p>
        </w:tc>
        <w:tc>
          <w:tcPr>
            <w:tcW w:type="dxa" w:w="1417"/>
          </w:tcPr>
          <w:p>
            <w:r>
              <w:rPr>
                <w:sz w:val="16"/>
              </w:rPr>
              <w:t>QA Manager</w:t>
            </w:r>
          </w:p>
        </w:tc>
      </w:tr>
      <w:tr>
        <w:tc>
          <w:tcPr>
            <w:tcW w:type="dxa" w:w="2551"/>
            <w:shd w:fill="F0F4F8" w:val="clear"/>
          </w:tcPr>
          <w:p>
            <w:r>
              <w:rPr>
                <w:sz w:val="16"/>
              </w:rPr>
              <w:t>Design Basis Memorandum vastgesteld</w:t>
            </w:r>
          </w:p>
        </w:tc>
        <w:tc>
          <w:tcPr>
            <w:tcW w:type="dxa" w:w="1984"/>
            <w:shd w:fill="F0F4F8" w:val="clear"/>
          </w:tcPr>
          <w:p>
            <w:r>
              <w:rPr>
                <w:sz w:val="16"/>
              </w:rPr>
              <w:t>Best practice</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Project Manager</w:t>
            </w:r>
          </w:p>
        </w:tc>
      </w:tr>
    </w:tbl>
    <w:p/>
    <w:p>
      <w:pPr>
        <w:pStyle w:val="Heading2"/>
      </w:pPr>
      <w:r>
        <w:t>2.2 Bouwfase — Contractor &amp; Permit to Work</w:t>
      </w:r>
    </w:p>
    <w:p>
      <w:pPr>
        <w:pStyle w:val="Heading3"/>
      </w:pPr>
      <w:r>
        <w:t>2.2.1 Contractor &amp; PtW Management</w:t>
      </w:r>
    </w:p>
    <w:p>
      <w:r>
        <w:t>(7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Digitaal Permit to Work (PtW) systeem geïmplementeerd</w:t>
            </w:r>
          </w:p>
        </w:tc>
        <w:tc>
          <w:tcPr>
            <w:tcW w:type="dxa" w:w="1984"/>
          </w:tcPr>
          <w:p>
            <w:r>
              <w:rPr>
                <w:sz w:val="16"/>
              </w:rPr>
              <w:t>Best practice, Arbobesluit art. 2.42</w:t>
            </w:r>
          </w:p>
        </w:tc>
        <w:tc>
          <w:tcPr>
            <w:tcW w:type="dxa" w:w="3402"/>
          </w:tcPr>
          <w:p>
            <w:r>
              <w:rPr>
                <w:sz w:val="16"/>
              </w:rPr>
              <w:t>Het digitale PtW systeem moet de volgende vergunningstypen dekken: Hot Work (branden, lassen, slijpen — met verplichte gasmeting &lt; 10% LEL), Confined Space (bemande wachtpost, gasmeting, reddingsplan), Excavation (kabel/leidingdetectie vooraf), Electrical (LOTO verplicht), Height (&gt; 2,5 m), en General. Elke vergunning moet: aanvrager → approver → close-out trail hebben. Real-time dashboard voor openstaande vergunningen [24].</w:t>
            </w:r>
          </w:p>
        </w:tc>
        <w:tc>
          <w:tcPr>
            <w:tcW w:type="dxa" w:w="1701"/>
          </w:tcPr>
          <w:p>
            <w:r>
              <w:rPr>
                <w:sz w:val="16"/>
              </w:rPr>
              <w:t>PtW systeem operationeel; alle vergunningstypen beschikbaar; real-time dashboard actief</w:t>
            </w:r>
          </w:p>
        </w:tc>
        <w:tc>
          <w:tcPr>
            <w:tcW w:type="dxa" w:w="1417"/>
          </w:tcPr>
          <w:p>
            <w:r>
              <w:rPr>
                <w:sz w:val="16"/>
              </w:rPr>
              <w:t>PtW systeem configuratie + gebruikershandleiding</w:t>
            </w:r>
          </w:p>
        </w:tc>
        <w:tc>
          <w:tcPr>
            <w:tcW w:type="dxa" w:w="567"/>
          </w:tcPr>
          <w:p>
            <w:r>
              <w:rPr>
                <w:sz w:val="16"/>
              </w:rPr>
              <w:t>H</w:t>
            </w:r>
          </w:p>
        </w:tc>
        <w:tc>
          <w:tcPr>
            <w:tcW w:type="dxa" w:w="1417"/>
          </w:tcPr>
          <w:p>
            <w:r>
              <w:rPr>
                <w:sz w:val="16"/>
              </w:rPr>
              <w:t>Contractor Manager</w:t>
            </w:r>
          </w:p>
        </w:tc>
      </w:tr>
      <w:tr>
        <w:tc>
          <w:tcPr>
            <w:tcW w:type="dxa" w:w="2551"/>
            <w:shd w:fill="F0F4F8" w:val="clear"/>
          </w:tcPr>
          <w:p>
            <w:r>
              <w:rPr>
                <w:sz w:val="16"/>
              </w:rPr>
              <w:t>TRA (Task Risk Analysis) verplicht voor kritieke werkzaamheden</w:t>
            </w:r>
          </w:p>
        </w:tc>
        <w:tc>
          <w:tcPr>
            <w:tcW w:type="dxa" w:w="1984"/>
            <w:shd w:fill="F0F4F8" w:val="clear"/>
          </w:tcPr>
          <w:p>
            <w:r>
              <w:rPr>
                <w:sz w:val="16"/>
              </w:rPr>
              <w:t>Arbobesluit art. 5, VCA**</w:t>
            </w:r>
          </w:p>
        </w:tc>
        <w:tc>
          <w:tcPr>
            <w:tcW w:type="dxa" w:w="3402"/>
            <w:shd w:fill="F0F4F8" w:val="clear"/>
          </w:tcPr>
          <w:p>
            <w:r>
              <w:rPr>
                <w:sz w:val="16"/>
              </w:rPr>
              <w:t>Elke kritieke werkzaamheid (hot work, confined space, hijsen, graafwerk) moet vooraf worden voorzien van een TRA. De TRA identificeert: gevaren → risico's → beheersmaatregelen → rest risico. De TRA moet door de uitvoerders worden ondertekend en moet op de werkplek aanwezig zijn. Minimum: taakomschrijving, gevareninventarisatie, maatregelen, en PBM-vereisten [24].</w:t>
            </w:r>
          </w:p>
        </w:tc>
        <w:tc>
          <w:tcPr>
            <w:tcW w:type="dxa" w:w="1701"/>
            <w:shd w:fill="F0F4F8" w:val="clear"/>
          </w:tcPr>
          <w:p>
            <w:r>
              <w:rPr>
                <w:sz w:val="16"/>
              </w:rPr>
              <w:t>TRA verplicht bij alle kritieke werkzaamheden; 100% compliance; ondertekend door uitvoerders</w:t>
            </w:r>
          </w:p>
        </w:tc>
        <w:tc>
          <w:tcPr>
            <w:tcW w:type="dxa" w:w="1417"/>
            <w:shd w:fill="F0F4F8" w:val="clear"/>
          </w:tcPr>
          <w:p>
            <w:r>
              <w:rPr>
                <w:sz w:val="16"/>
              </w:rPr>
              <w:t>TRA formulier + steekproefsaudit resultaten</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LMRA (Last Minute Risk Analysis) verplicht bij start elke shift</w:t>
            </w:r>
          </w:p>
        </w:tc>
        <w:tc>
          <w:tcPr>
            <w:tcW w:type="dxa" w:w="1984"/>
          </w:tcPr>
          <w:p>
            <w:r>
              <w:rPr>
                <w:sz w:val="16"/>
              </w:rPr>
              <w:t>Arbobesluit, VCA**</w:t>
            </w:r>
          </w:p>
        </w:tc>
        <w:tc>
          <w:tcPr>
            <w:tcW w:type="dxa" w:w="3402"/>
          </w:tcPr>
          <w:p>
            <w:r>
              <w:rPr>
                <w:sz w:val="16"/>
              </w:rPr>
              <w:t>De LMRA is een korte (5-10 minuten) risicoanalyse die aan het begin van elke shift door de uitvoerders zelf wordt gedaan. Checklist: (1) werkplek schoon en veilig, (2) gereedschap gekeurd, (3) PBM's correct, (4) afzettingen aanwezig, (5)wijzigingen t.o.v. gisteren? De LMRA moet schriftelijk worden vastgelegd en bij de werkplek aanwezig zijn [24].</w:t>
            </w:r>
          </w:p>
        </w:tc>
        <w:tc>
          <w:tcPr>
            <w:tcW w:type="dxa" w:w="1701"/>
          </w:tcPr>
          <w:p>
            <w:r>
              <w:rPr>
                <w:sz w:val="16"/>
              </w:rPr>
              <w:t>LMRA 100% compliance bij alle shifts; schriftelijk vastgelegd; steekproef door HSEQ</w:t>
            </w:r>
          </w:p>
        </w:tc>
        <w:tc>
          <w:tcPr>
            <w:tcW w:type="dxa" w:w="1417"/>
          </w:tcPr>
          <w:p>
            <w:r>
              <w:rPr>
                <w:sz w:val="16"/>
              </w:rPr>
              <w:t>LMRA formulieren + auditresultaten</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Gatekeeper protocol voor aannemers (inductie, VCA-check)</w:t>
            </w:r>
          </w:p>
        </w:tc>
        <w:tc>
          <w:tcPr>
            <w:tcW w:type="dxa" w:w="1984"/>
            <w:shd w:fill="F0F4F8" w:val="clear"/>
          </w:tcPr>
          <w:p>
            <w:r>
              <w:rPr>
                <w:sz w:val="16"/>
              </w:rPr>
              <w:t>VCA**, Arbobesluit art. 2.42</w:t>
            </w:r>
          </w:p>
        </w:tc>
        <w:tc>
          <w:tcPr>
            <w:tcW w:type="dxa" w:w="3402"/>
            <w:shd w:fill="F0F4F8" w:val="clear"/>
          </w:tcPr>
          <w:p>
            <w:r>
              <w:rPr>
                <w:sz w:val="16"/>
              </w:rPr>
              <w:t>Elke aannemer die de bouwplaats betreedt moet: (1) VCA** certificaat overleggen, (2) bedrijfsinductie volgen (site-specifieke risico's: zuren, stof, hoogte), (3) taakinductie voor specifieke werkzaamheden, (4) medische geschiktheid aantonen. De gatekeeper (toezichthouder bij ingang) controleert dagelijks de papieren. Niet-gecertificeerde aannemers worden geweigerd [24].</w:t>
            </w:r>
          </w:p>
        </w:tc>
        <w:tc>
          <w:tcPr>
            <w:tcW w:type="dxa" w:w="1701"/>
            <w:shd w:fill="F0F4F8" w:val="clear"/>
          </w:tcPr>
          <w:p>
            <w:r>
              <w:rPr>
                <w:sz w:val="16"/>
              </w:rPr>
              <w:t>Gatekeeper protocol actief; 100% inductie; 0 niet-gecertificeerde aannemers op site</w:t>
            </w:r>
          </w:p>
        </w:tc>
        <w:tc>
          <w:tcPr>
            <w:tcW w:type="dxa" w:w="1417"/>
            <w:shd w:fill="F0F4F8" w:val="clear"/>
          </w:tcPr>
          <w:p>
            <w:r>
              <w:rPr>
                <w:sz w:val="16"/>
              </w:rPr>
              <w:t>Inductieregister + VCA-certificaten archief</w:t>
            </w:r>
          </w:p>
        </w:tc>
        <w:tc>
          <w:tcPr>
            <w:tcW w:type="dxa" w:w="567"/>
            <w:shd w:fill="F0F4F8" w:val="clear"/>
          </w:tcPr>
          <w:p>
            <w:r>
              <w:rPr>
                <w:sz w:val="16"/>
              </w:rPr>
              <w:t>H</w:t>
            </w:r>
          </w:p>
        </w:tc>
        <w:tc>
          <w:tcPr>
            <w:tcW w:type="dxa" w:w="1417"/>
            <w:shd w:fill="F0F4F8" w:val="clear"/>
          </w:tcPr>
          <w:p>
            <w:r>
              <w:rPr>
                <w:sz w:val="16"/>
              </w:rPr>
              <w:t>Contractor Manager</w:t>
            </w:r>
          </w:p>
        </w:tc>
      </w:tr>
      <w:tr>
        <w:tc>
          <w:tcPr>
            <w:tcW w:type="dxa" w:w="2551"/>
          </w:tcPr>
          <w:p>
            <w:r>
              <w:rPr>
                <w:sz w:val="16"/>
              </w:rPr>
              <w:t>SIMOPS (Simultane Operations) coördinatie protocol</w:t>
            </w:r>
          </w:p>
        </w:tc>
        <w:tc>
          <w:tcPr>
            <w:tcW w:type="dxa" w:w="1984"/>
          </w:tcPr>
          <w:p>
            <w:r>
              <w:rPr>
                <w:sz w:val="16"/>
              </w:rPr>
              <w:t>Best practice, VCA**</w:t>
            </w:r>
          </w:p>
        </w:tc>
        <w:tc>
          <w:tcPr>
            <w:tcW w:type="dxa" w:w="3402"/>
          </w:tcPr>
          <w:p>
            <w:r>
              <w:rPr>
                <w:sz w:val="16"/>
              </w:rPr>
              <w:t>Bij gelijktijdige werkzaamheden (bijv. hijsen boven terwijl op grondniveau gewerkt wordt) moet een SIMOPS-protocol actief zijn. Het protocol definieert: welke werkzaamheden gelijktijdig mogen plaatsvinden, welke niet (exclusion zones), en wie de coördinatie doet. SIMOPS moet dagelijks worden besproken in de toolbox meeting [24].</w:t>
            </w:r>
          </w:p>
        </w:tc>
        <w:tc>
          <w:tcPr>
            <w:tcW w:type="dxa" w:w="1701"/>
          </w:tcPr>
          <w:p>
            <w:r>
              <w:rPr>
                <w:sz w:val="16"/>
              </w:rPr>
              <w:t>SIMOPS protocol actief; exclusion zones gedefinieerd; dagelijks besproken in toolbox</w:t>
            </w:r>
          </w:p>
        </w:tc>
        <w:tc>
          <w:tcPr>
            <w:tcW w:type="dxa" w:w="1417"/>
          </w:tcPr>
          <w:p>
            <w:r>
              <w:rPr>
                <w:sz w:val="16"/>
              </w:rPr>
              <w:t>SIMOPS register + exclusion zone plattegrond</w:t>
            </w:r>
          </w:p>
        </w:tc>
        <w:tc>
          <w:tcPr>
            <w:tcW w:type="dxa" w:w="567"/>
          </w:tcPr>
          <w:p>
            <w:r>
              <w:rPr>
                <w:sz w:val="16"/>
              </w:rPr>
              <w:t>H</w:t>
            </w:r>
          </w:p>
        </w:tc>
        <w:tc>
          <w:tcPr>
            <w:tcW w:type="dxa" w:w="1417"/>
          </w:tcPr>
          <w:p>
            <w:r>
              <w:rPr>
                <w:sz w:val="16"/>
              </w:rPr>
              <w:t>Project Manager</w:t>
            </w:r>
          </w:p>
        </w:tc>
      </w:tr>
      <w:tr>
        <w:tc>
          <w:tcPr>
            <w:tcW w:type="dxa" w:w="2551"/>
            <w:shd w:fill="F0F4F8" w:val="clear"/>
          </w:tcPr>
          <w:p>
            <w:r>
              <w:rPr>
                <w:sz w:val="16"/>
              </w:rPr>
              <w:t>VCA** certificering verplicht voor alle aannemers</w:t>
            </w:r>
          </w:p>
        </w:tc>
        <w:tc>
          <w:tcPr>
            <w:tcW w:type="dxa" w:w="1984"/>
            <w:shd w:fill="F0F4F8" w:val="clear"/>
          </w:tcPr>
          <w:p>
            <w:r>
              <w:rPr>
                <w:sz w:val="16"/>
              </w:rPr>
              <w:t>VCA** 2017/6.0</w:t>
            </w:r>
          </w:p>
        </w:tc>
        <w:tc>
          <w:tcPr>
            <w:tcW w:type="dxa" w:w="3402"/>
            <w:shd w:fill="F0F4F8" w:val="clear"/>
          </w:tcPr>
          <w:p>
            <w:r>
              <w:rPr>
                <w:sz w:val="16"/>
              </w:rPr>
              <w:t>Alle aannemers op de bouwplaats moeten in het bezit zijn van een geldig VCA** certificaat (Veiligheid, Gezondheid en Milieu Checklist Aannemers). Dit geldt voor zowel het bedrijf als de individuele medewerkers. Het certificaat moet jaarlijks worden vernieuwd. De aannemer moet aantonen dat veiligheidsmanagement is ingebed in de organisatie [24].</w:t>
            </w:r>
          </w:p>
        </w:tc>
        <w:tc>
          <w:tcPr>
            <w:tcW w:type="dxa" w:w="1701"/>
            <w:shd w:fill="F0F4F8" w:val="clear"/>
          </w:tcPr>
          <w:p>
            <w:r>
              <w:rPr>
                <w:sz w:val="16"/>
              </w:rPr>
              <w:t>100% VCA** compliance; certificaten geverifieerd vóór aanvang werk</w:t>
            </w:r>
          </w:p>
        </w:tc>
        <w:tc>
          <w:tcPr>
            <w:tcW w:type="dxa" w:w="1417"/>
            <w:shd w:fill="F0F4F8" w:val="clear"/>
          </w:tcPr>
          <w:p>
            <w:r>
              <w:rPr>
                <w:sz w:val="16"/>
              </w:rPr>
              <w:t>VCA-certificaten bestand</w:t>
            </w:r>
          </w:p>
        </w:tc>
        <w:tc>
          <w:tcPr>
            <w:tcW w:type="dxa" w:w="567"/>
            <w:shd w:fill="F0F4F8" w:val="clear"/>
          </w:tcPr>
          <w:p>
            <w:r>
              <w:rPr>
                <w:sz w:val="16"/>
              </w:rPr>
              <w:t>H</w:t>
            </w:r>
          </w:p>
        </w:tc>
        <w:tc>
          <w:tcPr>
            <w:tcW w:type="dxa" w:w="1417"/>
            <w:shd w:fill="F0F4F8" w:val="clear"/>
          </w:tcPr>
          <w:p>
            <w:r>
              <w:rPr>
                <w:sz w:val="16"/>
              </w:rPr>
              <w:t>Contractor Manager</w:t>
            </w:r>
          </w:p>
        </w:tc>
      </w:tr>
      <w:tr>
        <w:tc>
          <w:tcPr>
            <w:tcW w:type="dxa" w:w="2551"/>
          </w:tcPr>
          <w:p>
            <w:r>
              <w:rPr>
                <w:sz w:val="16"/>
              </w:rPr>
              <w:t>Toolbox meetings dagelijks verplicht</w:t>
            </w:r>
          </w:p>
        </w:tc>
        <w:tc>
          <w:tcPr>
            <w:tcW w:type="dxa" w:w="1984"/>
          </w:tcPr>
          <w:p>
            <w:r>
              <w:rPr>
                <w:sz w:val="16"/>
              </w:rPr>
              <w:t>VCA**, Arbobesluit</w:t>
            </w:r>
          </w:p>
        </w:tc>
        <w:tc>
          <w:tcPr>
            <w:tcW w:type="dxa" w:w="3402"/>
          </w:tcPr>
          <w:p>
            <w:r>
              <w:rPr>
                <w:sz w:val="16"/>
              </w:rPr>
              <w:t>Elke werkdag begint met een toolbox meeting (10-15 minuten) met alle uitvoerders. Onderwerpen: werkzaamheden vandaag, risico's, maatregelen, wijzigingen t.o.v. plan, en incidenten van gisteren. De meeting wordt geleid door de uitvoerder/voorman en schriftelijk vastgelegd (aanwezigen, onderwerpen, afspraken) [24].</w:t>
            </w:r>
          </w:p>
        </w:tc>
        <w:tc>
          <w:tcPr>
            <w:tcW w:type="dxa" w:w="1701"/>
          </w:tcPr>
          <w:p>
            <w:r>
              <w:rPr>
                <w:sz w:val="16"/>
              </w:rPr>
              <w:t>Toolbox meetings 100% compliance; schriftelijk vastgelegd; alle uitvoerders aanwezig</w:t>
            </w:r>
          </w:p>
        </w:tc>
        <w:tc>
          <w:tcPr>
            <w:tcW w:type="dxa" w:w="1417"/>
          </w:tcPr>
          <w:p>
            <w:r>
              <w:rPr>
                <w:sz w:val="16"/>
              </w:rPr>
              <w:t>Toolbox registratieformulieren</w:t>
            </w:r>
          </w:p>
        </w:tc>
        <w:tc>
          <w:tcPr>
            <w:tcW w:type="dxa" w:w="567"/>
          </w:tcPr>
          <w:p>
            <w:r>
              <w:rPr>
                <w:sz w:val="16"/>
              </w:rPr>
              <w:t>H</w:t>
            </w:r>
          </w:p>
        </w:tc>
        <w:tc>
          <w:tcPr>
            <w:tcW w:type="dxa" w:w="1417"/>
          </w:tcPr>
          <w:p>
            <w:r>
              <w:rPr>
                <w:sz w:val="16"/>
              </w:rPr>
              <w:t>Contractor Manager</w:t>
            </w:r>
          </w:p>
        </w:tc>
      </w:tr>
    </w:tbl>
    <w:p/>
    <w:p>
      <w:pPr>
        <w:pStyle w:val="Heading3"/>
      </w:pPr>
      <w:r>
        <w:t>2.2.2 Bouwfase Arbo</w:t>
      </w:r>
    </w:p>
    <w:p>
      <w:r>
        <w:t>(2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Bouwputten afgezet en beveiligd (leuningen, bordessen)</w:t>
            </w:r>
          </w:p>
        </w:tc>
        <w:tc>
          <w:tcPr>
            <w:tcW w:type="dxa" w:w="1984"/>
          </w:tcPr>
          <w:p>
            <w:r>
              <w:rPr>
                <w:sz w:val="16"/>
              </w:rPr>
              <w:t>Bbl, Arbobesluit art. 7.2</w:t>
            </w:r>
          </w:p>
        </w:tc>
        <w:tc>
          <w:tcPr>
            <w:tcW w:type="dxa" w:w="3402"/>
          </w:tcPr>
          <w:p>
            <w:r>
              <w:rPr>
                <w:sz w:val="16"/>
              </w:rPr>
              <w:t>Alle bouwputten en hoogteverschillen &gt; 1,0 m moeten zijn voorzien van collectieve valbeveiliging: leuningen (hoogte minimaal 1,0 m, tussenleuning op 0,5 m), Treeplanken (minimaal 0,18 m breed), en bordessen bij ingangen. Bij diepe putten (&gt; 2,5 m) is daarnaast een reddingsplan vereist [2].</w:t>
            </w:r>
          </w:p>
        </w:tc>
        <w:tc>
          <w:tcPr>
            <w:tcW w:type="dxa" w:w="1701"/>
          </w:tcPr>
          <w:p>
            <w:r>
              <w:rPr>
                <w:sz w:val="16"/>
              </w:rPr>
              <w:t>Alle bouwputten afgezet conform Bbl; leuningen ≥ 1,0 m; bordessen aanwezig</w:t>
            </w:r>
          </w:p>
        </w:tc>
        <w:tc>
          <w:tcPr>
            <w:tcW w:type="dxa" w:w="1417"/>
          </w:tcPr>
          <w:p>
            <w:r>
              <w:rPr>
                <w:sz w:val="16"/>
              </w:rPr>
              <w:t>Bouwfase veiligheidsplan + fotodocumentatie</w:t>
            </w:r>
          </w:p>
        </w:tc>
        <w:tc>
          <w:tcPr>
            <w:tcW w:type="dxa" w:w="567"/>
          </w:tcPr>
          <w:p>
            <w:r>
              <w:rPr>
                <w:sz w:val="16"/>
              </w:rPr>
              <w:t>H</w:t>
            </w:r>
          </w:p>
        </w:tc>
        <w:tc>
          <w:tcPr>
            <w:tcW w:type="dxa" w:w="1417"/>
          </w:tcPr>
          <w:p>
            <w:r>
              <w:rPr>
                <w:sz w:val="16"/>
              </w:rPr>
              <w:t>Project Engineer</w:t>
            </w:r>
          </w:p>
        </w:tc>
      </w:tr>
      <w:tr>
        <w:tc>
          <w:tcPr>
            <w:tcW w:type="dxa" w:w="2551"/>
            <w:shd w:fill="F0F4F8" w:val="clear"/>
          </w:tcPr>
          <w:p>
            <w:r>
              <w:rPr>
                <w:sz w:val="16"/>
              </w:rPr>
              <w:t>Kraanwerk veilig (hijsplan, vrijloop, keuring)</w:t>
            </w:r>
          </w:p>
        </w:tc>
        <w:tc>
          <w:tcPr>
            <w:tcW w:type="dxa" w:w="1984"/>
            <w:shd w:fill="F0F4F8" w:val="clear"/>
          </w:tcPr>
          <w:p>
            <w:r>
              <w:rPr>
                <w:sz w:val="16"/>
              </w:rPr>
              <w:t>Arbobesluit art. 5.1, NEN-EN 13155</w:t>
            </w:r>
          </w:p>
        </w:tc>
        <w:tc>
          <w:tcPr>
            <w:tcW w:type="dxa" w:w="3402"/>
            <w:shd w:fill="F0F4F8" w:val="clear"/>
          </w:tcPr>
          <w:p>
            <w:r>
              <w:rPr>
                <w:sz w:val="16"/>
              </w:rPr>
              <w:t>Alle hijsmiddelen (kranen, takels, hijsbanden) moeten: (1) geldig keuringsrapport hebben (jaarlijks), (2) belastbaarheidscorrectiefactoren toepassen, (3) worden bediend door gecertificeerde kraanmachinisten, en (4) voorzien zijn van een hijsplan voor complexe hijsbewerkingen. Bij wind &gt; 8 Bft worden hijswerkzaamheden gestaakt [1].</w:t>
            </w:r>
          </w:p>
        </w:tc>
        <w:tc>
          <w:tcPr>
            <w:tcW w:type="dxa" w:w="1701"/>
            <w:shd w:fill="F0F4F8" w:val="clear"/>
          </w:tcPr>
          <w:p>
            <w:r>
              <w:rPr>
                <w:sz w:val="16"/>
              </w:rPr>
              <w:t>Alle hijsmiddelen gekeurd; machinisten gecertificeerd; hijsplan beschikbaar; staking bij &gt; 8 Bft</w:t>
            </w:r>
          </w:p>
        </w:tc>
        <w:tc>
          <w:tcPr>
            <w:tcW w:type="dxa" w:w="1417"/>
            <w:shd w:fill="F0F4F8" w:val="clear"/>
          </w:tcPr>
          <w:p>
            <w:r>
              <w:rPr>
                <w:sz w:val="16"/>
              </w:rPr>
              <w:t>Keuringsrapporten + hijsplannen + certificaten machinisten</w:t>
            </w:r>
          </w:p>
        </w:tc>
        <w:tc>
          <w:tcPr>
            <w:tcW w:type="dxa" w:w="567"/>
            <w:shd w:fill="F0F4F8" w:val="clear"/>
          </w:tcPr>
          <w:p>
            <w:r>
              <w:rPr>
                <w:sz w:val="16"/>
              </w:rPr>
              <w:t>H</w:t>
            </w:r>
          </w:p>
        </w:tc>
        <w:tc>
          <w:tcPr>
            <w:tcW w:type="dxa" w:w="1417"/>
            <w:shd w:fill="F0F4F8" w:val="clear"/>
          </w:tcPr>
          <w:p>
            <w:r>
              <w:rPr>
                <w:sz w:val="16"/>
              </w:rPr>
              <w:t>Project Engineer</w:t>
            </w:r>
          </w:p>
        </w:tc>
      </w:tr>
    </w:tbl>
    <w:p/>
    <w:p>
      <w:pPr>
        <w:pStyle w:val="Heading3"/>
      </w:pPr>
      <w:r>
        <w:t>2.2.3 Bouwfase Brandpreventie</w:t>
      </w:r>
    </w:p>
    <w:p>
      <w:r>
        <w:t>(1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Brandpreventie bouwfase (blustoestellen, hot work protocol)</w:t>
            </w:r>
          </w:p>
        </w:tc>
        <w:tc>
          <w:tcPr>
            <w:tcW w:type="dxa" w:w="1984"/>
          </w:tcPr>
          <w:p>
            <w:r>
              <w:rPr>
                <w:sz w:val="16"/>
              </w:rPr>
              <w:t>Bbl, PGS 15:2025</w:t>
            </w:r>
          </w:p>
        </w:tc>
        <w:tc>
          <w:tcPr>
            <w:tcW w:type="dxa" w:w="3402"/>
          </w:tcPr>
          <w:p>
            <w:r>
              <w:rPr>
                <w:sz w:val="16"/>
              </w:rPr>
              <w:t>Tijdens de bouwfase moeten op elke verdieping/werkplek blustoestellen beschikbaar zijn (minimaal 1 poederblusser per 100 m²). Hot work (lassen, branden, slijpen) vereist een vergunning met: gasmeting (&lt; 10% LEL), brandwacht (2 uur nawaking), en brandwerende deken. Afval (verpakking, hout) dagelijks verwijderen [4].</w:t>
            </w:r>
          </w:p>
        </w:tc>
        <w:tc>
          <w:tcPr>
            <w:tcW w:type="dxa" w:w="1701"/>
          </w:tcPr>
          <w:p>
            <w:r>
              <w:rPr>
                <w:sz w:val="16"/>
              </w:rPr>
              <w:t>Blustoestellen elke 100 m²; hot work vergunning + gasmeting + brandwacht; afval dagelijks verwijderd</w:t>
            </w:r>
          </w:p>
        </w:tc>
        <w:tc>
          <w:tcPr>
            <w:tcW w:type="dxa" w:w="1417"/>
          </w:tcPr>
          <w:p>
            <w:r>
              <w:rPr>
                <w:sz w:val="16"/>
              </w:rPr>
              <w:t>Hot work vergunningen + blustoestellen registratie</w:t>
            </w:r>
          </w:p>
        </w:tc>
        <w:tc>
          <w:tcPr>
            <w:tcW w:type="dxa" w:w="567"/>
          </w:tcPr>
          <w:p>
            <w:r>
              <w:rPr>
                <w:sz w:val="16"/>
              </w:rPr>
              <w:t>H</w:t>
            </w:r>
          </w:p>
        </w:tc>
        <w:tc>
          <w:tcPr>
            <w:tcW w:type="dxa" w:w="1417"/>
          </w:tcPr>
          <w:p>
            <w:r>
              <w:rPr>
                <w:sz w:val="16"/>
              </w:rPr>
              <w:t>HSEQ Manager</w:t>
            </w:r>
          </w:p>
        </w:tc>
      </w:tr>
    </w:tbl>
    <w:p/>
    <w:p>
      <w:pPr>
        <w:pStyle w:val="Heading3"/>
      </w:pPr>
      <w:r>
        <w:t>2.2.4 Bouwfase Elektrotechnisch</w:t>
      </w:r>
    </w:p>
    <w:p>
      <w:r>
        <w:t>(2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Tijdelijke elektrische installatie veilig conform NEN 1010</w:t>
            </w:r>
          </w:p>
        </w:tc>
        <w:tc>
          <w:tcPr>
            <w:tcW w:type="dxa" w:w="1984"/>
          </w:tcPr>
          <w:p>
            <w:r>
              <w:rPr>
                <w:sz w:val="16"/>
              </w:rPr>
              <w:t>NEN 1010:2020+C1:2024 §7</w:t>
            </w:r>
          </w:p>
        </w:tc>
        <w:tc>
          <w:tcPr>
            <w:tcW w:type="dxa" w:w="3402"/>
          </w:tcPr>
          <w:p>
            <w:r>
              <w:rPr>
                <w:sz w:val="16"/>
              </w:rPr>
              <w:t>Tijdelijke elektrische installaties (bouwlift, verlichting, gereedschap) moeten conform NEN 1010 zijn uitgevoerd: aardlekschakelaars (30 mA), geaarde stopcontacten, kabels beschermd tegen mechanische beschadiging, en waterdichte verbindingen (IP44 minimaal). Keuring vóór ingebruikname en maandelijkse visuele controle [12].</w:t>
            </w:r>
          </w:p>
        </w:tc>
        <w:tc>
          <w:tcPr>
            <w:tcW w:type="dxa" w:w="1701"/>
          </w:tcPr>
          <w:p>
            <w:r>
              <w:rPr>
                <w:sz w:val="16"/>
              </w:rPr>
              <w:t>Tijdelijke installatie gekeurd; aardlekschakelaars 30 mA; kabels beschermd; maandelijkse controle</w:t>
            </w:r>
          </w:p>
        </w:tc>
        <w:tc>
          <w:tcPr>
            <w:tcW w:type="dxa" w:w="1417"/>
          </w:tcPr>
          <w:p>
            <w:r>
              <w:rPr>
                <w:sz w:val="16"/>
              </w:rPr>
              <w:t>Keuringsrapport tijdelijke installatie</w:t>
            </w:r>
          </w:p>
        </w:tc>
        <w:tc>
          <w:tcPr>
            <w:tcW w:type="dxa" w:w="567"/>
          </w:tcPr>
          <w:p>
            <w:r>
              <w:rPr>
                <w:sz w:val="16"/>
              </w:rPr>
              <w:t>M</w:t>
            </w:r>
          </w:p>
        </w:tc>
        <w:tc>
          <w:tcPr>
            <w:tcW w:type="dxa" w:w="1417"/>
          </w:tcPr>
          <w:p>
            <w:r>
              <w:rPr>
                <w:sz w:val="16"/>
              </w:rPr>
              <w:t>Elektrotechnisch Installateur</w:t>
            </w:r>
          </w:p>
        </w:tc>
      </w:tr>
      <w:tr>
        <w:tc>
          <w:tcPr>
            <w:tcW w:type="dxa" w:w="2551"/>
            <w:shd w:fill="F0F4F8" w:val="clear"/>
          </w:tcPr>
          <w:p>
            <w:r>
              <w:rPr>
                <w:sz w:val="16"/>
              </w:rPr>
              <w:t>Tijdelijke stroomvoorziening gekeurd</w:t>
            </w:r>
          </w:p>
        </w:tc>
        <w:tc>
          <w:tcPr>
            <w:tcW w:type="dxa" w:w="1984"/>
            <w:shd w:fill="F0F4F8" w:val="clear"/>
          </w:tcPr>
          <w:p>
            <w:r>
              <w:rPr>
                <w:sz w:val="16"/>
              </w:rPr>
              <w:t>NEN 1010:2020+C1:2024</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Installateur</w:t>
            </w:r>
          </w:p>
        </w:tc>
      </w:tr>
    </w:tbl>
    <w:p/>
    <w:p>
      <w:pPr>
        <w:pStyle w:val="Heading3"/>
      </w:pPr>
      <w:r>
        <w:t>2.2.5 Bouwfase Documentatie</w:t>
      </w:r>
    </w:p>
    <w:p>
      <w:r>
        <w:t>(3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Bouwlogboek bijgehouden (dagelijks)</w:t>
            </w:r>
          </w:p>
        </w:tc>
        <w:tc>
          <w:tcPr>
            <w:tcW w:type="dxa" w:w="1984"/>
          </w:tcPr>
          <w:p>
            <w:r>
              <w:rPr>
                <w:sz w:val="16"/>
              </w:rPr>
              <w:t>Best practice, ISO 9001</w:t>
            </w:r>
          </w:p>
        </w:tc>
        <w:tc>
          <w:tcPr>
            <w:tcW w:type="dxa" w:w="3402"/>
          </w:tcPr>
          <w:p>
            <w:r>
              <w:rPr>
                <w:sz w:val="16"/>
              </w:rPr>
              <w:t>Het bouwlogboek registreert dagelijks: weercondities, uitgevoerde werkzaamheden, incidenten/near misses, aanwezige aannemers, en afwijkingen van het plan. Het logboek is het primaire spoor van de bouwfase en wordt gebruikt bij eventuele geschillen of Claims. Digitaal aanbevolen (tablet) [12].</w:t>
            </w:r>
          </w:p>
        </w:tc>
        <w:tc>
          <w:tcPr>
            <w:tcW w:type="dxa" w:w="1701"/>
          </w:tcPr>
          <w:p>
            <w:r>
              <w:rPr>
                <w:sz w:val="16"/>
              </w:rPr>
              <w:t>Bouwlogboek dagelijks bijgehouden; alle incidenten geregistreerd; digitaal beschikbaar</w:t>
            </w:r>
          </w:p>
        </w:tc>
        <w:tc>
          <w:tcPr>
            <w:tcW w:type="dxa" w:w="1417"/>
          </w:tcPr>
          <w:p>
            <w:r>
              <w:rPr>
                <w:sz w:val="16"/>
              </w:rPr>
              <w:t>Digitaal bouwlogboek</w:t>
            </w:r>
          </w:p>
        </w:tc>
        <w:tc>
          <w:tcPr>
            <w:tcW w:type="dxa" w:w="567"/>
          </w:tcPr>
          <w:p>
            <w:r>
              <w:rPr>
                <w:sz w:val="16"/>
              </w:rPr>
              <w:t>M</w:t>
            </w:r>
          </w:p>
        </w:tc>
        <w:tc>
          <w:tcPr>
            <w:tcW w:type="dxa" w:w="1417"/>
          </w:tcPr>
          <w:p>
            <w:r>
              <w:rPr>
                <w:sz w:val="16"/>
              </w:rPr>
              <w:t>Project Manager</w:t>
            </w:r>
          </w:p>
        </w:tc>
      </w:tr>
      <w:tr>
        <w:tc>
          <w:tcPr>
            <w:tcW w:type="dxa" w:w="2551"/>
            <w:shd w:fill="F0F4F8" w:val="clear"/>
          </w:tcPr>
          <w:p>
            <w:r>
              <w:rPr>
                <w:sz w:val="16"/>
              </w:rPr>
              <w:t>Inspectierapporten gearchiveerd in DMS</w:t>
            </w:r>
          </w:p>
        </w:tc>
        <w:tc>
          <w:tcPr>
            <w:tcW w:type="dxa" w:w="1984"/>
            <w:shd w:fill="F0F4F8" w:val="clear"/>
          </w:tcPr>
          <w:p>
            <w:r>
              <w:rPr>
                <w:sz w:val="16"/>
              </w:rPr>
              <w:t>ISO 9001, MASTER_SOP §7</w:t>
            </w:r>
          </w:p>
        </w:tc>
        <w:tc>
          <w:tcPr>
            <w:tcW w:type="dxa" w:w="3402"/>
            <w:shd w:fill="F0F4F8" w:val="clear"/>
          </w:tcPr>
          <w:p>
            <w:r>
              <w:rPr>
                <w:sz w:val="16"/>
              </w:rPr>
              <w:t>Alle inspecties tijdens de bouwfase (beton, staal, lassen, coating) moeten worden vastgelegd in rapporten en gearchiveerd in het DMS. Elke inspectie moet bevatten: datum, inspector, resultaat (GO/NO-GO), afwijkingen, en foto's. Niet-goedgekeurde werkzaamheden moeten worden hersteld vóór voortgang [12].</w:t>
            </w:r>
          </w:p>
        </w:tc>
        <w:tc>
          <w:tcPr>
            <w:tcW w:type="dxa" w:w="1701"/>
            <w:shd w:fill="F0F4F8" w:val="clear"/>
          </w:tcPr>
          <w:p>
            <w:r>
              <w:rPr>
                <w:sz w:val="16"/>
              </w:rPr>
              <w:t>100% inspectierapporten gearchiveerd; afwijkingen opgelost vóór voortgang</w:t>
            </w:r>
          </w:p>
        </w:tc>
        <w:tc>
          <w:tcPr>
            <w:tcW w:type="dxa" w:w="1417"/>
            <w:shd w:fill="F0F4F8" w:val="clear"/>
          </w:tcPr>
          <w:p>
            <w:r>
              <w:rPr>
                <w:sz w:val="16"/>
              </w:rPr>
              <w:t>Inspectierapporten archief in DMS</w:t>
            </w:r>
          </w:p>
        </w:tc>
        <w:tc>
          <w:tcPr>
            <w:tcW w:type="dxa" w:w="567"/>
            <w:shd w:fill="F0F4F8" w:val="clear"/>
          </w:tcPr>
          <w:p>
            <w:r>
              <w:rPr>
                <w:sz w:val="16"/>
              </w:rPr>
              <w:t>M</w:t>
            </w:r>
          </w:p>
        </w:tc>
        <w:tc>
          <w:tcPr>
            <w:tcW w:type="dxa" w:w="1417"/>
            <w:shd w:fill="F0F4F8" w:val="clear"/>
          </w:tcPr>
          <w:p>
            <w:r>
              <w:rPr>
                <w:sz w:val="16"/>
              </w:rPr>
              <w:t>QC Inspector</w:t>
            </w:r>
          </w:p>
        </w:tc>
      </w:tr>
      <w:tr>
        <w:tc>
          <w:tcPr>
            <w:tcW w:type="dxa" w:w="2551"/>
          </w:tcPr>
          <w:p>
            <w:r>
              <w:rPr>
                <w:sz w:val="16"/>
              </w:rPr>
              <w:t>Bouwdagboek bijgehouden</w:t>
            </w:r>
          </w:p>
        </w:tc>
        <w:tc>
          <w:tcPr>
            <w:tcW w:type="dxa" w:w="1984"/>
          </w:tcPr>
          <w:p>
            <w:r>
              <w:rPr>
                <w:sz w:val="16"/>
              </w:rPr>
              <w:t>Besluit Bouwwerken Leefomgeving (Bbl)</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M</w:t>
            </w:r>
          </w:p>
        </w:tc>
        <w:tc>
          <w:tcPr>
            <w:tcW w:type="dxa" w:w="1417"/>
          </w:tcPr>
          <w:p>
            <w:r>
              <w:rPr>
                <w:sz w:val="16"/>
              </w:rPr>
              <w:t>Bouwleiding</w:t>
            </w:r>
          </w:p>
        </w:tc>
      </w:tr>
    </w:tbl>
    <w:p/>
    <w:p>
      <w:pPr>
        <w:pStyle w:val="Heading2"/>
      </w:pPr>
      <w:r>
        <w:t>2.3 Installatie — Pre-Commissioning &amp; Start-up</w:t>
      </w:r>
    </w:p>
    <w:p>
      <w:pPr>
        <w:pStyle w:val="Heading3"/>
      </w:pPr>
      <w:r>
        <w:t>2.3.1 Pre-Commissioning (Loop/Cable/Motor checks)</w:t>
      </w:r>
    </w:p>
    <w:p>
      <w:r>
        <w:t>(15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Loop checking: 100% instrumentatie verificatie</w:t>
            </w:r>
          </w:p>
        </w:tc>
        <w:tc>
          <w:tcPr>
            <w:tcW w:type="dxa" w:w="1984"/>
          </w:tcPr>
          <w:p>
            <w:r>
              <w:rPr>
                <w:sz w:val="16"/>
              </w:rPr>
              <w:t>IEC 61511:2024, ISA-5.1</w:t>
            </w:r>
          </w:p>
        </w:tc>
        <w:tc>
          <w:tcPr>
            <w:tcW w:type="dxa" w:w="3402"/>
          </w:tcPr>
          <w:p>
            <w:r>
              <w:rPr>
                <w:sz w:val="16"/>
              </w:rPr>
              <w:t>Loop checking verifieert dat elk instrument correct is aangesloten en communiceert met het DCS/SCADA-systeem. Per instrument wordt gecheckt: tag-nummer, signaal (4-20 mA, HART, Foundation Fieldbus), range, en alarm-setpoints. Resultaat: loop check sheet per instrument met GO/NO-GO. 100% dekking vereist — geen steekproef [21].</w:t>
            </w:r>
          </w:p>
        </w:tc>
        <w:tc>
          <w:tcPr>
            <w:tcW w:type="dxa" w:w="1701"/>
          </w:tcPr>
          <w:p>
            <w:r>
              <w:rPr>
                <w:sz w:val="16"/>
              </w:rPr>
              <w:t>100% instrumenten loop-checked; 0 open punten; alle signalen geverifieerd</w:t>
            </w:r>
          </w:p>
        </w:tc>
        <w:tc>
          <w:tcPr>
            <w:tcW w:type="dxa" w:w="1417"/>
          </w:tcPr>
          <w:p>
            <w:r>
              <w:rPr>
                <w:sz w:val="16"/>
              </w:rPr>
              <w:t>Loop check sheets per instrument</w:t>
            </w:r>
          </w:p>
        </w:tc>
        <w:tc>
          <w:tcPr>
            <w:tcW w:type="dxa" w:w="567"/>
          </w:tcPr>
          <w:p>
            <w:r>
              <w:rPr>
                <w:sz w:val="16"/>
              </w:rPr>
              <w:t>H</w:t>
            </w:r>
          </w:p>
        </w:tc>
        <w:tc>
          <w:tcPr>
            <w:tcW w:type="dxa" w:w="1417"/>
          </w:tcPr>
          <w:p>
            <w:r>
              <w:rPr>
                <w:sz w:val="16"/>
              </w:rPr>
              <w:t>Commissioning Lead</w:t>
            </w:r>
          </w:p>
        </w:tc>
      </w:tr>
      <w:tr>
        <w:tc>
          <w:tcPr>
            <w:tcW w:type="dxa" w:w="2551"/>
            <w:shd w:fill="F0F4F8" w:val="clear"/>
          </w:tcPr>
          <w:p>
            <w:r>
              <w:rPr>
                <w:sz w:val="16"/>
              </w:rPr>
              <w:t>Cable checking: I/O testing, continuïteit, isolatieweerstand</w:t>
            </w:r>
          </w:p>
        </w:tc>
        <w:tc>
          <w:tcPr>
            <w:tcW w:type="dxa" w:w="1984"/>
            <w:shd w:fill="F0F4F8" w:val="clear"/>
          </w:tcPr>
          <w:p>
            <w:r>
              <w:rPr>
                <w:sz w:val="16"/>
              </w:rPr>
              <w:t>NEN-EN 50174-2, Best practice</w:t>
            </w:r>
          </w:p>
        </w:tc>
        <w:tc>
          <w:tcPr>
            <w:tcW w:type="dxa" w:w="3402"/>
            <w:shd w:fill="F0F4F8" w:val="clear"/>
          </w:tcPr>
          <w:p>
            <w:r>
              <w:rPr>
                <w:sz w:val="16"/>
              </w:rPr>
              <w:t>Alle kabels worden getest op: continuïteit (geen breuk), isolatieweerstand (&gt; 1 MΩ per 100m), en correcte I/O-koppeling (signaal van veldinstrument naar DCS-kast). Kabelmarkering moet overeenkomen met kabelschema. Fotodocumentie van kabelgoten voor as-built [12].</w:t>
            </w:r>
          </w:p>
        </w:tc>
        <w:tc>
          <w:tcPr>
            <w:tcW w:type="dxa" w:w="1701"/>
            <w:shd w:fill="F0F4F8" w:val="clear"/>
          </w:tcPr>
          <w:p>
            <w:r>
              <w:rPr>
                <w:sz w:val="16"/>
              </w:rPr>
              <w:t>100% kabels getest; isolatie &gt; 1 MΩ; I/O-koppeling geverifieerd; markering correct</w:t>
            </w:r>
          </w:p>
        </w:tc>
        <w:tc>
          <w:tcPr>
            <w:tcW w:type="dxa" w:w="1417"/>
            <w:shd w:fill="F0F4F8" w:val="clear"/>
          </w:tcPr>
          <w:p>
            <w:r>
              <w:rPr>
                <w:sz w:val="16"/>
              </w:rPr>
              <w:t>Cable check rapporten</w:t>
            </w:r>
          </w:p>
        </w:tc>
        <w:tc>
          <w:tcPr>
            <w:tcW w:type="dxa" w:w="567"/>
            <w:shd w:fill="F0F4F8" w:val="clear"/>
          </w:tcPr>
          <w:p>
            <w:r>
              <w:rPr>
                <w:sz w:val="16"/>
              </w:rPr>
              <w:t>H</w:t>
            </w:r>
          </w:p>
        </w:tc>
        <w:tc>
          <w:tcPr>
            <w:tcW w:type="dxa" w:w="1417"/>
            <w:shd w:fill="F0F4F8" w:val="clear"/>
          </w:tcPr>
          <w:p>
            <w:r>
              <w:rPr>
                <w:sz w:val="16"/>
              </w:rPr>
              <w:t>Commissioning Lead</w:t>
            </w:r>
          </w:p>
        </w:tc>
      </w:tr>
      <w:tr>
        <w:tc>
          <w:tcPr>
            <w:tcW w:type="dxa" w:w="2551"/>
          </w:tcPr>
          <w:p>
            <w:r>
              <w:rPr>
                <w:sz w:val="16"/>
              </w:rPr>
              <w:t>Motor checks: draairichting, stroomopname, trillingen</w:t>
            </w:r>
          </w:p>
        </w:tc>
        <w:tc>
          <w:tcPr>
            <w:tcW w:type="dxa" w:w="1984"/>
          </w:tcPr>
          <w:p>
            <w:r>
              <w:rPr>
                <w:sz w:val="16"/>
              </w:rPr>
              <w:t>IEC 60034, NEN-EN 60034-1</w:t>
            </w:r>
          </w:p>
        </w:tc>
        <w:tc>
          <w:tcPr>
            <w:tcW w:type="dxa" w:w="3402"/>
          </w:tcPr>
          <w:p>
            <w:r>
              <w:rPr>
                <w:sz w:val="16"/>
              </w:rPr>
              <w:t>Elke elektromotor wordt individueel getest: (1) draairichting conform P&amp;ID (losgekoppeld van pomp), (2) stroomopname bij draaien (binnen nominale waarde ±5%), (3) trillingsmeting (&lt; 2,8 mm/s bij nominale snelheid), en (4) temperatuurstijging na 30 min draaien. Resultaat: motor test sheet per motor [12].</w:t>
            </w:r>
          </w:p>
        </w:tc>
        <w:tc>
          <w:tcPr>
            <w:tcW w:type="dxa" w:w="1701"/>
          </w:tcPr>
          <w:p>
            <w:r>
              <w:rPr>
                <w:sz w:val="16"/>
              </w:rPr>
              <w:t>Alle motoren getest; draairichting correct; stroom nominaal ±5%; trillingen &lt; 2,8 mm/s</w:t>
            </w:r>
          </w:p>
        </w:tc>
        <w:tc>
          <w:tcPr>
            <w:tcW w:type="dxa" w:w="1417"/>
          </w:tcPr>
          <w:p>
            <w:r>
              <w:rPr>
                <w:sz w:val="16"/>
              </w:rPr>
              <w:t>Motor test sheets</w:t>
            </w:r>
          </w:p>
        </w:tc>
        <w:tc>
          <w:tcPr>
            <w:tcW w:type="dxa" w:w="567"/>
          </w:tcPr>
          <w:p>
            <w:r>
              <w:rPr>
                <w:sz w:val="16"/>
              </w:rPr>
              <w:t>H</w:t>
            </w:r>
          </w:p>
        </w:tc>
        <w:tc>
          <w:tcPr>
            <w:tcW w:type="dxa" w:w="1417"/>
          </w:tcPr>
          <w:p>
            <w:r>
              <w:rPr>
                <w:sz w:val="16"/>
              </w:rPr>
              <w:t>Commissioning Lead</w:t>
            </w:r>
          </w:p>
        </w:tc>
      </w:tr>
      <w:tr>
        <w:tc>
          <w:tcPr>
            <w:tcW w:type="dxa" w:w="2551"/>
            <w:shd w:fill="F0F4F8" w:val="clear"/>
          </w:tcPr>
          <w:p>
            <w:r>
              <w:rPr>
                <w:sz w:val="16"/>
              </w:rPr>
              <w:t>Drukproeven: piping lekdichtheid conform PED</w:t>
            </w:r>
          </w:p>
        </w:tc>
        <w:tc>
          <w:tcPr>
            <w:tcW w:type="dxa" w:w="1984"/>
            <w:shd w:fill="F0F4F8" w:val="clear"/>
          </w:tcPr>
          <w:p>
            <w:r>
              <w:rPr>
                <w:sz w:val="16"/>
              </w:rPr>
              <w:t>PED 2014/68/EU, NEN-EN 13480-5</w:t>
            </w:r>
          </w:p>
        </w:tc>
        <w:tc>
          <w:tcPr>
            <w:tcW w:type="dxa" w:w="3402"/>
            <w:shd w:fill="F0F4F8" w:val="clear"/>
          </w:tcPr>
          <w:p>
            <w:r>
              <w:rPr>
                <w:sz w:val="16"/>
              </w:rPr>
              <w:t>Alle leidingen worden onderworpen aan een drukproef: hydrostatische test op 1,43 × ontwerpdruk (PED-eis) of 1,5 × ontwerpdruk (afhankelijk van norm). De proefduur is minimaal 30 minuten bij testdruk. Lekkages worden niet getolereerd. Testmedium: water (bij voorkeur) of lucht/stikstof (na risk assessment). Resultaat: drukproefcertificaat per leiding [9].</w:t>
            </w:r>
          </w:p>
        </w:tc>
        <w:tc>
          <w:tcPr>
            <w:tcW w:type="dxa" w:w="1701"/>
            <w:shd w:fill="F0F4F8" w:val="clear"/>
          </w:tcPr>
          <w:p>
            <w:r>
              <w:rPr>
                <w:sz w:val="16"/>
              </w:rPr>
              <w:t>Alle leidingen gedruktest; 0 lekkages; testdruk conform PED; certificaten beschikbaar</w:t>
            </w:r>
          </w:p>
        </w:tc>
        <w:tc>
          <w:tcPr>
            <w:tcW w:type="dxa" w:w="1417"/>
            <w:shd w:fill="F0F4F8" w:val="clear"/>
          </w:tcPr>
          <w:p>
            <w:r>
              <w:rPr>
                <w:sz w:val="16"/>
              </w:rPr>
              <w:t>Drukproefcertificaten per leiding</w:t>
            </w:r>
          </w:p>
        </w:tc>
        <w:tc>
          <w:tcPr>
            <w:tcW w:type="dxa" w:w="567"/>
            <w:shd w:fill="F0F4F8" w:val="clear"/>
          </w:tcPr>
          <w:p>
            <w:r>
              <w:rPr>
                <w:sz w:val="16"/>
              </w:rPr>
              <w:t>H</w:t>
            </w:r>
          </w:p>
        </w:tc>
        <w:tc>
          <w:tcPr>
            <w:tcW w:type="dxa" w:w="1417"/>
            <w:shd w:fill="F0F4F8" w:val="clear"/>
          </w:tcPr>
          <w:p>
            <w:r>
              <w:rPr>
                <w:sz w:val="16"/>
              </w:rPr>
              <w:t>Commissioning Lead</w:t>
            </w:r>
          </w:p>
        </w:tc>
      </w:tr>
      <w:tr>
        <w:tc>
          <w:tcPr>
            <w:tcW w:type="dxa" w:w="2551"/>
          </w:tcPr>
          <w:p>
            <w:r>
              <w:rPr>
                <w:sz w:val="16"/>
              </w:rPr>
              <w:t>NDT inspecties: radiografie, ultrasoon, penetrant</w:t>
            </w:r>
          </w:p>
        </w:tc>
        <w:tc>
          <w:tcPr>
            <w:tcW w:type="dxa" w:w="1984"/>
          </w:tcPr>
          <w:p>
            <w:r>
              <w:rPr>
                <w:sz w:val="16"/>
              </w:rPr>
              <w:t>ISO 17640, EN 571-1, NEN-EN 12668</w:t>
            </w:r>
          </w:p>
        </w:tc>
        <w:tc>
          <w:tcPr>
            <w:tcW w:type="dxa" w:w="3402"/>
          </w:tcPr>
          <w:p>
            <w:r>
              <w:rPr>
                <w:sz w:val="16"/>
              </w:rPr>
              <w:t>Alle lasverbindingen worden onderworpen aan NDT (Non-Destructive Testing): 100% radiografische inspectie (RT) voor leidingen in corrosieve dienst (zuur), 20% steekproef voor niet-kritieke leidingen, en penetrant testing (PT) voor oppervlaktedefecten. Acceptatiecriteria conform ASME B31.3 of equivalente norm. Alle bevindingen geregistreerd [9].</w:t>
            </w:r>
          </w:p>
        </w:tc>
        <w:tc>
          <w:tcPr>
            <w:tcW w:type="dxa" w:w="1701"/>
          </w:tcPr>
          <w:p>
            <w:r>
              <w:rPr>
                <w:sz w:val="16"/>
              </w:rPr>
              <w:t>100% RT voor kritieke lassen; 20% steekproef overige; alle defecten binnen acceptatiecriteria</w:t>
            </w:r>
          </w:p>
        </w:tc>
        <w:tc>
          <w:tcPr>
            <w:tcW w:type="dxa" w:w="1417"/>
          </w:tcPr>
          <w:p>
            <w:r>
              <w:rPr>
                <w:sz w:val="16"/>
              </w:rPr>
              <w:t>NDT-rapporten per las + overzichtstabel</w:t>
            </w:r>
          </w:p>
        </w:tc>
        <w:tc>
          <w:tcPr>
            <w:tcW w:type="dxa" w:w="567"/>
          </w:tcPr>
          <w:p>
            <w:r>
              <w:rPr>
                <w:sz w:val="16"/>
              </w:rPr>
              <w:t>H</w:t>
            </w:r>
          </w:p>
        </w:tc>
        <w:tc>
          <w:tcPr>
            <w:tcW w:type="dxa" w:w="1417"/>
          </w:tcPr>
          <w:p>
            <w:r>
              <w:rPr>
                <w:sz w:val="16"/>
              </w:rPr>
              <w:t>QC Inspector</w:t>
            </w:r>
          </w:p>
        </w:tc>
      </w:tr>
      <w:tr>
        <w:tc>
          <w:tcPr>
            <w:tcW w:type="dxa" w:w="2551"/>
            <w:shd w:fill="F0F4F8" w:val="clear"/>
          </w:tcPr>
          <w:p>
            <w:r>
              <w:rPr>
                <w:sz w:val="16"/>
              </w:rPr>
              <w:t>Water batching: lekdichtheid systeemloop met water</w:t>
            </w:r>
          </w:p>
        </w:tc>
        <w:tc>
          <w:tcPr>
            <w:tcW w:type="dxa" w:w="1984"/>
            <w:shd w:fill="F0F4F8" w:val="clear"/>
          </w:tcPr>
          <w:p>
            <w:r>
              <w:rPr>
                <w:sz w:val="16"/>
              </w:rPr>
              <w:t>Best practice, Commissioning procedure</w:t>
            </w:r>
          </w:p>
        </w:tc>
        <w:tc>
          <w:tcPr>
            <w:tcW w:type="dxa" w:w="3402"/>
            <w:shd w:fill="F0F4F8" w:val="clear"/>
          </w:tcPr>
          <w:p>
            <w:r>
              <w:rPr>
                <w:sz w:val="16"/>
              </w:rPr>
              <w:t>Het gehele leidingsysteem wordt gevuld met water en op pompdruk gebracht om lekdichtheid te verifiëren onder dynamische omstandigheden. Dit is aanvullend op de statische drukproef. Elk flens, klep en verbinding wordt visueel geïnspecteerd. Lekkages worden gerepareerd en opnieuw getest [21].</w:t>
            </w:r>
          </w:p>
        </w:tc>
        <w:tc>
          <w:tcPr>
            <w:tcW w:type="dxa" w:w="1701"/>
            <w:shd w:fill="F0F4F8" w:val="clear"/>
          </w:tcPr>
          <w:p>
            <w:r>
              <w:rPr>
                <w:sz w:val="16"/>
              </w:rPr>
              <w:t>Water batching voltooid; 0 lekkages bij bedrijfsdruk; alle flenzen geïnspecteerd</w:t>
            </w:r>
          </w:p>
        </w:tc>
        <w:tc>
          <w:tcPr>
            <w:tcW w:type="dxa" w:w="1417"/>
            <w:shd w:fill="F0F4F8" w:val="clear"/>
          </w:tcPr>
          <w:p>
            <w:r>
              <w:rPr>
                <w:sz w:val="16"/>
              </w:rPr>
              <w:t>Water batching rapport + punchlist</w:t>
            </w:r>
          </w:p>
        </w:tc>
        <w:tc>
          <w:tcPr>
            <w:tcW w:type="dxa" w:w="567"/>
            <w:shd w:fill="F0F4F8" w:val="clear"/>
          </w:tcPr>
          <w:p>
            <w:r>
              <w:rPr>
                <w:sz w:val="16"/>
              </w:rPr>
              <w:t>H</w:t>
            </w:r>
          </w:p>
        </w:tc>
        <w:tc>
          <w:tcPr>
            <w:tcW w:type="dxa" w:w="1417"/>
            <w:shd w:fill="F0F4F8" w:val="clear"/>
          </w:tcPr>
          <w:p>
            <w:r>
              <w:rPr>
                <w:sz w:val="16"/>
              </w:rPr>
              <w:t>Commissioning Lead</w:t>
            </w:r>
          </w:p>
        </w:tc>
      </w:tr>
      <w:tr>
        <w:tc>
          <w:tcPr>
            <w:tcW w:type="dxa" w:w="2551"/>
          </w:tcPr>
          <w:p>
            <w:r>
              <w:rPr>
                <w:sz w:val="16"/>
              </w:rPr>
              <w:t>Water run: flow/pressure/drukval test</w:t>
            </w:r>
          </w:p>
        </w:tc>
        <w:tc>
          <w:tcPr>
            <w:tcW w:type="dxa" w:w="1984"/>
          </w:tcPr>
          <w:p>
            <w:r>
              <w:rPr>
                <w:sz w:val="16"/>
              </w:rPr>
              <w:t>Best practice</w:t>
            </w:r>
          </w:p>
        </w:tc>
        <w:tc>
          <w:tcPr>
            <w:tcW w:type="dxa" w:w="3402"/>
          </w:tcPr>
          <w:p>
            <w:r>
              <w:rPr>
                <w:sz w:val="16"/>
              </w:rPr>
              <w:t>Na water batching wordt een extended water run uitgevoerd (4-8 uur) om de procescondities te simuleren: debieten, drukvallen over kolommen/filters, pompcurves, en level measurement. Afwijkingen t.o.v. ontwerp (&gt;10%) moeten worden onderzocht en gedocumenteerd [21].</w:t>
            </w:r>
          </w:p>
        </w:tc>
        <w:tc>
          <w:tcPr>
            <w:tcW w:type="dxa" w:w="1701"/>
          </w:tcPr>
          <w:p>
            <w:r>
              <w:rPr>
                <w:sz w:val="16"/>
              </w:rPr>
              <w:t>Water run 4-8 uur voltooid; flow/pressure binnen ±10% van ontwerp</w:t>
            </w:r>
          </w:p>
        </w:tc>
        <w:tc>
          <w:tcPr>
            <w:tcW w:type="dxa" w:w="1417"/>
          </w:tcPr>
          <w:p>
            <w:r>
              <w:rPr>
                <w:sz w:val="16"/>
              </w:rPr>
              <w:t>Water run rapport + prestatievergelijking</w:t>
            </w:r>
          </w:p>
        </w:tc>
        <w:tc>
          <w:tcPr>
            <w:tcW w:type="dxa" w:w="567"/>
          </w:tcPr>
          <w:p>
            <w:r>
              <w:rPr>
                <w:sz w:val="16"/>
              </w:rPr>
              <w:t>H</w:t>
            </w:r>
          </w:p>
        </w:tc>
        <w:tc>
          <w:tcPr>
            <w:tcW w:type="dxa" w:w="1417"/>
          </w:tcPr>
          <w:p>
            <w:r>
              <w:rPr>
                <w:sz w:val="16"/>
              </w:rPr>
              <w:t>Commissioning Lead</w:t>
            </w:r>
          </w:p>
        </w:tc>
      </w:tr>
      <w:tr>
        <w:tc>
          <w:tcPr>
            <w:tcW w:type="dxa" w:w="2551"/>
            <w:shd w:fill="F0F4F8" w:val="clear"/>
          </w:tcPr>
          <w:p>
            <w:r>
              <w:rPr>
                <w:sz w:val="16"/>
              </w:rPr>
              <w:t>Punchlist afronding: alle A-punten opgelost vóór chemical intro</w:t>
            </w:r>
          </w:p>
        </w:tc>
        <w:tc>
          <w:tcPr>
            <w:tcW w:type="dxa" w:w="1984"/>
            <w:shd w:fill="F0F4F8" w:val="clear"/>
          </w:tcPr>
          <w:p>
            <w:r>
              <w:rPr>
                <w:sz w:val="16"/>
              </w:rPr>
              <w:t>Best practice, PSSR protocol</w:t>
            </w:r>
          </w:p>
        </w:tc>
        <w:tc>
          <w:tcPr>
            <w:tcW w:type="dxa" w:w="3402"/>
            <w:shd w:fill="F0F4F8" w:val="clear"/>
          </w:tcPr>
          <w:p>
            <w:r>
              <w:rPr>
                <w:sz w:val="16"/>
              </w:rPr>
              <w:t>Na water batching/runs wordt de punchlist opgesteld: A-punten (kritiek — MOET vóór chemical intro zijn opgelost), B-punten (belangrijk — binnen 30 dagen), C-punten (cosmetisch — binnen 90 dagen). VOORDAT gevaarlijke chemicaliën worden geïntroduceerd, MOETEN alle A-punten zijn gesloten en ondertekend [21].</w:t>
            </w:r>
          </w:p>
        </w:tc>
        <w:tc>
          <w:tcPr>
            <w:tcW w:type="dxa" w:w="1701"/>
            <w:shd w:fill="F0F4F8" w:val="clear"/>
          </w:tcPr>
          <w:p>
            <w:r>
              <w:rPr>
                <w:sz w:val="16"/>
              </w:rPr>
              <w:t>Alle A-punten gesloten vóór chemical intro; B/C-punten voorzien van deadline</w:t>
            </w:r>
          </w:p>
        </w:tc>
        <w:tc>
          <w:tcPr>
            <w:tcW w:type="dxa" w:w="1417"/>
            <w:shd w:fill="F0F4F8" w:val="clear"/>
          </w:tcPr>
          <w:p>
            <w:r>
              <w:rPr>
                <w:sz w:val="16"/>
              </w:rPr>
              <w:t>Punchlist met status + sluitingsformulieren</w:t>
            </w:r>
          </w:p>
        </w:tc>
        <w:tc>
          <w:tcPr>
            <w:tcW w:type="dxa" w:w="567"/>
            <w:shd w:fill="F0F4F8" w:val="clear"/>
          </w:tcPr>
          <w:p>
            <w:r>
              <w:rPr>
                <w:sz w:val="16"/>
              </w:rPr>
              <w:t>H</w:t>
            </w:r>
          </w:p>
        </w:tc>
        <w:tc>
          <w:tcPr>
            <w:tcW w:type="dxa" w:w="1417"/>
            <w:shd w:fill="F0F4F8" w:val="clear"/>
          </w:tcPr>
          <w:p>
            <w:r>
              <w:rPr>
                <w:sz w:val="16"/>
              </w:rPr>
              <w:t>Commissioning Lead</w:t>
            </w:r>
          </w:p>
        </w:tc>
      </w:tr>
      <w:tr>
        <w:tc>
          <w:tcPr>
            <w:tcW w:type="dxa" w:w="2551"/>
          </w:tcPr>
          <w:p>
            <w:r>
              <w:rPr>
                <w:sz w:val="16"/>
              </w:rPr>
              <w:t>Chemical cleaning protocol (zuur, base, flush) uitgevoerd</w:t>
            </w:r>
          </w:p>
        </w:tc>
        <w:tc>
          <w:tcPr>
            <w:tcW w:type="dxa" w:w="1984"/>
          </w:tcPr>
          <w:p>
            <w:r>
              <w:rPr>
                <w:sz w:val="16"/>
              </w:rPr>
              <w:t>Best practice, ASME B31.3</w:t>
            </w:r>
          </w:p>
        </w:tc>
        <w:tc>
          <w:tcPr>
            <w:tcW w:type="dxa" w:w="3402"/>
          </w:tcPr>
          <w:p>
            <w:r>
              <w:rPr>
                <w:sz w:val="16"/>
              </w:rPr>
              <w:t>Voordat het proces in gebruik wordt genomen, moeten alle leidingen en apparaten schoon zijn: (1) alkalische was (verwijdert vet/olie), (2) zoetwater flush, (3) zure was (verwijdert roest/mill scale — 5% HCl + inhibitor), (4) neutralisatie flush, (5) passivatie (RVS). Het protocol moet veiligheidsmaatregelen bevatten: PBM's, ventilatie, afvoer cleaning chemicaliën conform Bal [21].</w:t>
            </w:r>
          </w:p>
        </w:tc>
        <w:tc>
          <w:tcPr>
            <w:tcW w:type="dxa" w:w="1701"/>
          </w:tcPr>
          <w:p>
            <w:r>
              <w:rPr>
                <w:sz w:val="16"/>
              </w:rPr>
              <w:t>Chemical cleaning voltooid per protocol; visuele inspectie bevestigt cleanness</w:t>
            </w:r>
          </w:p>
        </w:tc>
        <w:tc>
          <w:tcPr>
            <w:tcW w:type="dxa" w:w="1417"/>
          </w:tcPr>
          <w:p>
            <w:r>
              <w:rPr>
                <w:sz w:val="16"/>
              </w:rPr>
              <w:t>Chemical cleaning rapport + visuele inspectie foto's</w:t>
            </w:r>
          </w:p>
        </w:tc>
        <w:tc>
          <w:tcPr>
            <w:tcW w:type="dxa" w:w="567"/>
          </w:tcPr>
          <w:p>
            <w:r>
              <w:rPr>
                <w:sz w:val="16"/>
              </w:rPr>
              <w:t>H</w:t>
            </w:r>
          </w:p>
        </w:tc>
        <w:tc>
          <w:tcPr>
            <w:tcW w:type="dxa" w:w="1417"/>
          </w:tcPr>
          <w:p>
            <w:r>
              <w:rPr>
                <w:sz w:val="16"/>
              </w:rPr>
              <w:t>Commissioning Lead</w:t>
            </w:r>
          </w:p>
        </w:tc>
      </w:tr>
      <w:tr>
        <w:tc>
          <w:tcPr>
            <w:tcW w:type="dxa" w:w="2551"/>
            <w:shd w:fill="F0F4F8" w:val="clear"/>
          </w:tcPr>
          <w:p>
            <w:r>
              <w:rPr>
                <w:sz w:val="16"/>
              </w:rPr>
              <w:t>Passivatie RVS leidingen uitgevoerd</w:t>
            </w:r>
          </w:p>
        </w:tc>
        <w:tc>
          <w:tcPr>
            <w:tcW w:type="dxa" w:w="1984"/>
            <w:shd w:fill="F0F4F8" w:val="clear"/>
          </w:tcPr>
          <w:p>
            <w:r>
              <w:rPr>
                <w:sz w:val="16"/>
              </w:rPr>
              <w:t>ASTM A967, ASTM A380</w:t>
            </w:r>
          </w:p>
        </w:tc>
        <w:tc>
          <w:tcPr>
            <w:tcW w:type="dxa" w:w="3402"/>
            <w:shd w:fill="F0F4F8" w:val="clear"/>
          </w:tcPr>
          <w:p>
            <w:r>
              <w:rPr>
                <w:sz w:val="16"/>
              </w:rPr>
              <w:t>Roestvrijstalen leidingen moeten na chemical cleaning worden gepassiveerd om de chroomoxide-laag te herstellen. Methode: nitrietpassivatie (HNO₃ 20-25% bij 50°C, 30-60 min) of citroenzuur passivatie (milder, milieuvriendelijker). Na passivatie: spoelen met demi-water en drogen. Test: ferroxyltest om vrije ijzerresten aan te tonen [23].</w:t>
            </w:r>
          </w:p>
        </w:tc>
        <w:tc>
          <w:tcPr>
            <w:tcW w:type="dxa" w:w="1701"/>
            <w:shd w:fill="F0F4F8" w:val="clear"/>
          </w:tcPr>
          <w:p>
            <w:r>
              <w:rPr>
                <w:sz w:val="16"/>
              </w:rPr>
              <w:t>Passivatie voltooid; ferroxyltest negatief (geen vrije ijzerresten)</w:t>
            </w:r>
          </w:p>
        </w:tc>
        <w:tc>
          <w:tcPr>
            <w:tcW w:type="dxa" w:w="1417"/>
            <w:shd w:fill="F0F4F8" w:val="clear"/>
          </w:tcPr>
          <w:p>
            <w:r>
              <w:rPr>
                <w:sz w:val="16"/>
              </w:rPr>
              <w:t>Passivatie rapport + ferroxyltest resultaten</w:t>
            </w:r>
          </w:p>
        </w:tc>
        <w:tc>
          <w:tcPr>
            <w:tcW w:type="dxa" w:w="567"/>
            <w:shd w:fill="F0F4F8" w:val="clear"/>
          </w:tcPr>
          <w:p>
            <w:r>
              <w:rPr>
                <w:sz w:val="16"/>
              </w:rPr>
              <w:t>M</w:t>
            </w:r>
          </w:p>
        </w:tc>
        <w:tc>
          <w:tcPr>
            <w:tcW w:type="dxa" w:w="1417"/>
            <w:shd w:fill="F0F4F8" w:val="clear"/>
          </w:tcPr>
          <w:p>
            <w:r>
              <w:rPr>
                <w:sz w:val="16"/>
              </w:rPr>
              <w:t>Commissioning Lead</w:t>
            </w:r>
          </w:p>
        </w:tc>
      </w:tr>
      <w:tr>
        <w:tc>
          <w:tcPr>
            <w:tcW w:type="dxa" w:w="2551"/>
          </w:tcPr>
          <w:p>
            <w:r>
              <w:rPr>
                <w:sz w:val="16"/>
              </w:rPr>
              <w:t>Stapsgewijze introductie gevaarlijke stoffen (10→25→50→100%)</w:t>
            </w:r>
          </w:p>
        </w:tc>
        <w:tc>
          <w:tcPr>
            <w:tcW w:type="dxa" w:w="1984"/>
          </w:tcPr>
          <w:p>
            <w:r>
              <w:rPr>
                <w:sz w:val="16"/>
              </w:rPr>
              <w:t>Best practice, PSSR protocol</w:t>
            </w:r>
          </w:p>
        </w:tc>
        <w:tc>
          <w:tcPr>
            <w:tcW w:type="dxa" w:w="3402"/>
          </w:tcPr>
          <w:p>
            <w:r>
              <w:rPr>
                <w:sz w:val="16"/>
              </w:rPr>
              <w:t>De introductie van H₂SO₄ en HCl in de installatie gebeurt stapsgewijs: (1) 10% concentratie — controleer lekdichtheid en materiaalbestendigheid, (2) 25% — verhoog en monitor corrosie, (3) 50% — test procesprestaties, (4) 100% — volledige procescondities. Elke stap vereist: monitoring (pH, temperatuur, lekdetectie), evaluatie, en formele GO voor volgende stap [21].</w:t>
            </w:r>
          </w:p>
        </w:tc>
        <w:tc>
          <w:tcPr>
            <w:tcW w:type="dxa" w:w="1701"/>
          </w:tcPr>
          <w:p>
            <w:r>
              <w:rPr>
                <w:sz w:val="16"/>
              </w:rPr>
              <w:t>Alle 4 stappen doorlopen; per stap: monitoring OK en formeel GO vóór volgende stap</w:t>
            </w:r>
          </w:p>
        </w:tc>
        <w:tc>
          <w:tcPr>
            <w:tcW w:type="dxa" w:w="1417"/>
          </w:tcPr>
          <w:p>
            <w:r>
              <w:rPr>
                <w:sz w:val="16"/>
              </w:rPr>
              <w:t>Stapsgewijze introductie logbook + monitoring data</w:t>
            </w:r>
          </w:p>
        </w:tc>
        <w:tc>
          <w:tcPr>
            <w:tcW w:type="dxa" w:w="567"/>
          </w:tcPr>
          <w:p>
            <w:r>
              <w:rPr>
                <w:sz w:val="16"/>
              </w:rPr>
              <w:t>H</w:t>
            </w:r>
          </w:p>
        </w:tc>
        <w:tc>
          <w:tcPr>
            <w:tcW w:type="dxa" w:w="1417"/>
          </w:tcPr>
          <w:p>
            <w:r>
              <w:rPr>
                <w:sz w:val="16"/>
              </w:rPr>
              <w:t>Commissioning Lead</w:t>
            </w:r>
          </w:p>
        </w:tc>
      </w:tr>
      <w:tr>
        <w:tc>
          <w:tcPr>
            <w:tcW w:type="dxa" w:w="2551"/>
            <w:shd w:fill="F0F4F8" w:val="clear"/>
          </w:tcPr>
          <w:p>
            <w:r>
              <w:rPr>
                <w:sz w:val="16"/>
              </w:rPr>
              <w:t>Emergency shutdown (ESD) procedure getest</w:t>
            </w:r>
          </w:p>
        </w:tc>
        <w:tc>
          <w:tcPr>
            <w:tcW w:type="dxa" w:w="1984"/>
            <w:shd w:fill="F0F4F8" w:val="clear"/>
          </w:tcPr>
          <w:p>
            <w:r>
              <w:rPr>
                <w:sz w:val="16"/>
              </w:rPr>
              <w:t>IEC 61511:2024 §16</w:t>
            </w:r>
          </w:p>
        </w:tc>
        <w:tc>
          <w:tcPr>
            <w:tcW w:type="dxa" w:w="3402"/>
            <w:shd w:fill="F0F4F8" w:val="clear"/>
          </w:tcPr>
          <w:p>
            <w:r>
              <w:rPr>
                <w:sz w:val="16"/>
              </w:rPr>
              <w:t>Voorafgaand aan de introductie van gevaarlijke stoffen moet het ESD-systeem volledig worden getest: (1) elke ESD-trigger (hoog druk, hoog level, gasdetectie, handmatige ESD-knop) activeert correct, (2) alle afsluiters sluiten binnen gespecificeerde tijd (&lt; 3 seconden voor kritieke kleppen), (3) alarmen verschijnen in controlekamer, (4) noodverlichting activeert. Documentatie: ESD-testrapport [21].</w:t>
            </w:r>
          </w:p>
        </w:tc>
        <w:tc>
          <w:tcPr>
            <w:tcW w:type="dxa" w:w="1701"/>
            <w:shd w:fill="F0F4F8" w:val="clear"/>
          </w:tcPr>
          <w:p>
            <w:r>
              <w:rPr>
                <w:sz w:val="16"/>
              </w:rPr>
              <w:t>Alle ESD-triggers getest; afsluittijden &lt; specificatie; alarmen functioneel</w:t>
            </w:r>
          </w:p>
        </w:tc>
        <w:tc>
          <w:tcPr>
            <w:tcW w:type="dxa" w:w="1417"/>
            <w:shd w:fill="F0F4F8" w:val="clear"/>
          </w:tcPr>
          <w:p>
            <w:r>
              <w:rPr>
                <w:sz w:val="16"/>
              </w:rPr>
              <w:t>ESD-testrapport per trigger</w:t>
            </w:r>
          </w:p>
        </w:tc>
        <w:tc>
          <w:tcPr>
            <w:tcW w:type="dxa" w:w="567"/>
            <w:shd w:fill="F0F4F8" w:val="clear"/>
          </w:tcPr>
          <w:p>
            <w:r>
              <w:rPr>
                <w:sz w:val="16"/>
              </w:rPr>
              <w:t>H</w:t>
            </w:r>
          </w:p>
        </w:tc>
        <w:tc>
          <w:tcPr>
            <w:tcW w:type="dxa" w:w="1417"/>
            <w:shd w:fill="F0F4F8" w:val="clear"/>
          </w:tcPr>
          <w:p>
            <w:r>
              <w:rPr>
                <w:sz w:val="16"/>
              </w:rPr>
              <w:t>Commissioning Lead</w:t>
            </w:r>
          </w:p>
        </w:tc>
      </w:tr>
      <w:tr>
        <w:tc>
          <w:tcPr>
            <w:tcW w:type="dxa" w:w="2551"/>
          </w:tcPr>
          <w:p>
            <w:r>
              <w:rPr>
                <w:sz w:val="16"/>
              </w:rPr>
              <w:t>Emergency response team standby bij chemical intro</w:t>
            </w:r>
          </w:p>
        </w:tc>
        <w:tc>
          <w:tcPr>
            <w:tcW w:type="dxa" w:w="1984"/>
          </w:tcPr>
          <w:p>
            <w:r>
              <w:rPr>
                <w:sz w:val="16"/>
              </w:rPr>
              <w:t>Seveso-regeling 2024, Best practice</w:t>
            </w:r>
          </w:p>
        </w:tc>
        <w:tc>
          <w:tcPr>
            <w:tcW w:type="dxa" w:w="3402"/>
          </w:tcPr>
          <w:p>
            <w:r>
              <w:rPr>
                <w:sz w:val="16"/>
              </w:rPr>
              <w:t>Tijdens de introductie van gevaarlijke stoffen moet een Emergency Response Team (BHV) standby zijn met: zuurbestendige pakken, ademluchttoestellen, blusmiddelen, neutralisatiemiddelen (NaOH voor zuren), en eerste hulp-materialen (nooddouche, oogspuit). Het team moet binnen 3 minuten ter plaatse kunnen zijn. Oefening met zuurscenario vooraf verplicht [7].</w:t>
            </w:r>
          </w:p>
        </w:tc>
        <w:tc>
          <w:tcPr>
            <w:tcW w:type="dxa" w:w="1701"/>
          </w:tcPr>
          <w:p>
            <w:r>
              <w:rPr>
                <w:sz w:val="16"/>
              </w:rPr>
              <w:t>ERT standby; binnen 3 min ter plaatse; zuurscenario-oefening afgerond</w:t>
            </w:r>
          </w:p>
        </w:tc>
        <w:tc>
          <w:tcPr>
            <w:tcW w:type="dxa" w:w="1417"/>
          </w:tcPr>
          <w:p>
            <w:r>
              <w:rPr>
                <w:sz w:val="16"/>
              </w:rPr>
              <w:t>ERT paraatheid log + oefenrapport</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PSSR (Pre-Startup Safety Review) final check afgetekend</w:t>
            </w:r>
          </w:p>
        </w:tc>
        <w:tc>
          <w:tcPr>
            <w:tcW w:type="dxa" w:w="1984"/>
            <w:shd w:fill="F0F4F8" w:val="clear"/>
          </w:tcPr>
          <w:p>
            <w:r>
              <w:rPr>
                <w:sz w:val="16"/>
              </w:rPr>
              <w:t>IEC 61511:2024 §15, OSHA PSM</w:t>
            </w:r>
          </w:p>
        </w:tc>
        <w:tc>
          <w:tcPr>
            <w:tcW w:type="dxa" w:w="3402"/>
            <w:shd w:fill="F0F4F8" w:val="clear"/>
          </w:tcPr>
          <w:p>
            <w:r>
              <w:rPr>
                <w:sz w:val="16"/>
              </w:rPr>
              <w:t>De PSSR #2 (as-built review) wordt uitgevoerd NA installatie en VOOR hot commissioning. Checklist: (1) constructie conform ontwerp, (2) alle HAZOP/LOPA-aanbevelingen geïmplementeerd, (3) veiligheidsinformatie compleet, (4) training operators voltooid, (5) procedures (normal, start-up, shutdown, emergency) beschikbaar, (6) ESD getest. Formele goedkeuring door Plant Manager + HSEQ Manager vereist [21].</w:t>
            </w:r>
          </w:p>
        </w:tc>
        <w:tc>
          <w:tcPr>
            <w:tcW w:type="dxa" w:w="1701"/>
            <w:shd w:fill="F0F4F8" w:val="clear"/>
          </w:tcPr>
          <w:p>
            <w:r>
              <w:rPr>
                <w:sz w:val="16"/>
              </w:rPr>
              <w:t>PSSR #2 voltooid; alle checklist-items GO; formeel ondertekend door PM + HSEQ</w:t>
            </w:r>
          </w:p>
        </w:tc>
        <w:tc>
          <w:tcPr>
            <w:tcW w:type="dxa" w:w="1417"/>
            <w:shd w:fill="F0F4F8" w:val="clear"/>
          </w:tcPr>
          <w:p>
            <w:r>
              <w:rPr>
                <w:sz w:val="16"/>
              </w:rPr>
              <w:t>PSSR #2 rapport + handtekeningen</w:t>
            </w:r>
          </w:p>
        </w:tc>
        <w:tc>
          <w:tcPr>
            <w:tcW w:type="dxa" w:w="567"/>
            <w:shd w:fill="F0F4F8" w:val="clear"/>
          </w:tcPr>
          <w:p>
            <w:r>
              <w:rPr>
                <w:sz w:val="16"/>
              </w:rPr>
              <w:t>H</w:t>
            </w:r>
          </w:p>
        </w:tc>
        <w:tc>
          <w:tcPr>
            <w:tcW w:type="dxa" w:w="1417"/>
            <w:shd w:fill="F0F4F8" w:val="clear"/>
          </w:tcPr>
          <w:p>
            <w:r>
              <w:rPr>
                <w:sz w:val="16"/>
              </w:rPr>
              <w:t>Plant Manager</w:t>
            </w:r>
          </w:p>
        </w:tc>
      </w:tr>
      <w:tr>
        <w:tc>
          <w:tcPr>
            <w:tcW w:type="dxa" w:w="2551"/>
          </w:tcPr>
          <w:p>
            <w:r>
              <w:rPr>
                <w:sz w:val="16"/>
              </w:rPr>
              <w:t>Hot commissioning protocol goedgekeurd door Plant Manager</w:t>
            </w:r>
          </w:p>
        </w:tc>
        <w:tc>
          <w:tcPr>
            <w:tcW w:type="dxa" w:w="1984"/>
          </w:tcPr>
          <w:p>
            <w:r>
              <w:rPr>
                <w:sz w:val="16"/>
              </w:rPr>
              <w:t>Best practice</w:t>
            </w:r>
          </w:p>
        </w:tc>
        <w:tc>
          <w:tcPr>
            <w:tcW w:type="dxa" w:w="3402"/>
          </w:tcPr>
          <w:p>
            <w:r>
              <w:rPr>
                <w:sz w:val="16"/>
              </w:rPr>
              <w:t>Het hot commissioning protocol definieert: volgorde van stappen, veiligheidsmaatregelen per stap, criteria voor GO/NO-GO, en verantwoordelijkheden. Het protocol moet worden goedgekeurd door de Plant Manager en HSEQ Manager vóór aanvang. Minimum inhoud: scope, veiligheidsmaatregelen, Stapsgewijze procedure, monitoring-parameters, en stopcriteria [21].</w:t>
            </w:r>
          </w:p>
        </w:tc>
        <w:tc>
          <w:tcPr>
            <w:tcW w:type="dxa" w:w="1701"/>
          </w:tcPr>
          <w:p>
            <w:r>
              <w:rPr>
                <w:sz w:val="16"/>
              </w:rPr>
              <w:t>Hot commissioning protocol goedgekeurd; PM + HSEQ ondertekend</w:t>
            </w:r>
          </w:p>
        </w:tc>
        <w:tc>
          <w:tcPr>
            <w:tcW w:type="dxa" w:w="1417"/>
          </w:tcPr>
          <w:p>
            <w:r>
              <w:rPr>
                <w:sz w:val="16"/>
              </w:rPr>
              <w:t>Hot commissioning protocol (goedgekeurd)</w:t>
            </w:r>
          </w:p>
        </w:tc>
        <w:tc>
          <w:tcPr>
            <w:tcW w:type="dxa" w:w="567"/>
          </w:tcPr>
          <w:p>
            <w:r>
              <w:rPr>
                <w:sz w:val="16"/>
              </w:rPr>
              <w:t>H</w:t>
            </w:r>
          </w:p>
        </w:tc>
        <w:tc>
          <w:tcPr>
            <w:tcW w:type="dxa" w:w="1417"/>
          </w:tcPr>
          <w:p>
            <w:r>
              <w:rPr>
                <w:sz w:val="16"/>
              </w:rPr>
              <w:t>Plant Manager</w:t>
            </w:r>
          </w:p>
        </w:tc>
      </w:tr>
    </w:tbl>
    <w:p/>
    <w:p>
      <w:pPr>
        <w:pStyle w:val="Heading3"/>
      </w:pPr>
      <w:r>
        <w:t>2.3.2 OT Cybersecurity Installatie</w:t>
      </w:r>
    </w:p>
    <w:p>
      <w:r>
        <w:t>(2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IDS/IPS voor OT netwerk geïnstalleerd en getest</w:t>
            </w:r>
          </w:p>
        </w:tc>
        <w:tc>
          <w:tcPr>
            <w:tcW w:type="dxa" w:w="1984"/>
          </w:tcPr>
          <w:p>
            <w:r>
              <w:rPr>
                <w:sz w:val="16"/>
              </w:rPr>
              <w:t>IEC 62443-3-3</w:t>
            </w:r>
          </w:p>
        </w:tc>
        <w:tc>
          <w:tcPr>
            <w:tcW w:type="dxa" w:w="3402"/>
          </w:tcPr>
          <w:p>
            <w:r>
              <w:rPr>
                <w:sz w:val="16"/>
              </w:rPr>
              <w:t>Een Intrusion Detection System (IDS) specifiek voor OT-netwerken (bijv. Claroty, Nozomi, of Dragos) moet worden geïnstalleerd. Het IDS monitort OT-verkeer op anomalieën (onbekende apparaten, ongebruikelijke communicatie, protocol-afwijkingen). Na installatie: baseline-periode van 2 weken om normaal verkeer te leren, daarna alert-mode [13].</w:t>
            </w:r>
          </w:p>
        </w:tc>
        <w:tc>
          <w:tcPr>
            <w:tcW w:type="dxa" w:w="1701"/>
          </w:tcPr>
          <w:p>
            <w:r>
              <w:rPr>
                <w:sz w:val="16"/>
              </w:rPr>
              <w:t>IDS operationeel; baseline voltooid; alert-mode actief; geen false positives &gt; 5/dag</w:t>
            </w:r>
          </w:p>
        </w:tc>
        <w:tc>
          <w:tcPr>
            <w:tcW w:type="dxa" w:w="1417"/>
          </w:tcPr>
          <w:p>
            <w:r>
              <w:rPr>
                <w:sz w:val="16"/>
              </w:rPr>
              <w:t>IDS configuratierapport + baseline rapport</w:t>
            </w:r>
          </w:p>
        </w:tc>
        <w:tc>
          <w:tcPr>
            <w:tcW w:type="dxa" w:w="567"/>
          </w:tcPr>
          <w:p>
            <w:r>
              <w:rPr>
                <w:sz w:val="16"/>
              </w:rPr>
              <w:t>H</w:t>
            </w:r>
          </w:p>
        </w:tc>
        <w:tc>
          <w:tcPr>
            <w:tcW w:type="dxa" w:w="1417"/>
          </w:tcPr>
          <w:p>
            <w:r>
              <w:rPr>
                <w:sz w:val="16"/>
              </w:rPr>
              <w:t>Cybersecurity Manager</w:t>
            </w:r>
          </w:p>
        </w:tc>
      </w:tr>
      <w:tr>
        <w:tc>
          <w:tcPr>
            <w:tcW w:type="dxa" w:w="2551"/>
            <w:shd w:fill="F0F4F8" w:val="clear"/>
          </w:tcPr>
          <w:p>
            <w:r>
              <w:rPr>
                <w:sz w:val="16"/>
              </w:rPr>
              <w:t>Firewall rules OT/IT geconfigureerd en getest</w:t>
            </w:r>
          </w:p>
        </w:tc>
        <w:tc>
          <w:tcPr>
            <w:tcW w:type="dxa" w:w="1984"/>
            <w:shd w:fill="F0F4F8" w:val="clear"/>
          </w:tcPr>
          <w:p>
            <w:r>
              <w:rPr>
                <w:sz w:val="16"/>
              </w:rPr>
              <w:t>IEC 62443-3-3</w:t>
            </w:r>
          </w:p>
        </w:tc>
        <w:tc>
          <w:tcPr>
            <w:tcW w:type="dxa" w:w="3402"/>
            <w:shd w:fill="F0F4F8" w:val="clear"/>
          </w:tcPr>
          <w:p>
            <w:r>
              <w:rPr>
                <w:sz w:val="16"/>
              </w:rPr>
              <w:t>Alle firewall rules moeten whitelisting zijn (deny-all-default). Per rule: source IP, destination IP, protocol, port, en direction. Testing: (1) toegestaan verkeer gaat door, (2) geblokkeerd verkeer wordt gelogd, (3) logging werkt. Rules moeten gedocumenteerd zijn en maandelijks worden geauditeerd [13].</w:t>
            </w:r>
          </w:p>
        </w:tc>
        <w:tc>
          <w:tcPr>
            <w:tcW w:type="dxa" w:w="1701"/>
            <w:shd w:fill="F0F4F8" w:val="clear"/>
          </w:tcPr>
          <w:p>
            <w:r>
              <w:rPr>
                <w:sz w:val="16"/>
              </w:rPr>
              <w:t>Firewall rules geconfigureerd; deny-all-default; getest; gedocumenteerd</w:t>
            </w:r>
          </w:p>
        </w:tc>
        <w:tc>
          <w:tcPr>
            <w:tcW w:type="dxa" w:w="1417"/>
            <w:shd w:fill="F0F4F8" w:val="clear"/>
          </w:tcPr>
          <w:p>
            <w:r>
              <w:rPr>
                <w:sz w:val="16"/>
              </w:rPr>
              <w:t>Firewall rule matrix + testrapport</w:t>
            </w:r>
          </w:p>
        </w:tc>
        <w:tc>
          <w:tcPr>
            <w:tcW w:type="dxa" w:w="567"/>
            <w:shd w:fill="F0F4F8" w:val="clear"/>
          </w:tcPr>
          <w:p>
            <w:r>
              <w:rPr>
                <w:sz w:val="16"/>
              </w:rPr>
              <w:t>H</w:t>
            </w:r>
          </w:p>
        </w:tc>
        <w:tc>
          <w:tcPr>
            <w:tcW w:type="dxa" w:w="1417"/>
            <w:shd w:fill="F0F4F8" w:val="clear"/>
          </w:tcPr>
          <w:p>
            <w:r>
              <w:rPr>
                <w:sz w:val="16"/>
              </w:rPr>
              <w:t>Cybersecurity Manager</w:t>
            </w:r>
          </w:p>
        </w:tc>
      </w:tr>
    </w:tbl>
    <w:p/>
    <w:p>
      <w:pPr>
        <w:pStyle w:val="Heading3"/>
      </w:pPr>
      <w:r>
        <w:t>2.3.3 Human Factors Installatie</w:t>
      </w:r>
    </w:p>
    <w:p>
      <w:r>
        <w:t>(2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Alarm rationalisatie voltooid en in DCS geladen</w:t>
            </w:r>
          </w:p>
        </w:tc>
        <w:tc>
          <w:tcPr>
            <w:tcW w:type="dxa" w:w="1984"/>
          </w:tcPr>
          <w:p>
            <w:r>
              <w:rPr>
                <w:sz w:val="16"/>
              </w:rPr>
              <w:t>ISA-18.2 / IEC 62682</w:t>
            </w:r>
          </w:p>
        </w:tc>
        <w:tc>
          <w:tcPr>
            <w:tcW w:type="dxa" w:w="3402"/>
          </w:tcPr>
          <w:p>
            <w:r>
              <w:rPr>
                <w:sz w:val="16"/>
              </w:rPr>
              <w:t>Alle alarmen uit het ontwerp moeten zijn gerationaliseerd en in het DCS zijn geladen met: prioriteit (hoog/midden/laag), setpoint, dead-band, en shelving-policy. Na laden: test door alle alarmen eenmaal te triggeren en verifiëren dat het juiste alarm op het juiste scherm verschijnt met juiste prioriteit [15].</w:t>
            </w:r>
          </w:p>
        </w:tc>
        <w:tc>
          <w:tcPr>
            <w:tcW w:type="dxa" w:w="1701"/>
          </w:tcPr>
          <w:p>
            <w:r>
              <w:rPr>
                <w:sz w:val="16"/>
              </w:rPr>
              <w:t>Alle alarmen geladen en getest; rationalisatie document bijgewerkt</w:t>
            </w:r>
          </w:p>
        </w:tc>
        <w:tc>
          <w:tcPr>
            <w:tcW w:type="dxa" w:w="1417"/>
          </w:tcPr>
          <w:p>
            <w:r>
              <w:rPr>
                <w:sz w:val="16"/>
              </w:rPr>
              <w:t>Alarm database (in DCS) + rationalisatie rapport</w:t>
            </w:r>
          </w:p>
        </w:tc>
        <w:tc>
          <w:tcPr>
            <w:tcW w:type="dxa" w:w="567"/>
          </w:tcPr>
          <w:p>
            <w:r>
              <w:rPr>
                <w:sz w:val="16"/>
              </w:rPr>
              <w:t>H</w:t>
            </w:r>
          </w:p>
        </w:tc>
        <w:tc>
          <w:tcPr>
            <w:tcW w:type="dxa" w:w="1417"/>
          </w:tcPr>
          <w:p>
            <w:r>
              <w:rPr>
                <w:sz w:val="16"/>
              </w:rPr>
              <w:t>Proces Engineer</w:t>
            </w:r>
          </w:p>
        </w:tc>
      </w:tr>
      <w:tr>
        <w:tc>
          <w:tcPr>
            <w:tcW w:type="dxa" w:w="2551"/>
            <w:shd w:fill="F0F4F8" w:val="clear"/>
          </w:tcPr>
          <w:p>
            <w:r>
              <w:rPr>
                <w:sz w:val="16"/>
              </w:rPr>
              <w:t>HMI schermen getest met operators (cognitive walkthrough)</w:t>
            </w:r>
          </w:p>
        </w:tc>
        <w:tc>
          <w:tcPr>
            <w:tcW w:type="dxa" w:w="1984"/>
            <w:shd w:fill="F0F4F8" w:val="clear"/>
          </w:tcPr>
          <w:p>
            <w:r>
              <w:rPr>
                <w:sz w:val="16"/>
              </w:rPr>
              <w:t>ISA-101, EEMUA 201</w:t>
            </w:r>
          </w:p>
        </w:tc>
        <w:tc>
          <w:tcPr>
            <w:tcW w:type="dxa" w:w="3402"/>
            <w:shd w:fill="F0F4F8" w:val="clear"/>
          </w:tcPr>
          <w:p>
            <w:r>
              <w:rPr>
                <w:sz w:val="16"/>
              </w:rPr>
              <w:t>Operators lopen alle HMI-schermen door en beoordelen: (1) is de informatie duidelijk?, (2) zijn kleuren consistent?, (3) zijn trends leesbaar?, (4) is de navigatie intuïtief?. Bevindingen worden vastgelegd en verwerkt vóór hot commissioning. Minimaal 3 operators deelnemen aan de walkthrough [17][18].</w:t>
            </w:r>
          </w:p>
        </w:tc>
        <w:tc>
          <w:tcPr>
            <w:tcW w:type="dxa" w:w="1701"/>
            <w:shd w:fill="F0F4F8" w:val="clear"/>
          </w:tcPr>
          <w:p>
            <w:r>
              <w:rPr>
                <w:sz w:val="16"/>
              </w:rPr>
              <w:t>Cognitive walkthrough voltooid met ≥ 3 operators; bevindingen verwerkt</w:t>
            </w:r>
          </w:p>
        </w:tc>
        <w:tc>
          <w:tcPr>
            <w:tcW w:type="dxa" w:w="1417"/>
            <w:shd w:fill="F0F4F8" w:val="clear"/>
          </w:tcPr>
          <w:p>
            <w:r>
              <w:rPr>
                <w:sz w:val="16"/>
              </w:rPr>
              <w:t>Cognitive walkthrough rapport + verbeteracties</w:t>
            </w:r>
          </w:p>
        </w:tc>
        <w:tc>
          <w:tcPr>
            <w:tcW w:type="dxa" w:w="567"/>
            <w:shd w:fill="F0F4F8" w:val="clear"/>
          </w:tcPr>
          <w:p>
            <w:r>
              <w:rPr>
                <w:sz w:val="16"/>
              </w:rPr>
              <w:t>M</w:t>
            </w:r>
          </w:p>
        </w:tc>
        <w:tc>
          <w:tcPr>
            <w:tcW w:type="dxa" w:w="1417"/>
            <w:shd w:fill="F0F4F8" w:val="clear"/>
          </w:tcPr>
          <w:p>
            <w:r>
              <w:rPr>
                <w:sz w:val="16"/>
              </w:rPr>
              <w:t>Proces Engineer</w:t>
            </w:r>
          </w:p>
        </w:tc>
      </w:tr>
    </w:tbl>
    <w:p/>
    <w:p>
      <w:pPr>
        <w:pStyle w:val="Heading3"/>
      </w:pPr>
      <w:r>
        <w:t>2.3.4 Drukapparatuur Installatie</w:t>
      </w:r>
    </w:p>
    <w:p>
      <w:r>
        <w:t>(1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Veiligheidskleppen getest en verzegeld</w:t>
            </w:r>
          </w:p>
        </w:tc>
        <w:tc>
          <w:tcPr>
            <w:tcW w:type="dxa" w:w="1984"/>
          </w:tcPr>
          <w:p>
            <w:r>
              <w:rPr>
                <w:sz w:val="16"/>
              </w:rPr>
              <w:t>PED 2014/68/EU, NEN-EN ISO 4126</w:t>
            </w:r>
          </w:p>
        </w:tc>
        <w:tc>
          <w:tcPr>
            <w:tcW w:type="dxa" w:w="3402"/>
          </w:tcPr>
          <w:p>
            <w:r>
              <w:rPr>
                <w:sz w:val="16"/>
              </w:rPr>
              <w:t>Alle veiligheidskleppen moeten individueel worden getest op de insteldruk (set pressure) ± 3% tolerantie. Na test worden ze verzegeld (loodzegel of draadzegel) om manipulatie te voorkomen. Testrapport inclusief: insteldruk, openingsdruk, terugslagdruk, en capaciteit [9].</w:t>
            </w:r>
          </w:p>
        </w:tc>
        <w:tc>
          <w:tcPr>
            <w:tcW w:type="dxa" w:w="1701"/>
          </w:tcPr>
          <w:p>
            <w:r>
              <w:rPr>
                <w:sz w:val="16"/>
              </w:rPr>
              <w:t>Alle veiligheidskleppen getest; insteldruk binnen ±3%; verzegeld; testrapporten beschikbaar</w:t>
            </w:r>
          </w:p>
        </w:tc>
        <w:tc>
          <w:tcPr>
            <w:tcW w:type="dxa" w:w="1417"/>
          </w:tcPr>
          <w:p>
            <w:r>
              <w:rPr>
                <w:sz w:val="16"/>
              </w:rPr>
              <w:t>Veiligheidsklep testrapporten + verzegellijst</w:t>
            </w:r>
          </w:p>
        </w:tc>
        <w:tc>
          <w:tcPr>
            <w:tcW w:type="dxa" w:w="567"/>
          </w:tcPr>
          <w:p>
            <w:r>
              <w:rPr>
                <w:sz w:val="16"/>
              </w:rPr>
              <w:t>H</w:t>
            </w:r>
          </w:p>
        </w:tc>
        <w:tc>
          <w:tcPr>
            <w:tcW w:type="dxa" w:w="1417"/>
          </w:tcPr>
          <w:p>
            <w:r>
              <w:rPr>
                <w:sz w:val="16"/>
              </w:rPr>
              <w:t>Commissioning Lead</w:t>
            </w:r>
          </w:p>
        </w:tc>
      </w:tr>
    </w:tbl>
    <w:p/>
    <w:p>
      <w:pPr>
        <w:pStyle w:val="Heading3"/>
      </w:pPr>
      <w:r>
        <w:t>2.3.5 Elektrisch Installatie (Ex-bescherming)</w:t>
      </w:r>
    </w:p>
    <w:p>
      <w:r>
        <w:t>(2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Ex-bescherming elektrische apparatuur in ATEX-zones geverifieerd</w:t>
            </w:r>
          </w:p>
        </w:tc>
        <w:tc>
          <w:tcPr>
            <w:tcW w:type="dxa" w:w="1984"/>
          </w:tcPr>
          <w:p>
            <w:r>
              <w:rPr>
                <w:sz w:val="16"/>
              </w:rPr>
              <w:t>ATEX 2014/34/EU, NEN-EN 60079</w:t>
            </w:r>
          </w:p>
        </w:tc>
        <w:tc>
          <w:tcPr>
            <w:tcW w:type="dxa" w:w="3402"/>
          </w:tcPr>
          <w:p>
            <w:r>
              <w:rPr>
                <w:sz w:val="16"/>
              </w:rPr>
              <w:t>Alle elektrische apparatuur in ATEX-zones moet: (1) het juiste Ex-markering hebben (zone 0/20: Ex ia, zone 1/21: Ex ib/e/d/p, zone 2/22: Ex nA/nC), (2) installatie conform NEN-EN 60079-14, (3) verbindingen gasdicht, (4) aarding intact. Inspectie door Ex-gekwalificeerd persoon vereist [8].</w:t>
            </w:r>
          </w:p>
        </w:tc>
        <w:tc>
          <w:tcPr>
            <w:tcW w:type="dxa" w:w="1701"/>
          </w:tcPr>
          <w:p>
            <w:r>
              <w:rPr>
                <w:sz w:val="16"/>
              </w:rPr>
              <w:t>100% Ex-apparatuur geverifieerd; installatie conform NEN-EN 60079-14; Ex-gecertificeerd persoon goedgekeurd</w:t>
            </w:r>
          </w:p>
        </w:tc>
        <w:tc>
          <w:tcPr>
            <w:tcW w:type="dxa" w:w="1417"/>
          </w:tcPr>
          <w:p>
            <w:r>
              <w:rPr>
                <w:sz w:val="16"/>
              </w:rPr>
              <w:t>Ex-inspectierapport</w:t>
            </w:r>
          </w:p>
        </w:tc>
        <w:tc>
          <w:tcPr>
            <w:tcW w:type="dxa" w:w="567"/>
          </w:tcPr>
          <w:p>
            <w:r>
              <w:rPr>
                <w:sz w:val="16"/>
              </w:rPr>
              <w:t>H</w:t>
            </w:r>
          </w:p>
        </w:tc>
        <w:tc>
          <w:tcPr>
            <w:tcW w:type="dxa" w:w="1417"/>
          </w:tcPr>
          <w:p>
            <w:r>
              <w:rPr>
                <w:sz w:val="16"/>
              </w:rPr>
              <w:t>Ex-Inspecteur</w:t>
            </w:r>
          </w:p>
        </w:tc>
      </w:tr>
      <w:tr>
        <w:tc>
          <w:tcPr>
            <w:tcW w:type="dxa" w:w="2551"/>
            <w:shd w:fill="F0F4F8" w:val="clear"/>
          </w:tcPr>
          <w:p>
            <w:r>
              <w:rPr>
                <w:sz w:val="16"/>
              </w:rPr>
              <w:t>Thermografie inspectie schakelkasten</w:t>
            </w:r>
          </w:p>
        </w:tc>
        <w:tc>
          <w:tcPr>
            <w:tcW w:type="dxa" w:w="1984"/>
            <w:shd w:fill="F0F4F8" w:val="clear"/>
          </w:tcPr>
          <w:p>
            <w:r>
              <w:rPr>
                <w:sz w:val="16"/>
              </w:rPr>
              <w:t>NEN 1010:2020+C1:2024</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M</w:t>
            </w:r>
          </w:p>
        </w:tc>
        <w:tc>
          <w:tcPr>
            <w:tcW w:type="dxa" w:w="1417"/>
            <w:shd w:fill="F0F4F8" w:val="clear"/>
          </w:tcPr>
          <w:p>
            <w:r>
              <w:rPr>
                <w:sz w:val="16"/>
              </w:rPr>
              <w:t>Installateur</w:t>
            </w:r>
          </w:p>
        </w:tc>
      </w:tr>
    </w:tbl>
    <w:p/>
    <w:p>
      <w:pPr>
        <w:pStyle w:val="Heading3"/>
      </w:pPr>
      <w:r>
        <w:t>2.3.6 As-built Documentatie</w:t>
      </w:r>
    </w:p>
    <w:p>
      <w:r>
        <w:t>(1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As-built documentatie compleet (tekeningen, certificaten)</w:t>
            </w:r>
          </w:p>
        </w:tc>
        <w:tc>
          <w:tcPr>
            <w:tcW w:type="dxa" w:w="1984"/>
          </w:tcPr>
          <w:p>
            <w:r>
              <w:rPr>
                <w:sz w:val="16"/>
              </w:rPr>
              <w:t>ISO 9001, MASTER_SOP §7</w:t>
            </w:r>
          </w:p>
        </w:tc>
        <w:tc>
          <w:tcPr>
            <w:tcW w:type="dxa" w:w="3402"/>
          </w:tcPr>
          <w:p>
            <w:r>
              <w:rPr>
                <w:sz w:val="16"/>
              </w:rPr>
              <w:t>Na installatie moeten alle tekeningen worden bijgewerkt naar as-built status: P&amp;ID's, isometrische tekeningen, elektrotechnische schema's, en instrumentatie-diagrammen. Ook alle fabriekscertificaten (mill certs), lascertificaten, en keuringsrapporten moeten compleet zijn en in het DMS zijn gearchiveerd [12].</w:t>
            </w:r>
          </w:p>
        </w:tc>
        <w:tc>
          <w:tcPr>
            <w:tcW w:type="dxa" w:w="1701"/>
          </w:tcPr>
          <w:p>
            <w:r>
              <w:rPr>
                <w:sz w:val="16"/>
              </w:rPr>
              <w:t>100% as-built tekeningen bijgewerkt; alle certificaten gearchiveerd in DMS</w:t>
            </w:r>
          </w:p>
        </w:tc>
        <w:tc>
          <w:tcPr>
            <w:tcW w:type="dxa" w:w="1417"/>
          </w:tcPr>
          <w:p>
            <w:r>
              <w:rPr>
                <w:sz w:val="16"/>
              </w:rPr>
              <w:t>As-built documentenset + DMS archief overzicht</w:t>
            </w:r>
          </w:p>
        </w:tc>
        <w:tc>
          <w:tcPr>
            <w:tcW w:type="dxa" w:w="567"/>
          </w:tcPr>
          <w:p>
            <w:r>
              <w:rPr>
                <w:sz w:val="16"/>
              </w:rPr>
              <w:t>H</w:t>
            </w:r>
          </w:p>
        </w:tc>
        <w:tc>
          <w:tcPr>
            <w:tcW w:type="dxa" w:w="1417"/>
          </w:tcPr>
          <w:p>
            <w:r>
              <w:rPr>
                <w:sz w:val="16"/>
              </w:rPr>
              <w:t>Project Engineer</w:t>
            </w:r>
          </w:p>
        </w:tc>
      </w:tr>
    </w:tbl>
    <w:p/>
    <w:p>
      <w:pPr>
        <w:pStyle w:val="Heading2"/>
      </w:pPr>
      <w:r>
        <w:t>2.4 Oplevering — Performance Testing</w:t>
      </w:r>
    </w:p>
    <w:p>
      <w:pPr>
        <w:pStyle w:val="Heading3"/>
      </w:pPr>
      <w:r>
        <w:t>2.4.1 Performance Testing</w:t>
      </w:r>
    </w:p>
    <w:p>
      <w:r>
        <w:t>(4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Capaciteitstest: ontwerp-capaciteit bereikt</w:t>
            </w:r>
          </w:p>
        </w:tc>
        <w:tc>
          <w:tcPr>
            <w:tcW w:type="dxa" w:w="1984"/>
          </w:tcPr>
          <w:p>
            <w:r>
              <w:rPr>
                <w:sz w:val="16"/>
              </w:rPr>
              <w:t>Best practice, UAV 2012</w:t>
            </w:r>
          </w:p>
        </w:tc>
        <w:tc>
          <w:tcPr>
            <w:tcW w:type="dxa" w:w="3402"/>
          </w:tcPr>
          <w:p>
            <w:r>
              <w:rPr>
                <w:sz w:val="16"/>
              </w:rPr>
              <w:t>De capaciteitstest toont aan dat de pilot plant het ontworpen doorzetvermogen haalt (ton vanadium per dag, m³/uur vloeistof). Testduur: minimaal 24 uur continue bewerking. Alle parameters (flow, temperatuur, druk, concentratie) worden continu gemonitord. Afwijking &gt; 10% van ontwerp moet worden onderzocht en gemotiveerd [25].</w:t>
            </w:r>
          </w:p>
        </w:tc>
        <w:tc>
          <w:tcPr>
            <w:tcW w:type="dxa" w:w="1701"/>
          </w:tcPr>
          <w:p>
            <w:r>
              <w:rPr>
                <w:sz w:val="16"/>
              </w:rPr>
              <w:t>Capaciteit ≥ 100% van ontwerp; alle parameters binnen ±10%; 24-uur continue test</w:t>
            </w:r>
          </w:p>
        </w:tc>
        <w:tc>
          <w:tcPr>
            <w:tcW w:type="dxa" w:w="1417"/>
          </w:tcPr>
          <w:p>
            <w:r>
              <w:rPr>
                <w:sz w:val="16"/>
              </w:rPr>
              <w:t>Capaciteitstest rapport + monitoring data</w:t>
            </w:r>
          </w:p>
        </w:tc>
        <w:tc>
          <w:tcPr>
            <w:tcW w:type="dxa" w:w="567"/>
          </w:tcPr>
          <w:p>
            <w:r>
              <w:rPr>
                <w:sz w:val="16"/>
              </w:rPr>
              <w:t>H</w:t>
            </w:r>
          </w:p>
        </w:tc>
        <w:tc>
          <w:tcPr>
            <w:tcW w:type="dxa" w:w="1417"/>
          </w:tcPr>
          <w:p>
            <w:r>
              <w:rPr>
                <w:sz w:val="16"/>
              </w:rPr>
              <w:t>Commissioning Lead</w:t>
            </w:r>
          </w:p>
        </w:tc>
      </w:tr>
      <w:tr>
        <w:tc>
          <w:tcPr>
            <w:tcW w:type="dxa" w:w="2551"/>
            <w:shd w:fill="F0F4F8" w:val="clear"/>
          </w:tcPr>
          <w:p>
            <w:r>
              <w:rPr>
                <w:sz w:val="16"/>
              </w:rPr>
              <w:t>Kwaliteitstest: product specificaties behaald</w:t>
            </w:r>
          </w:p>
        </w:tc>
        <w:tc>
          <w:tcPr>
            <w:tcW w:type="dxa" w:w="1984"/>
            <w:shd w:fill="F0F4F8" w:val="clear"/>
          </w:tcPr>
          <w:p>
            <w:r>
              <w:rPr>
                <w:sz w:val="16"/>
              </w:rPr>
              <w:t>Best practice, klantspecificaties</w:t>
            </w:r>
          </w:p>
        </w:tc>
        <w:tc>
          <w:tcPr>
            <w:tcW w:type="dxa" w:w="3402"/>
            <w:shd w:fill="F0F4F8" w:val="clear"/>
          </w:tcPr>
          <w:p>
            <w:r>
              <w:rPr>
                <w:sz w:val="16"/>
              </w:rPr>
              <w:t>Het geproduceerde vanadiumproduct (V₂O₅, ferrovanadium, of tussenproduct) moet voldoen aan de gespecificeerde kwaliteit: puurheid (% V₂O₅), verontreinigingen (Fe, Si, Al, P, S &lt; specifieke limieten), en fysische eigenschappen (korrelgrootte, vochtgehalte). Minimaal 3 opeenvolgende charges moeten binnen specificatie vallen [25].</w:t>
            </w:r>
          </w:p>
        </w:tc>
        <w:tc>
          <w:tcPr>
            <w:tcW w:type="dxa" w:w="1701"/>
            <w:shd w:fill="F0F4F8" w:val="clear"/>
          </w:tcPr>
          <w:p>
            <w:r>
              <w:rPr>
                <w:sz w:val="16"/>
              </w:rPr>
              <w:t>≥ 3 achtereenvolgende charges binnen productspecificatie</w:t>
            </w:r>
          </w:p>
        </w:tc>
        <w:tc>
          <w:tcPr>
            <w:tcW w:type="dxa" w:w="1417"/>
            <w:shd w:fill="F0F4F8" w:val="clear"/>
          </w:tcPr>
          <w:p>
            <w:r>
              <w:rPr>
                <w:sz w:val="16"/>
              </w:rPr>
              <w:t>Kwaliteitsanalyserapporten per charge</w:t>
            </w:r>
          </w:p>
        </w:tc>
        <w:tc>
          <w:tcPr>
            <w:tcW w:type="dxa" w:w="567"/>
            <w:shd w:fill="F0F4F8" w:val="clear"/>
          </w:tcPr>
          <w:p>
            <w:r>
              <w:rPr>
                <w:sz w:val="16"/>
              </w:rPr>
              <w:t>H</w:t>
            </w:r>
          </w:p>
        </w:tc>
        <w:tc>
          <w:tcPr>
            <w:tcW w:type="dxa" w:w="1417"/>
            <w:shd w:fill="F0F4F8" w:val="clear"/>
          </w:tcPr>
          <w:p>
            <w:r>
              <w:rPr>
                <w:sz w:val="16"/>
              </w:rPr>
              <w:t>QC Inspector</w:t>
            </w:r>
          </w:p>
        </w:tc>
      </w:tr>
      <w:tr>
        <w:tc>
          <w:tcPr>
            <w:tcW w:type="dxa" w:w="2551"/>
          </w:tcPr>
          <w:p>
            <w:r>
              <w:rPr>
                <w:sz w:val="16"/>
              </w:rPr>
              <w:t>72-uur duurtest: stabiele bewerking aangetoond</w:t>
            </w:r>
          </w:p>
        </w:tc>
        <w:tc>
          <w:tcPr>
            <w:tcW w:type="dxa" w:w="1984"/>
          </w:tcPr>
          <w:p>
            <w:r>
              <w:rPr>
                <w:sz w:val="16"/>
              </w:rPr>
              <w:t>Best practice, UAV 2012</w:t>
            </w:r>
          </w:p>
        </w:tc>
        <w:tc>
          <w:tcPr>
            <w:tcW w:type="dxa" w:w="3402"/>
          </w:tcPr>
          <w:p>
            <w:r>
              <w:rPr>
                <w:sz w:val="16"/>
              </w:rPr>
              <w:t>De 72-uur duurtest demonstreert dat de pilot plant stabiel kan draaien zonder noodsituaties, ongeplande stops, of significante afwijkingen. Criteria: (1) geen ESD-activaties, (2) geen lekkages, (3) alle parameters binnen ±5% van setpoint, (4) productkwaliteit constant. De test wordt beëindigd bij een kritieke storing — dan opnieuw beginnen [25].</w:t>
            </w:r>
          </w:p>
        </w:tc>
        <w:tc>
          <w:tcPr>
            <w:tcW w:type="dxa" w:w="1701"/>
          </w:tcPr>
          <w:p>
            <w:r>
              <w:rPr>
                <w:sz w:val="16"/>
              </w:rPr>
              <w:t>72 uur continue bewerking; 0 ESD; 0 lekkages; parameters ±5%; product constant</w:t>
            </w:r>
          </w:p>
        </w:tc>
        <w:tc>
          <w:tcPr>
            <w:tcW w:type="dxa" w:w="1417"/>
          </w:tcPr>
          <w:p>
            <w:r>
              <w:rPr>
                <w:sz w:val="16"/>
              </w:rPr>
              <w:t>72-uur test logbook + monitoring rapport</w:t>
            </w:r>
          </w:p>
        </w:tc>
        <w:tc>
          <w:tcPr>
            <w:tcW w:type="dxa" w:w="567"/>
          </w:tcPr>
          <w:p>
            <w:r>
              <w:rPr>
                <w:sz w:val="16"/>
              </w:rPr>
              <w:t>H</w:t>
            </w:r>
          </w:p>
        </w:tc>
        <w:tc>
          <w:tcPr>
            <w:tcW w:type="dxa" w:w="1417"/>
          </w:tcPr>
          <w:p>
            <w:r>
              <w:rPr>
                <w:sz w:val="16"/>
              </w:rPr>
              <w:t>Commissioning Lead</w:t>
            </w:r>
          </w:p>
        </w:tc>
      </w:tr>
      <w:tr>
        <w:tc>
          <w:tcPr>
            <w:tcW w:type="dxa" w:w="2551"/>
            <w:shd w:fill="F0F4F8" w:val="clear"/>
          </w:tcPr>
          <w:p>
            <w:r>
              <w:rPr>
                <w:sz w:val="16"/>
              </w:rPr>
              <w:t>Prestatiegarantie test conform UAV 2012</w:t>
            </w:r>
          </w:p>
        </w:tc>
        <w:tc>
          <w:tcPr>
            <w:tcW w:type="dxa" w:w="1984"/>
            <w:shd w:fill="F0F4F8" w:val="clear"/>
          </w:tcPr>
          <w:p>
            <w:r>
              <w:rPr>
                <w:sz w:val="16"/>
              </w:rPr>
              <w:t>UAV 2012, Contractuele afspraken</w:t>
            </w:r>
          </w:p>
        </w:tc>
        <w:tc>
          <w:tcPr>
            <w:tcW w:type="dxa" w:w="3402"/>
            <w:shd w:fill="F0F4F8" w:val="clear"/>
          </w:tcPr>
          <w:p>
            <w:r>
              <w:rPr>
                <w:sz w:val="16"/>
              </w:rPr>
              <w:t>Indien contractueel overeengekomen, wordt een prestatiegarantie test uitgevoerd conform UAV 2012. De test moet aantonen dat: (1) capaciteit ≥ gegarandeerd minimum, (2) verbruik (energie, chemicaliën) ≤ gegarandeerd maximum, (3) betrouwbaarheid ≥ gegarandeerd percentage (bijv. 95% uptime). Onafhankelijke waarnemer kan aanwezig zijn [25].</w:t>
            </w:r>
          </w:p>
        </w:tc>
        <w:tc>
          <w:tcPr>
            <w:tcW w:type="dxa" w:w="1701"/>
            <w:shd w:fill="F0F4F8" w:val="clear"/>
          </w:tcPr>
          <w:p>
            <w:r>
              <w:rPr>
                <w:sz w:val="16"/>
              </w:rPr>
              <w:t>Alle garantie-parameters behaald; rapport ondertekend door beide partijen</w:t>
            </w:r>
          </w:p>
        </w:tc>
        <w:tc>
          <w:tcPr>
            <w:tcW w:type="dxa" w:w="1417"/>
            <w:shd w:fill="F0F4F8" w:val="clear"/>
          </w:tcPr>
          <w:p>
            <w:r>
              <w:rPr>
                <w:sz w:val="16"/>
              </w:rPr>
              <w:t>Prestatiegarantie test rapport + ondertekening</w:t>
            </w:r>
          </w:p>
        </w:tc>
        <w:tc>
          <w:tcPr>
            <w:tcW w:type="dxa" w:w="567"/>
            <w:shd w:fill="F0F4F8" w:val="clear"/>
          </w:tcPr>
          <w:p>
            <w:r>
              <w:rPr>
                <w:sz w:val="16"/>
              </w:rPr>
              <w:t>H</w:t>
            </w:r>
          </w:p>
        </w:tc>
        <w:tc>
          <w:tcPr>
            <w:tcW w:type="dxa" w:w="1417"/>
            <w:shd w:fill="F0F4F8" w:val="clear"/>
          </w:tcPr>
          <w:p>
            <w:r>
              <w:rPr>
                <w:sz w:val="16"/>
              </w:rPr>
              <w:t>Project Manager</w:t>
            </w:r>
          </w:p>
        </w:tc>
      </w:tr>
    </w:tbl>
    <w:p/>
    <w:p>
      <w:pPr>
        <w:pStyle w:val="Heading3"/>
      </w:pPr>
      <w:r>
        <w:t>2.4.2 Documentatie Oplevering</w:t>
      </w:r>
    </w:p>
    <w:p>
      <w:r>
        <w:t>(3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Opleveringsdossier compleet (alle documenten, certificaten, rapporten)</w:t>
            </w:r>
          </w:p>
        </w:tc>
        <w:tc>
          <w:tcPr>
            <w:tcW w:type="dxa" w:w="1984"/>
          </w:tcPr>
          <w:p>
            <w:r>
              <w:rPr>
                <w:sz w:val="16"/>
              </w:rPr>
              <w:t>ISO 9001, MASTER_SOP §7</w:t>
            </w:r>
          </w:p>
        </w:tc>
        <w:tc>
          <w:tcPr>
            <w:tcW w:type="dxa" w:w="3402"/>
          </w:tcPr>
          <w:p>
            <w:r>
              <w:rPr>
                <w:sz w:val="16"/>
              </w:rPr>
              <w:t>Het opleveringsdossier bevat: (1) alle as-built tekeningen, (2) alle keurings- en testrapporten, (3) fabriekscertificaten (mill certs), (4) CE-verklaringen, (5) bedienings- en onderhoudshandleidingen, (6) HAZOP/LOPA-rapporten, (7) trainingdocumentatie, (8) vergunningen. Het dossier moet compleet zijn vóór formele oplevering [12].</w:t>
            </w:r>
          </w:p>
        </w:tc>
        <w:tc>
          <w:tcPr>
            <w:tcW w:type="dxa" w:w="1701"/>
          </w:tcPr>
          <w:p>
            <w:r>
              <w:rPr>
                <w:sz w:val="16"/>
              </w:rPr>
              <w:t>Opleveringsdossier 100% compleet; gecontroleerd door Project Manager</w:t>
            </w:r>
          </w:p>
        </w:tc>
        <w:tc>
          <w:tcPr>
            <w:tcW w:type="dxa" w:w="1417"/>
          </w:tcPr>
          <w:p>
            <w:r>
              <w:rPr>
                <w:sz w:val="16"/>
              </w:rPr>
              <w:t>Opleveringsdossier (compleet in DMS)</w:t>
            </w:r>
          </w:p>
        </w:tc>
        <w:tc>
          <w:tcPr>
            <w:tcW w:type="dxa" w:w="567"/>
          </w:tcPr>
          <w:p>
            <w:r>
              <w:rPr>
                <w:sz w:val="16"/>
              </w:rPr>
              <w:t>H</w:t>
            </w:r>
          </w:p>
        </w:tc>
        <w:tc>
          <w:tcPr>
            <w:tcW w:type="dxa" w:w="1417"/>
          </w:tcPr>
          <w:p>
            <w:r>
              <w:rPr>
                <w:sz w:val="16"/>
              </w:rPr>
              <w:t>Project Manager</w:t>
            </w:r>
          </w:p>
        </w:tc>
      </w:tr>
      <w:tr>
        <w:tc>
          <w:tcPr>
            <w:tcW w:type="dxa" w:w="2551"/>
            <w:shd w:fill="F0F4F8" w:val="clear"/>
          </w:tcPr>
          <w:p>
            <w:r>
              <w:rPr>
                <w:sz w:val="16"/>
              </w:rPr>
              <w:t>Oplevering P&amp;ID's (as-built) gedigitaliseerd</w:t>
            </w:r>
          </w:p>
        </w:tc>
        <w:tc>
          <w:tcPr>
            <w:tcW w:type="dxa" w:w="1984"/>
            <w:shd w:fill="F0F4F8" w:val="clear"/>
          </w:tcPr>
          <w:p>
            <w:r>
              <w:rPr>
                <w:sz w:val="16"/>
              </w:rPr>
              <w:t>Best practice</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Engineering</w:t>
            </w:r>
          </w:p>
        </w:tc>
      </w:tr>
      <w:tr>
        <w:tc>
          <w:tcPr>
            <w:tcW w:type="dxa" w:w="2551"/>
          </w:tcPr>
          <w:p>
            <w:r>
              <w:rPr>
                <w:sz w:val="16"/>
              </w:rPr>
              <w:t>Software backup SCADA/DCS</w:t>
            </w:r>
          </w:p>
        </w:tc>
        <w:tc>
          <w:tcPr>
            <w:tcW w:type="dxa" w:w="1984"/>
          </w:tcPr>
          <w:p>
            <w:r>
              <w:rPr>
                <w:sz w:val="16"/>
              </w:rPr>
              <w:t>Best practice</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M</w:t>
            </w:r>
          </w:p>
        </w:tc>
        <w:tc>
          <w:tcPr>
            <w:tcW w:type="dxa" w:w="1417"/>
          </w:tcPr>
          <w:p>
            <w:r>
              <w:rPr>
                <w:sz w:val="16"/>
              </w:rPr>
              <w:t>Automation</w:t>
            </w:r>
          </w:p>
        </w:tc>
      </w:tr>
    </w:tbl>
    <w:p/>
    <w:p>
      <w:pPr>
        <w:pStyle w:val="Heading3"/>
      </w:pPr>
      <w:r>
        <w:t>2.4.3 Seveso Noodplan Test</w:t>
      </w:r>
    </w:p>
    <w:p>
      <w:r>
        <w:t>(1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Noodplan intern en extern getest</w:t>
            </w:r>
          </w:p>
        </w:tc>
        <w:tc>
          <w:tcPr>
            <w:tcW w:type="dxa" w:w="1984"/>
          </w:tcPr>
          <w:p>
            <w:r>
              <w:rPr>
                <w:sz w:val="16"/>
              </w:rPr>
              <w:t>Seveso-regeling 2024</w:t>
            </w:r>
          </w:p>
        </w:tc>
        <w:tc>
          <w:tcPr>
            <w:tcW w:type="dxa" w:w="3402"/>
          </w:tcPr>
          <w:p>
            <w:r>
              <w:rPr>
                <w:sz w:val="16"/>
              </w:rPr>
              <w:t>Indien Seveso van toepassing: het interne en externe noodplan moeten zijn getest middels een tabletop-oefening (minimaal) of een live-oefening (aanbevolen). Scenario: zuurlek met letsel. Evaluatie: responstijd, communicatie, evacuatie, en blus/opvang. Bevindingen verwerken in plan-update [7].</w:t>
            </w:r>
          </w:p>
        </w:tc>
        <w:tc>
          <w:tcPr>
            <w:tcW w:type="dxa" w:w="1701"/>
          </w:tcPr>
          <w:p>
            <w:r>
              <w:rPr>
                <w:sz w:val="16"/>
              </w:rPr>
              <w:t>Noodplan getest; evaluatierapport beschikbaar; bevindingen verwerkt</w:t>
            </w:r>
          </w:p>
        </w:tc>
        <w:tc>
          <w:tcPr>
            <w:tcW w:type="dxa" w:w="1417"/>
          </w:tcPr>
          <w:p>
            <w:r>
              <w:rPr>
                <w:sz w:val="16"/>
              </w:rPr>
              <w:t>Noodplan oefenrapport + evaluatie</w:t>
            </w:r>
          </w:p>
        </w:tc>
        <w:tc>
          <w:tcPr>
            <w:tcW w:type="dxa" w:w="567"/>
          </w:tcPr>
          <w:p>
            <w:r>
              <w:rPr>
                <w:sz w:val="16"/>
              </w:rPr>
              <w:t>H</w:t>
            </w:r>
          </w:p>
        </w:tc>
        <w:tc>
          <w:tcPr>
            <w:tcW w:type="dxa" w:w="1417"/>
          </w:tcPr>
          <w:p>
            <w:r>
              <w:rPr>
                <w:sz w:val="16"/>
              </w:rPr>
              <w:t>HSEQ Manager</w:t>
            </w:r>
          </w:p>
        </w:tc>
      </w:tr>
    </w:tbl>
    <w:p/>
    <w:p>
      <w:pPr>
        <w:pStyle w:val="Heading3"/>
      </w:pPr>
      <w:r>
        <w:t>2.4.4 OT Cybersecurity PEN-test</w:t>
      </w:r>
    </w:p>
    <w:p>
      <w:r>
        <w:t>(1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PEN-test OT netwerk uitgevoerd</w:t>
            </w:r>
          </w:p>
        </w:tc>
        <w:tc>
          <w:tcPr>
            <w:tcW w:type="dxa" w:w="1984"/>
          </w:tcPr>
          <w:p>
            <w:r>
              <w:rPr>
                <w:sz w:val="16"/>
              </w:rPr>
              <w:t>IEC 62443, NIS2 (EU) 2022/2555</w:t>
            </w:r>
          </w:p>
        </w:tc>
        <w:tc>
          <w:tcPr>
            <w:tcW w:type="dxa" w:w="3402"/>
          </w:tcPr>
          <w:p>
            <w:r>
              <w:rPr>
                <w:sz w:val="16"/>
              </w:rPr>
              <w:t>Een penetratie-test op het OT-netwerk moet worden uitgevoerd door een onafhankelijke partij. De test omvat: netwerkscanning, vulnerability assessment, en (indien akkoord) exploitatie-pogingen. Resultaat: bevindingen-rapport met classificatie (critical/high/medium/low) en hersteladvies. Critical/high bevindingen MOETEN worden opgelost vóór productie-start [13][19].</w:t>
            </w:r>
          </w:p>
        </w:tc>
        <w:tc>
          <w:tcPr>
            <w:tcW w:type="dxa" w:w="1701"/>
          </w:tcPr>
          <w:p>
            <w:r>
              <w:rPr>
                <w:sz w:val="16"/>
              </w:rPr>
              <w:t>PEN-test voltooid; critical/high bevindingen opgelost; rapport beschikbaar</w:t>
            </w:r>
          </w:p>
        </w:tc>
        <w:tc>
          <w:tcPr>
            <w:tcW w:type="dxa" w:w="1417"/>
          </w:tcPr>
          <w:p>
            <w:r>
              <w:rPr>
                <w:sz w:val="16"/>
              </w:rPr>
              <w:t>PEN-test rapport + herstelbewijzen</w:t>
            </w:r>
          </w:p>
        </w:tc>
        <w:tc>
          <w:tcPr>
            <w:tcW w:type="dxa" w:w="567"/>
          </w:tcPr>
          <w:p>
            <w:r>
              <w:rPr>
                <w:sz w:val="16"/>
              </w:rPr>
              <w:t>H</w:t>
            </w:r>
          </w:p>
        </w:tc>
        <w:tc>
          <w:tcPr>
            <w:tcW w:type="dxa" w:w="1417"/>
          </w:tcPr>
          <w:p>
            <w:r>
              <w:rPr>
                <w:sz w:val="16"/>
              </w:rPr>
              <w:t>Cybersecurity Manager</w:t>
            </w:r>
          </w:p>
        </w:tc>
      </w:tr>
    </w:tbl>
    <w:p/>
    <w:p>
      <w:pPr>
        <w:pStyle w:val="Heading3"/>
      </w:pPr>
      <w:r>
        <w:t>2.4.5 Human Factors Walkthrough</w:t>
      </w:r>
    </w:p>
    <w:p>
      <w:r>
        <w:t>(1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Cognitive walkthrough met operators voltooid</w:t>
            </w:r>
          </w:p>
        </w:tc>
        <w:tc>
          <w:tcPr>
            <w:tcW w:type="dxa" w:w="1984"/>
          </w:tcPr>
          <w:p>
            <w:r>
              <w:rPr>
                <w:sz w:val="16"/>
              </w:rPr>
              <w:t>ISO 11064-4, ISA-101</w:t>
            </w:r>
          </w:p>
        </w:tc>
        <w:tc>
          <w:tcPr>
            <w:tcW w:type="dxa" w:w="3402"/>
          </w:tcPr>
          <w:p>
            <w:r>
              <w:rPr>
                <w:sz w:val="16"/>
              </w:rPr>
              <w:t>Na installatie lopen operators alle procedures door (start-up, normal operation, shutdown, emergency) met de daadwerkelijke HMI en bedieningselementen. Beoordeeld wordt: begrijpelijkheid, volledigheid, en gebruiksvriendelijkheid. Minimaal 3 operators. Bevindingen leiden tot procedure-aanpassingen of HMI-wijzigingen [14][18].</w:t>
            </w:r>
          </w:p>
        </w:tc>
        <w:tc>
          <w:tcPr>
            <w:tcW w:type="dxa" w:w="1701"/>
          </w:tcPr>
          <w:p>
            <w:r>
              <w:rPr>
                <w:sz w:val="16"/>
              </w:rPr>
              <w:t>Cognitive walkthrough met ≥ 3 operators voltooid; bevindingen verwerkt</w:t>
            </w:r>
          </w:p>
        </w:tc>
        <w:tc>
          <w:tcPr>
            <w:tcW w:type="dxa" w:w="1417"/>
          </w:tcPr>
          <w:p>
            <w:r>
              <w:rPr>
                <w:sz w:val="16"/>
              </w:rPr>
              <w:t>Walkthrough rapport + verbeteracties</w:t>
            </w:r>
          </w:p>
        </w:tc>
        <w:tc>
          <w:tcPr>
            <w:tcW w:type="dxa" w:w="567"/>
          </w:tcPr>
          <w:p>
            <w:r>
              <w:rPr>
                <w:sz w:val="16"/>
              </w:rPr>
              <w:t>M</w:t>
            </w:r>
          </w:p>
        </w:tc>
        <w:tc>
          <w:tcPr>
            <w:tcW w:type="dxa" w:w="1417"/>
          </w:tcPr>
          <w:p>
            <w:r>
              <w:rPr>
                <w:sz w:val="16"/>
              </w:rPr>
              <w:t>Proces Engineer</w:t>
            </w:r>
          </w:p>
        </w:tc>
      </w:tr>
    </w:tbl>
    <w:p/>
    <w:p>
      <w:pPr>
        <w:pStyle w:val="Heading2"/>
      </w:pPr>
      <w:r>
        <w:t>2.5 Operationeel — 6 Maanden+ na Inbedrijfname</w:t>
      </w:r>
    </w:p>
    <w:p>
      <w:pPr>
        <w:pStyle w:val="Heading3"/>
      </w:pPr>
      <w:r>
        <w:t>2.5.1 Milieu &amp; Incidentbestrijding (PFAS, Spill)</w:t>
      </w:r>
    </w:p>
    <w:p>
      <w:r>
        <w:t>(6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PFAS-vrij blusschuim operationeel en periodiek getest</w:t>
            </w:r>
          </w:p>
        </w:tc>
        <w:tc>
          <w:tcPr>
            <w:tcW w:type="dxa" w:w="1984"/>
          </w:tcPr>
          <w:p>
            <w:r>
              <w:rPr>
                <w:sz w:val="16"/>
              </w:rPr>
              <w:t>REACH PFAS restrictie [20], PGS 15:2025</w:t>
            </w:r>
          </w:p>
        </w:tc>
        <w:tc>
          <w:tcPr>
            <w:tcW w:type="dxa" w:w="3402"/>
          </w:tcPr>
          <w:p>
            <w:r>
              <w:rPr>
                <w:sz w:val="16"/>
              </w:rPr>
              <w:t>Het PFAS-vrije blusschuimsysteem moet operationeel zijn: schuimtank gevuld, proportioneelmenger gekalibreerd, en schuimmonitors/sproeikoppen getest. Maandelijks: visuele inspectie. Jaarlijks: schuimproef (werkelijk schuim produceren en verifiëren dat bedekking en kwaliteit conform ontwerp). Vervangingscyclus conform leveranciersadvies (meestal 5-10 jaar) [20].</w:t>
            </w:r>
          </w:p>
        </w:tc>
        <w:tc>
          <w:tcPr>
            <w:tcW w:type="dxa" w:w="1701"/>
          </w:tcPr>
          <w:p>
            <w:r>
              <w:rPr>
                <w:sz w:val="16"/>
              </w:rPr>
              <w:t>Schuimsysteem operationeel; maandelijkse inspectie; jaarlijkse schuimproef conform schema</w:t>
            </w:r>
          </w:p>
        </w:tc>
        <w:tc>
          <w:tcPr>
            <w:tcW w:type="dxa" w:w="1417"/>
          </w:tcPr>
          <w:p>
            <w:r>
              <w:rPr>
                <w:sz w:val="16"/>
              </w:rPr>
              <w:t>Schuimproef rapport + inspectielogboek</w:t>
            </w:r>
          </w:p>
        </w:tc>
        <w:tc>
          <w:tcPr>
            <w:tcW w:type="dxa" w:w="567"/>
          </w:tcPr>
          <w:p>
            <w:r>
              <w:rPr>
                <w:sz w:val="16"/>
              </w:rPr>
              <w:t>H</w:t>
            </w:r>
          </w:p>
        </w:tc>
        <w:tc>
          <w:tcPr>
            <w:tcW w:type="dxa" w:w="1417"/>
          </w:tcPr>
          <w:p>
            <w:r>
              <w:rPr>
                <w:sz w:val="16"/>
              </w:rPr>
              <w:t>Brandveiligheidsadviseur</w:t>
            </w:r>
          </w:p>
        </w:tc>
      </w:tr>
      <w:tr>
        <w:tc>
          <w:tcPr>
            <w:tcW w:type="dxa" w:w="2551"/>
            <w:shd w:fill="F0F4F8" w:val="clear"/>
          </w:tcPr>
          <w:p>
            <w:r>
              <w:rPr>
                <w:sz w:val="16"/>
              </w:rPr>
              <w:t>Spill containment zuren geverifieerd en getest</w:t>
            </w:r>
          </w:p>
        </w:tc>
        <w:tc>
          <w:tcPr>
            <w:tcW w:type="dxa" w:w="1984"/>
            <w:shd w:fill="F0F4F8" w:val="clear"/>
          </w:tcPr>
          <w:p>
            <w:r>
              <w:rPr>
                <w:sz w:val="16"/>
              </w:rPr>
              <w:t>PGS 15:2025, Bal</w:t>
            </w:r>
          </w:p>
        </w:tc>
        <w:tc>
          <w:tcPr>
            <w:tcW w:type="dxa" w:w="3402"/>
            <w:shd w:fill="F0F4F8" w:val="clear"/>
          </w:tcPr>
          <w:p>
            <w:r>
              <w:rPr>
                <w:sz w:val="16"/>
              </w:rPr>
              <w:t>Het spill containment systeem (opvangbakken, retentiebekkens) moet periodiek worden geïnspecteerd: (1) opvangbakken leeg en schoon, (2) lekdetectie functioneel, (3) afsluiters beweegbaar, (4) pompput functioneel. Testprocedure: simuleer een lek (water) en verifieer dat de opvang werkt. Jaarlijkse test verplicht [4].</w:t>
            </w:r>
          </w:p>
        </w:tc>
        <w:tc>
          <w:tcPr>
            <w:tcW w:type="dxa" w:w="1701"/>
            <w:shd w:fill="F0F4F8" w:val="clear"/>
          </w:tcPr>
          <w:p>
            <w:r>
              <w:rPr>
                <w:sz w:val="16"/>
              </w:rPr>
              <w:t>Spill containment geïnspecteerd; jaarlijkse lek-simulatietest geslaagd</w:t>
            </w:r>
          </w:p>
        </w:tc>
        <w:tc>
          <w:tcPr>
            <w:tcW w:type="dxa" w:w="1417"/>
            <w:shd w:fill="F0F4F8" w:val="clear"/>
          </w:tcPr>
          <w:p>
            <w:r>
              <w:rPr>
                <w:sz w:val="16"/>
              </w:rPr>
              <w:t>Inspectierapport + testrapport</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Bluswater opvangcapaciteit geverifieerd</w:t>
            </w:r>
          </w:p>
        </w:tc>
        <w:tc>
          <w:tcPr>
            <w:tcW w:type="dxa" w:w="1984"/>
          </w:tcPr>
          <w:p>
            <w:r>
              <w:rPr>
                <w:sz w:val="16"/>
              </w:rPr>
              <w:t>PGS 15:2025 §7</w:t>
            </w:r>
          </w:p>
        </w:tc>
        <w:tc>
          <w:tcPr>
            <w:tcW w:type="dxa" w:w="3402"/>
          </w:tcPr>
          <w:p>
            <w:r>
              <w:rPr>
                <w:sz w:val="16"/>
              </w:rPr>
              <w:t>De bluswateropvang (retentiebekken, opvangtanken) moet jaarlijks worden geïnspecteerd: volume conform berekening (≥ 3x opslagvolume), geen sediment/vuil, afsluiters functioneel, en pompsysteem getest. Bij gebrek aan capaciteit moet het bekkens worden uitgebreid of moet een alternatief systeem worden gerealiseerd [4].</w:t>
            </w:r>
          </w:p>
        </w:tc>
        <w:tc>
          <w:tcPr>
            <w:tcW w:type="dxa" w:w="1701"/>
          </w:tcPr>
          <w:p>
            <w:r>
              <w:rPr>
                <w:sz w:val="16"/>
              </w:rPr>
              <w:t>Opvangcapaciteit ≥ 3x opslagvolume; jaarlijkse inspectie OK; pomp getest</w:t>
            </w:r>
          </w:p>
        </w:tc>
        <w:tc>
          <w:tcPr>
            <w:tcW w:type="dxa" w:w="1417"/>
          </w:tcPr>
          <w:p>
            <w:r>
              <w:rPr>
                <w:sz w:val="16"/>
              </w:rPr>
              <w:t>Jaarlijks inspectierapport bluswateropvang</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Emissiemonitoring (lucht + water) operationeel conform vergunning</w:t>
            </w:r>
          </w:p>
        </w:tc>
        <w:tc>
          <w:tcPr>
            <w:tcW w:type="dxa" w:w="1984"/>
            <w:shd w:fill="F0F4F8" w:val="clear"/>
          </w:tcPr>
          <w:p>
            <w:r>
              <w:rPr>
                <w:sz w:val="16"/>
              </w:rPr>
              <w:t>Bal, Vergunningsvoorschriften</w:t>
            </w:r>
          </w:p>
        </w:tc>
        <w:tc>
          <w:tcPr>
            <w:tcW w:type="dxa" w:w="3402"/>
            <w:shd w:fill="F0F4F8" w:val="clear"/>
          </w:tcPr>
          <w:p>
            <w:r>
              <w:rPr>
                <w:sz w:val="16"/>
              </w:rPr>
              <w:t>De continue emissiemonitoring moet operationeel zijn: luchtemissies (stof, H₂SO₄-dampen) via CEMS (Continue Emission Monitoring System) op elke stack, wateremissies (vanadium, pH, sulfaten) via flowmeters en periodieke bemonstering. Data moet 24/7 beschikbaar zijn en automatisch worden gerapporteerd conform vergunningsvoorschriften [3].</w:t>
            </w:r>
          </w:p>
        </w:tc>
        <w:tc>
          <w:tcPr>
            <w:tcW w:type="dxa" w:w="1701"/>
            <w:shd w:fill="F0F4F8" w:val="clear"/>
          </w:tcPr>
          <w:p>
            <w:r>
              <w:rPr>
                <w:sz w:val="16"/>
              </w:rPr>
              <w:t>CEMS operationeel; watermonitoring actief; data 24/7 beschikbaar; rapportage conform vergunning</w:t>
            </w:r>
          </w:p>
        </w:tc>
        <w:tc>
          <w:tcPr>
            <w:tcW w:type="dxa" w:w="1417"/>
            <w:shd w:fill="F0F4F8" w:val="clear"/>
          </w:tcPr>
          <w:p>
            <w:r>
              <w:rPr>
                <w:sz w:val="16"/>
              </w:rPr>
              <w:t>CEMS data + wateranalyse rapporten</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Microverontreinigingen monitoring: vanadium in afvalwater</w:t>
            </w:r>
          </w:p>
        </w:tc>
        <w:tc>
          <w:tcPr>
            <w:tcW w:type="dxa" w:w="1984"/>
          </w:tcPr>
          <w:p>
            <w:r>
              <w:rPr>
                <w:sz w:val="16"/>
              </w:rPr>
              <w:t>Bal, Europese Kaderrichtlijn Water</w:t>
            </w:r>
          </w:p>
        </w:tc>
        <w:tc>
          <w:tcPr>
            <w:tcW w:type="dxa" w:w="3402"/>
          </w:tcPr>
          <w:p>
            <w:r>
              <w:rPr>
                <w:sz w:val="16"/>
              </w:rPr>
              <w:t>Naast de reguliere parameters moet vanadium specifiek worden gemonitord in het afvalwater. Methode: ICP-MS of ICP-OES analyse op wekelijkse bemonstering (of frequentie conform vergunning). De detectielimiet moet voldoende laag zijn (&lt; 0,1 mg/l) om te verifiëren dat de lozing binnen vergunningsgrenzen blijft [3].</w:t>
            </w:r>
          </w:p>
        </w:tc>
        <w:tc>
          <w:tcPr>
            <w:tcW w:type="dxa" w:w="1701"/>
          </w:tcPr>
          <w:p>
            <w:r>
              <w:rPr>
                <w:sz w:val="16"/>
              </w:rPr>
              <w:t>Vanadium in afvalwater &lt; vergunningsgrens; wekelijkse analyse; detectielimiet &lt; 0,1 mg/l</w:t>
            </w:r>
          </w:p>
        </w:tc>
        <w:tc>
          <w:tcPr>
            <w:tcW w:type="dxa" w:w="1417"/>
          </w:tcPr>
          <w:p>
            <w:r>
              <w:rPr>
                <w:sz w:val="16"/>
              </w:rPr>
              <w:t>Analyserapporten vanadium in afvalwater</w:t>
            </w:r>
          </w:p>
        </w:tc>
        <w:tc>
          <w:tcPr>
            <w:tcW w:type="dxa" w:w="567"/>
          </w:tcPr>
          <w:p>
            <w:r>
              <w:rPr>
                <w:sz w:val="16"/>
              </w:rPr>
              <w:t>M</w:t>
            </w:r>
          </w:p>
        </w:tc>
        <w:tc>
          <w:tcPr>
            <w:tcW w:type="dxa" w:w="1417"/>
          </w:tcPr>
          <w:p>
            <w:r>
              <w:rPr>
                <w:sz w:val="16"/>
              </w:rPr>
              <w:t>HSEQ Manager</w:t>
            </w:r>
          </w:p>
        </w:tc>
      </w:tr>
      <w:tr>
        <w:tc>
          <w:tcPr>
            <w:tcW w:type="dxa" w:w="2551"/>
            <w:shd w:fill="F0F4F8" w:val="clear"/>
          </w:tcPr>
          <w:p>
            <w:r>
              <w:rPr>
                <w:sz w:val="16"/>
              </w:rPr>
              <w:t>Brandweeroefening (jaarlijks) ingepland</w:t>
            </w:r>
          </w:p>
        </w:tc>
        <w:tc>
          <w:tcPr>
            <w:tcW w:type="dxa" w:w="1984"/>
            <w:shd w:fill="F0F4F8" w:val="clear"/>
          </w:tcPr>
          <w:p>
            <w:r>
              <w:rPr>
                <w:sz w:val="16"/>
              </w:rPr>
              <w:t>Brandweerwet</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BHV-coordinator</w:t>
            </w:r>
          </w:p>
        </w:tc>
      </w:tr>
    </w:tbl>
    <w:p/>
    <w:p>
      <w:pPr>
        <w:pStyle w:val="Heading3"/>
      </w:pPr>
      <w:r>
        <w:t>2.5.2 Arbo &amp; Veiligheidssystemen</w:t>
      </w:r>
    </w:p>
    <w:p>
      <w:r>
        <w:t>(3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Veiligheidssystemen maandelijks getest (gasdetectie, brand, ESD)</w:t>
            </w:r>
          </w:p>
        </w:tc>
        <w:tc>
          <w:tcPr>
            <w:tcW w:type="dxa" w:w="1984"/>
          </w:tcPr>
          <w:p>
            <w:r>
              <w:rPr>
                <w:sz w:val="16"/>
              </w:rPr>
              <w:t>Arbowet, IEC 61511:2024 §16</w:t>
            </w:r>
          </w:p>
        </w:tc>
        <w:tc>
          <w:tcPr>
            <w:tcW w:type="dxa" w:w="3402"/>
          </w:tcPr>
          <w:p>
            <w:r>
              <w:rPr>
                <w:sz w:val="16"/>
              </w:rPr>
              <w:t>Alle veiligheidssystemen moeten maandelijks worden getest: gasdetectiesensoren (kalibratie met testgas), branddetectie (rook/heat test), ESD-knoppen (test ontlading), noodverlichting (functioneel), en nooddouche/oogspuit (waterdruk OK). Resultaten worden vastgelegd in een testlog en afwijkingen binnen 48 uur verholpen [1][21].</w:t>
            </w:r>
          </w:p>
        </w:tc>
        <w:tc>
          <w:tcPr>
            <w:tcW w:type="dxa" w:w="1701"/>
          </w:tcPr>
          <w:p>
            <w:r>
              <w:rPr>
                <w:sz w:val="16"/>
              </w:rPr>
              <w:t>Maandelijkse test 100% compliance; afwijkingen &lt; 48 uur opgelost; log beschikbaar</w:t>
            </w:r>
          </w:p>
        </w:tc>
        <w:tc>
          <w:tcPr>
            <w:tcW w:type="dxa" w:w="1417"/>
          </w:tcPr>
          <w:p>
            <w:r>
              <w:rPr>
                <w:sz w:val="16"/>
              </w:rPr>
              <w:t>Maandelijks testlog veiligheidssystemen</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Onderhoudsregime (preventief/correctief) conform plan operationeel</w:t>
            </w:r>
          </w:p>
        </w:tc>
        <w:tc>
          <w:tcPr>
            <w:tcW w:type="dxa" w:w="1984"/>
            <w:shd w:fill="F0F4F8" w:val="clear"/>
          </w:tcPr>
          <w:p>
            <w:r>
              <w:rPr>
                <w:sz w:val="16"/>
              </w:rPr>
              <w:t>ISO 9001, API 510/570</w:t>
            </w:r>
          </w:p>
        </w:tc>
        <w:tc>
          <w:tcPr>
            <w:tcW w:type="dxa" w:w="3402"/>
            <w:shd w:fill="F0F4F8" w:val="clear"/>
          </w:tcPr>
          <w:p>
            <w:r>
              <w:rPr>
                <w:sz w:val="16"/>
              </w:rPr>
              <w:t>Het onderhoudsregime moet preventief (gepland op basis van fabrikant-advies en inspectie-intervallen) en correctief (na storing) zijn georganiseerd. Preventief: jaarlijks overzicht van gepland onderhoud per apparaat,Correctief: storingsrapportage binnen 24 uur, root-cause analyse bij herhalende storingen. CMMS (Computerized Maintenance Management System) aanbevolen [12].</w:t>
            </w:r>
          </w:p>
        </w:tc>
        <w:tc>
          <w:tcPr>
            <w:tcW w:type="dxa" w:w="1701"/>
            <w:shd w:fill="F0F4F8" w:val="clear"/>
          </w:tcPr>
          <w:p>
            <w:r>
              <w:rPr>
                <w:sz w:val="16"/>
              </w:rPr>
              <w:t>Alle apparaten opgenomen in onderhoudsschema; preventief plan goedgekeurd; storingen &lt; 24 uur gerapporteerd</w:t>
            </w:r>
          </w:p>
        </w:tc>
        <w:tc>
          <w:tcPr>
            <w:tcW w:type="dxa" w:w="1417"/>
            <w:shd w:fill="F0F4F8" w:val="clear"/>
          </w:tcPr>
          <w:p>
            <w:r>
              <w:rPr>
                <w:sz w:val="16"/>
              </w:rPr>
              <w:t>Onderhoudsschema + storingslog</w:t>
            </w:r>
          </w:p>
        </w:tc>
        <w:tc>
          <w:tcPr>
            <w:tcW w:type="dxa" w:w="567"/>
            <w:shd w:fill="F0F4F8" w:val="clear"/>
          </w:tcPr>
          <w:p>
            <w:r>
              <w:rPr>
                <w:sz w:val="16"/>
              </w:rPr>
              <w:t>M</w:t>
            </w:r>
          </w:p>
        </w:tc>
        <w:tc>
          <w:tcPr>
            <w:tcW w:type="dxa" w:w="1417"/>
            <w:shd w:fill="F0F4F8" w:val="clear"/>
          </w:tcPr>
          <w:p>
            <w:r>
              <w:rPr>
                <w:sz w:val="16"/>
              </w:rPr>
              <w:t>Plant Manager</w:t>
            </w:r>
          </w:p>
        </w:tc>
      </w:tr>
      <w:tr>
        <w:tc>
          <w:tcPr>
            <w:tcW w:type="dxa" w:w="2551"/>
          </w:tcPr>
          <w:p>
            <w:r>
              <w:rPr>
                <w:sz w:val="16"/>
              </w:rPr>
              <w:t>Arbocuratief beleid: periodiek gezondheidstoezicht</w:t>
            </w:r>
          </w:p>
        </w:tc>
        <w:tc>
          <w:tcPr>
            <w:tcW w:type="dxa" w:w="1984"/>
          </w:tcPr>
          <w:p>
            <w:r>
              <w:rPr>
                <w:sz w:val="16"/>
              </w:rPr>
              <w:t>Arbowet art. 18</w:t>
            </w:r>
          </w:p>
        </w:tc>
        <w:tc>
          <w:tcPr>
            <w:tcW w:type="dxa" w:w="3402"/>
          </w:tcPr>
          <w:p>
            <w:r>
              <w:rPr>
                <w:sz w:val="16"/>
              </w:rPr>
              <w:t>Alle werknemers blootgesteld aan V₂O₅, zuren, of chroom moeten periodiek medisch worden gecontroleerd: longfunctie (jaarlijks), gehoor (bij &gt; 80 dB(A), elke 3 jaar), en biologische monitoring (vanadium in urine, halfjaarlijks). De bedrijfsarts evalueert de resultaten en adviseert bij afwijkingen. Registratie conform AVG [1].</w:t>
            </w:r>
          </w:p>
        </w:tc>
        <w:tc>
          <w:tcPr>
            <w:tcW w:type="dxa" w:w="1701"/>
          </w:tcPr>
          <w:p>
            <w:r>
              <w:rPr>
                <w:sz w:val="16"/>
              </w:rPr>
              <w:t>Alle blootgestelde werknemers periodiek gekeurd; resultaten geregistreerd; bij afwijkingen: actieplan</w:t>
            </w:r>
          </w:p>
        </w:tc>
        <w:tc>
          <w:tcPr>
            <w:tcW w:type="dxa" w:w="1417"/>
          </w:tcPr>
          <w:p>
            <w:r>
              <w:rPr>
                <w:sz w:val="16"/>
              </w:rPr>
              <w:t>Medisch keuringsrapporten (geanonimiseerd)</w:t>
            </w:r>
          </w:p>
        </w:tc>
        <w:tc>
          <w:tcPr>
            <w:tcW w:type="dxa" w:w="567"/>
          </w:tcPr>
          <w:p>
            <w:r>
              <w:rPr>
                <w:sz w:val="16"/>
              </w:rPr>
              <w:t>H</w:t>
            </w:r>
          </w:p>
        </w:tc>
        <w:tc>
          <w:tcPr>
            <w:tcW w:type="dxa" w:w="1417"/>
          </w:tcPr>
          <w:p>
            <w:r>
              <w:rPr>
                <w:sz w:val="16"/>
              </w:rPr>
              <w:t>Bedrijfsarts</w:t>
            </w:r>
          </w:p>
        </w:tc>
      </w:tr>
    </w:tbl>
    <w:p/>
    <w:p>
      <w:pPr>
        <w:pStyle w:val="Heading3"/>
      </w:pPr>
      <w:r>
        <w:t>2.5.3 OT Cybersecurity Operationeel</w:t>
      </w:r>
    </w:p>
    <w:p>
      <w:r>
        <w:t>(2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PEN-test jaarlijks uitgevoerd</w:t>
            </w:r>
          </w:p>
        </w:tc>
        <w:tc>
          <w:tcPr>
            <w:tcW w:type="dxa" w:w="1984"/>
          </w:tcPr>
          <w:p>
            <w:r>
              <w:rPr>
                <w:sz w:val="16"/>
              </w:rPr>
              <w:t>IEC 62443, NIS2 (EU) 2022/2555</w:t>
            </w:r>
          </w:p>
        </w:tc>
        <w:tc>
          <w:tcPr>
            <w:tcW w:type="dxa" w:w="3402"/>
          </w:tcPr>
          <w:p>
            <w:r>
              <w:rPr>
                <w:sz w:val="16"/>
              </w:rPr>
              <w:t>Jaarlijkse penetratie-test op het OT-netwerk is verplicht. De test wordt uitgevoerd door een onafhankelijke partij en omvat: vulnerability scan, configuratie-audit, en (indien akkoord) gecontroleerde exploitatie. Bevindingen worden geclassificeerd en opgelost conform SLA (critical: 14 dagen, high: 30 dagen). Resultaten worden gerapporteerd aan management [13][19].</w:t>
            </w:r>
          </w:p>
        </w:tc>
        <w:tc>
          <w:tcPr>
            <w:tcW w:type="dxa" w:w="1701"/>
          </w:tcPr>
          <w:p>
            <w:r>
              <w:rPr>
                <w:sz w:val="16"/>
              </w:rPr>
              <w:t>Jaarlijkse PEN-test voltooid; critical/high opgelost; rapport beschikbaar</w:t>
            </w:r>
          </w:p>
        </w:tc>
        <w:tc>
          <w:tcPr>
            <w:tcW w:type="dxa" w:w="1417"/>
          </w:tcPr>
          <w:p>
            <w:r>
              <w:rPr>
                <w:sz w:val="16"/>
              </w:rPr>
              <w:t>PEN-test rapport + herstellog</w:t>
            </w:r>
          </w:p>
        </w:tc>
        <w:tc>
          <w:tcPr>
            <w:tcW w:type="dxa" w:w="567"/>
          </w:tcPr>
          <w:p>
            <w:r>
              <w:rPr>
                <w:sz w:val="16"/>
              </w:rPr>
              <w:t>M</w:t>
            </w:r>
          </w:p>
        </w:tc>
        <w:tc>
          <w:tcPr>
            <w:tcW w:type="dxa" w:w="1417"/>
          </w:tcPr>
          <w:p>
            <w:r>
              <w:rPr>
                <w:sz w:val="16"/>
              </w:rPr>
              <w:t>Cybersecurity Manager</w:t>
            </w:r>
          </w:p>
        </w:tc>
      </w:tr>
      <w:tr>
        <w:tc>
          <w:tcPr>
            <w:tcW w:type="dxa" w:w="2551"/>
            <w:shd w:fill="F0F4F8" w:val="clear"/>
          </w:tcPr>
          <w:p>
            <w:r>
              <w:rPr>
                <w:sz w:val="16"/>
              </w:rPr>
              <w:t>Patch management actief: maandelijks patch-cycle</w:t>
            </w:r>
          </w:p>
        </w:tc>
        <w:tc>
          <w:tcPr>
            <w:tcW w:type="dxa" w:w="1984"/>
            <w:shd w:fill="F0F4F8" w:val="clear"/>
          </w:tcPr>
          <w:p>
            <w:r>
              <w:rPr>
                <w:sz w:val="16"/>
              </w:rPr>
              <w:t>ISA/IEC 62443-2-3</w:t>
            </w:r>
          </w:p>
        </w:tc>
        <w:tc>
          <w:tcPr>
            <w:tcW w:type="dxa" w:w="3402"/>
            <w:shd w:fill="F0F4F8" w:val="clear"/>
          </w:tcPr>
          <w:p>
            <w:r>
              <w:rPr>
                <w:sz w:val="16"/>
              </w:rPr>
              <w:t>Maandelijks worden beschikbare patches geëvalueerd voor OT-systemen. Critical patches binnen 14 dagen, high binnen 30 dagen. Patches worden eerst getest in test-omgeving alvorens productie-OT. Rollback-procedure beschikbaar. Patch-log wordt bijgehouden met status per systeem [13].</w:t>
            </w:r>
          </w:p>
        </w:tc>
        <w:tc>
          <w:tcPr>
            <w:tcW w:type="dxa" w:w="1701"/>
            <w:shd w:fill="F0F4F8" w:val="clear"/>
          </w:tcPr>
          <w:p>
            <w:r>
              <w:rPr>
                <w:sz w:val="16"/>
              </w:rPr>
              <w:t>Maandelijkse patch-cycle actief; critical &lt; 14 dagen; test-omgeving gebruikt; log bijgewerkt</w:t>
            </w:r>
          </w:p>
        </w:tc>
        <w:tc>
          <w:tcPr>
            <w:tcW w:type="dxa" w:w="1417"/>
            <w:shd w:fill="F0F4F8" w:val="clear"/>
          </w:tcPr>
          <w:p>
            <w:r>
              <w:rPr>
                <w:sz w:val="16"/>
              </w:rPr>
              <w:t>Patch management log</w:t>
            </w:r>
          </w:p>
        </w:tc>
        <w:tc>
          <w:tcPr>
            <w:tcW w:type="dxa" w:w="567"/>
            <w:shd w:fill="F0F4F8" w:val="clear"/>
          </w:tcPr>
          <w:p>
            <w:r>
              <w:rPr>
                <w:sz w:val="16"/>
              </w:rPr>
              <w:t>M</w:t>
            </w:r>
          </w:p>
        </w:tc>
        <w:tc>
          <w:tcPr>
            <w:tcW w:type="dxa" w:w="1417"/>
            <w:shd w:fill="F0F4F8" w:val="clear"/>
          </w:tcPr>
          <w:p>
            <w:r>
              <w:rPr>
                <w:sz w:val="16"/>
              </w:rPr>
              <w:t>Cybersecurity Manager</w:t>
            </w:r>
          </w:p>
        </w:tc>
      </w:tr>
    </w:tbl>
    <w:p/>
    <w:p>
      <w:pPr>
        <w:pStyle w:val="Heading3"/>
      </w:pPr>
      <w:r>
        <w:t>2.5.4 Corrosiemonitoring</w:t>
      </w:r>
    </w:p>
    <w:p>
      <w:r>
        <w:t>(1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Corrosiemonitoring: coupons uitgelezen en geanalyseerd</w:t>
            </w:r>
          </w:p>
        </w:tc>
        <w:tc>
          <w:tcPr>
            <w:tcW w:type="dxa" w:w="1984"/>
          </w:tcPr>
          <w:p>
            <w:r>
              <w:rPr>
                <w:sz w:val="16"/>
              </w:rPr>
              <w:t>NACE RP0775</w:t>
            </w:r>
          </w:p>
        </w:tc>
        <w:tc>
          <w:tcPr>
            <w:tcW w:type="dxa" w:w="3402"/>
          </w:tcPr>
          <w:p>
            <w:r>
              <w:rPr>
                <w:sz w:val="16"/>
              </w:rPr>
              <w:t>De corrosie-coupons die tijdens ontwerp zijn geplaatst worden elke 3-6 maanden verwijderd, gewogen (gewichtsverlies = corrosie), en visueel geïnspecteerd (pitting, scheurcorrosie). De gemeten corrosiesnelheid wordt vergeleken met de ontwerpaanname. Bij afwijking &gt;50%: herziening inspectie-interval en mogelijk materiaalwijziging [23].</w:t>
            </w:r>
          </w:p>
        </w:tc>
        <w:tc>
          <w:tcPr>
            <w:tcW w:type="dxa" w:w="1701"/>
          </w:tcPr>
          <w:p>
            <w:r>
              <w:rPr>
                <w:sz w:val="16"/>
              </w:rPr>
              <w:t>Coupons elke 3-6 maanden geanalyseerd; corrosiesnelheid binnen ontwerpaanname; rapport beschikbaar</w:t>
            </w:r>
          </w:p>
        </w:tc>
        <w:tc>
          <w:tcPr>
            <w:tcW w:type="dxa" w:w="1417"/>
          </w:tcPr>
          <w:p>
            <w:r>
              <w:rPr>
                <w:sz w:val="16"/>
              </w:rPr>
              <w:t>Coupon-analyserapport + corrosietrend grafiek</w:t>
            </w:r>
          </w:p>
        </w:tc>
        <w:tc>
          <w:tcPr>
            <w:tcW w:type="dxa" w:w="567"/>
          </w:tcPr>
          <w:p>
            <w:r>
              <w:rPr>
                <w:sz w:val="16"/>
              </w:rPr>
              <w:t>M</w:t>
            </w:r>
          </w:p>
        </w:tc>
        <w:tc>
          <w:tcPr>
            <w:tcW w:type="dxa" w:w="1417"/>
          </w:tcPr>
          <w:p>
            <w:r>
              <w:rPr>
                <w:sz w:val="16"/>
              </w:rPr>
              <w:t>Inspection Engineer</w:t>
            </w:r>
          </w:p>
        </w:tc>
      </w:tr>
    </w:tbl>
    <w:p/>
    <w:p>
      <w:pPr>
        <w:pStyle w:val="Heading3"/>
      </w:pPr>
      <w:r>
        <w:t>2.5.5 Drukapparatuur &amp; Elektrisch Keuringen</w:t>
      </w:r>
    </w:p>
    <w:p>
      <w:r>
        <w:t>(2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Periodieke keuring drukapparatuur conform PED</w:t>
            </w:r>
          </w:p>
        </w:tc>
        <w:tc>
          <w:tcPr>
            <w:tcW w:type="dxa" w:w="1984"/>
          </w:tcPr>
          <w:p>
            <w:r>
              <w:rPr>
                <w:sz w:val="16"/>
              </w:rPr>
              <w:t>PED 2014/68/EU, Besluit drukapparatuur</w:t>
            </w:r>
          </w:p>
        </w:tc>
        <w:tc>
          <w:tcPr>
            <w:tcW w:type="dxa" w:w="3402"/>
          </w:tcPr>
          <w:p>
            <w:r>
              <w:rPr>
                <w:sz w:val="16"/>
              </w:rPr>
              <w:t>Alle drukapparatuur moet periodiek worden gekeurd: externe inspectie (visueel) om de 2 jaar, interne inspectie (openen) om de 5 jaar of conform inspectieplan. Keuring door erkend keuringsinstantie. Bevindingen worden geregistreerd en opgelost. Keuringsrapporten bewaard in DMS [9].</w:t>
            </w:r>
          </w:p>
        </w:tc>
        <w:tc>
          <w:tcPr>
            <w:tcW w:type="dxa" w:w="1701"/>
          </w:tcPr>
          <w:p>
            <w:r>
              <w:rPr>
                <w:sz w:val="16"/>
              </w:rPr>
              <w:t>Keuringsplan up-to-date; alle keuringen uitgevoerd conform schema; rapporten in DMS</w:t>
            </w:r>
          </w:p>
        </w:tc>
        <w:tc>
          <w:tcPr>
            <w:tcW w:type="dxa" w:w="1417"/>
          </w:tcPr>
          <w:p>
            <w:r>
              <w:rPr>
                <w:sz w:val="16"/>
              </w:rPr>
              <w:t>Keuringsrapporten drukapparatuur</w:t>
            </w:r>
          </w:p>
        </w:tc>
        <w:tc>
          <w:tcPr>
            <w:tcW w:type="dxa" w:w="567"/>
          </w:tcPr>
          <w:p>
            <w:r>
              <w:rPr>
                <w:sz w:val="16"/>
              </w:rPr>
              <w:t>H</w:t>
            </w:r>
          </w:p>
        </w:tc>
        <w:tc>
          <w:tcPr>
            <w:tcW w:type="dxa" w:w="1417"/>
          </w:tcPr>
          <w:p>
            <w:r>
              <w:rPr>
                <w:sz w:val="16"/>
              </w:rPr>
              <w:t>Inspection Engineer</w:t>
            </w:r>
          </w:p>
        </w:tc>
      </w:tr>
      <w:tr>
        <w:tc>
          <w:tcPr>
            <w:tcW w:type="dxa" w:w="2551"/>
            <w:shd w:fill="F0F4F8" w:val="clear"/>
          </w:tcPr>
          <w:p>
            <w:r>
              <w:rPr>
                <w:sz w:val="16"/>
              </w:rPr>
              <w:t>Periodieke keuring elektrische installatie</w:t>
            </w:r>
          </w:p>
        </w:tc>
        <w:tc>
          <w:tcPr>
            <w:tcW w:type="dxa" w:w="1984"/>
            <w:shd w:fill="F0F4F8" w:val="clear"/>
          </w:tcPr>
          <w:p>
            <w:r>
              <w:rPr>
                <w:sz w:val="16"/>
              </w:rPr>
              <w:t>NEN 1010:2020+C1:2024, NEN 3140</w:t>
            </w:r>
          </w:p>
        </w:tc>
        <w:tc>
          <w:tcPr>
            <w:tcW w:type="dxa" w:w="3402"/>
            <w:shd w:fill="F0F4F8" w:val="clear"/>
          </w:tcPr>
          <w:p>
            <w:r>
              <w:rPr>
                <w:sz w:val="16"/>
              </w:rPr>
              <w:t>De elektrische installatie moet periodiek worden gekeurd conform NEN 3140: vaste installatie elke 5 jaar (of vaker bij zware omstandigheden), verplaatsbare middelen jaarlijks. Keuring omvat: aarding, isolatieweerstand, aardlekschakelaars (werking), en thermografie (hot spots). Keuringsrapport met bevindingen en hersteltermijnen [12].</w:t>
            </w:r>
          </w:p>
        </w:tc>
        <w:tc>
          <w:tcPr>
            <w:tcW w:type="dxa" w:w="1701"/>
            <w:shd w:fill="F0F4F8" w:val="clear"/>
          </w:tcPr>
          <w:p>
            <w:r>
              <w:rPr>
                <w:sz w:val="16"/>
              </w:rPr>
              <w:t>Keuringsschema conform NEN 3140; alle keuringen uitgevoerd; bevindingen hersteld</w:t>
            </w:r>
          </w:p>
        </w:tc>
        <w:tc>
          <w:tcPr>
            <w:tcW w:type="dxa" w:w="1417"/>
            <w:shd w:fill="F0F4F8" w:val="clear"/>
          </w:tcPr>
          <w:p>
            <w:r>
              <w:rPr>
                <w:sz w:val="16"/>
              </w:rPr>
              <w:t>Keuringsrapporten NEN 3140</w:t>
            </w:r>
          </w:p>
        </w:tc>
        <w:tc>
          <w:tcPr>
            <w:tcW w:type="dxa" w:w="567"/>
            <w:shd w:fill="F0F4F8" w:val="clear"/>
          </w:tcPr>
          <w:p>
            <w:r>
              <w:rPr>
                <w:sz w:val="16"/>
              </w:rPr>
              <w:t>M</w:t>
            </w:r>
          </w:p>
        </w:tc>
        <w:tc>
          <w:tcPr>
            <w:tcW w:type="dxa" w:w="1417"/>
            <w:shd w:fill="F0F4F8" w:val="clear"/>
          </w:tcPr>
          <w:p>
            <w:r>
              <w:rPr>
                <w:sz w:val="16"/>
              </w:rPr>
              <w:t>Elektrotechnisch Installateur</w:t>
            </w:r>
          </w:p>
        </w:tc>
      </w:tr>
    </w:tbl>
    <w:p/>
    <w:p>
      <w:pPr>
        <w:pStyle w:val="Heading3"/>
      </w:pPr>
      <w:r>
        <w:t>2.5.6 Human Factors Operationeel</w:t>
      </w:r>
    </w:p>
    <w:p>
      <w:r>
        <w:t>(2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Operator training simulator (OTS) beschikbaar en gebruikt</w:t>
            </w:r>
          </w:p>
        </w:tc>
        <w:tc>
          <w:tcPr>
            <w:tcW w:type="dxa" w:w="1984"/>
          </w:tcPr>
          <w:p>
            <w:r>
              <w:rPr>
                <w:sz w:val="16"/>
              </w:rPr>
              <w:t>Best practice, ISA-101</w:t>
            </w:r>
          </w:p>
        </w:tc>
        <w:tc>
          <w:tcPr>
            <w:tcW w:type="dxa" w:w="3402"/>
          </w:tcPr>
          <w:p>
            <w:r>
              <w:rPr>
                <w:sz w:val="16"/>
              </w:rPr>
              <w:t>Een Operator Training Simulator (OTS) op basis van een dynamisch procesmodel stelt operators in staat om scenario's te oefenen zonder risico: start-up, shutdown, upset-condities, en noodsituaties. Nieuwe operators moeten minimaal 40 uur op de OTS trainen vóór ze zelfstandig mogen werken. Jaarlijkse herhalingstraining verplicht [18].</w:t>
            </w:r>
          </w:p>
        </w:tc>
        <w:tc>
          <w:tcPr>
            <w:tcW w:type="dxa" w:w="1701"/>
          </w:tcPr>
          <w:p>
            <w:r>
              <w:rPr>
                <w:sz w:val="16"/>
              </w:rPr>
              <w:t>OTS beschikbaar; nieuwe operators ≥ 40 uur getraind; jaarlijkse herhaling gepland</w:t>
            </w:r>
          </w:p>
        </w:tc>
        <w:tc>
          <w:tcPr>
            <w:tcW w:type="dxa" w:w="1417"/>
          </w:tcPr>
          <w:p>
            <w:r>
              <w:rPr>
                <w:sz w:val="16"/>
              </w:rPr>
              <w:t>OTS training log</w:t>
            </w:r>
          </w:p>
        </w:tc>
        <w:tc>
          <w:tcPr>
            <w:tcW w:type="dxa" w:w="567"/>
          </w:tcPr>
          <w:p>
            <w:r>
              <w:rPr>
                <w:sz w:val="16"/>
              </w:rPr>
              <w:t>L</w:t>
            </w:r>
          </w:p>
        </w:tc>
        <w:tc>
          <w:tcPr>
            <w:tcW w:type="dxa" w:w="1417"/>
          </w:tcPr>
          <w:p>
            <w:r>
              <w:rPr>
                <w:sz w:val="16"/>
              </w:rPr>
              <w:t>Training Manager</w:t>
            </w:r>
          </w:p>
        </w:tc>
      </w:tr>
      <w:tr>
        <w:tc>
          <w:tcPr>
            <w:tcW w:type="dxa" w:w="2551"/>
            <w:shd w:fill="F0F4F8" w:val="clear"/>
          </w:tcPr>
          <w:p>
            <w:r>
              <w:rPr>
                <w:sz w:val="16"/>
              </w:rPr>
              <w:t>Fatigue management: shift rooster en rusttijden geëvalueerd</w:t>
            </w:r>
          </w:p>
        </w:tc>
        <w:tc>
          <w:tcPr>
            <w:tcW w:type="dxa" w:w="1984"/>
            <w:shd w:fill="F0F4F8" w:val="clear"/>
          </w:tcPr>
          <w:p>
            <w:r>
              <w:rPr>
                <w:sz w:val="16"/>
              </w:rPr>
              <w:t>Arbowet, Arbobesluit</w:t>
            </w:r>
          </w:p>
        </w:tc>
        <w:tc>
          <w:tcPr>
            <w:tcW w:type="dxa" w:w="3402"/>
            <w:shd w:fill="F0F4F8" w:val="clear"/>
          </w:tcPr>
          <w:p>
            <w:r>
              <w:rPr>
                <w:sz w:val="16"/>
              </w:rPr>
              <w:t>Het shift rooster moet jaarlijks worden geëvalueerd op vermoeidheidsrisico's. Bij signalen van vermoeidheid moet het rooster worden bijgesteld. Registratie van gewerkte uren is verplicht.</w:t>
            </w:r>
          </w:p>
        </w:tc>
        <w:tc>
          <w:tcPr>
            <w:tcW w:type="dxa" w:w="1701"/>
            <w:shd w:fill="F0F4F8" w:val="clear"/>
          </w:tcPr>
          <w:p>
            <w:r>
              <w:rPr>
                <w:sz w:val="16"/>
              </w:rPr>
              <w:t>Jaarlijkse evaluatie shift rooster; rustijden conform Arbowet</w:t>
            </w:r>
          </w:p>
        </w:tc>
        <w:tc>
          <w:tcPr>
            <w:tcW w:type="dxa" w:w="1417"/>
            <w:shd w:fill="F0F4F8" w:val="clear"/>
          </w:tcPr>
          <w:p>
            <w:r>
              <w:rPr>
                <w:sz w:val="16"/>
              </w:rPr>
              <w:t>Shift rooster evaluatie rapport</w:t>
            </w:r>
          </w:p>
        </w:tc>
        <w:tc>
          <w:tcPr>
            <w:tcW w:type="dxa" w:w="567"/>
            <w:shd w:fill="F0F4F8" w:val="clear"/>
          </w:tcPr>
          <w:p>
            <w:r>
              <w:rPr>
                <w:sz w:val="16"/>
              </w:rPr>
              <w:t>M</w:t>
            </w:r>
          </w:p>
        </w:tc>
        <w:tc>
          <w:tcPr>
            <w:tcW w:type="dxa" w:w="1417"/>
            <w:shd w:fill="F0F4F8" w:val="clear"/>
          </w:tcPr>
          <w:p>
            <w:r>
              <w:rPr>
                <w:sz w:val="16"/>
              </w:rPr>
              <w:t>Plant Manager</w:t>
            </w:r>
          </w:p>
        </w:tc>
      </w:tr>
    </w:tbl>
    <w:p/>
    <w:p>
      <w:pPr>
        <w:pStyle w:val="Heading3"/>
      </w:pPr>
      <w:r>
        <w:t>2.5.7 Documentatie &amp; DMS</w:t>
      </w:r>
    </w:p>
    <w:p>
      <w:r>
        <w:t>(2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DMS actueel en compleet: alle documenten up-to-date</w:t>
            </w:r>
          </w:p>
        </w:tc>
        <w:tc>
          <w:tcPr>
            <w:tcW w:type="dxa" w:w="1984"/>
          </w:tcPr>
          <w:p>
            <w:r>
              <w:rPr>
                <w:sz w:val="16"/>
              </w:rPr>
              <w:t>ISO 9001, MASTER_SOP §7</w:t>
            </w:r>
          </w:p>
        </w:tc>
        <w:tc>
          <w:tcPr>
            <w:tcW w:type="dxa" w:w="3402"/>
          </w:tcPr>
          <w:p>
            <w:r>
              <w:rPr>
                <w:sz w:val="16"/>
              </w:rPr>
              <w:t>Het Document Management Systeem moet actueel blijven: (1) procedures jaarlijks herzien, (2) nieuwe documenten direct toegevoegd, (3) verouderde documenten naar archief, (4) distributielijsten up-to-date. Jaarlijkse audit op DMS-compleetheid. Minimaal: alle operationele procedures, keuringsrapporten, en vergunningen zijn actueel [12].</w:t>
            </w:r>
          </w:p>
        </w:tc>
        <w:tc>
          <w:tcPr>
            <w:tcW w:type="dxa" w:w="1701"/>
          </w:tcPr>
          <w:p>
            <w:r>
              <w:rPr>
                <w:sz w:val="16"/>
              </w:rPr>
              <w:t>DMS jaarlijkse audit OK; alle procedures herzien; 0 verouderde documenten in gebruik</w:t>
            </w:r>
          </w:p>
        </w:tc>
        <w:tc>
          <w:tcPr>
            <w:tcW w:type="dxa" w:w="1417"/>
          </w:tcPr>
          <w:p>
            <w:r>
              <w:rPr>
                <w:sz w:val="16"/>
              </w:rPr>
              <w:t>DMS audit rapport</w:t>
            </w:r>
          </w:p>
        </w:tc>
        <w:tc>
          <w:tcPr>
            <w:tcW w:type="dxa" w:w="567"/>
          </w:tcPr>
          <w:p>
            <w:r>
              <w:rPr>
                <w:sz w:val="16"/>
              </w:rPr>
              <w:t>H</w:t>
            </w:r>
          </w:p>
        </w:tc>
        <w:tc>
          <w:tcPr>
            <w:tcW w:type="dxa" w:w="1417"/>
          </w:tcPr>
          <w:p>
            <w:r>
              <w:rPr>
                <w:sz w:val="16"/>
              </w:rPr>
              <w:t>Project Manager</w:t>
            </w:r>
          </w:p>
        </w:tc>
      </w:tr>
      <w:tr>
        <w:tc>
          <w:tcPr>
            <w:tcW w:type="dxa" w:w="2551"/>
            <w:shd w:fill="F0F4F8" w:val="clear"/>
          </w:tcPr>
          <w:p>
            <w:r>
              <w:rPr>
                <w:sz w:val="16"/>
              </w:rPr>
              <w:t>Jaarlijks onderhoudsschema bijgewerkt</w:t>
            </w:r>
          </w:p>
        </w:tc>
        <w:tc>
          <w:tcPr>
            <w:tcW w:type="dxa" w:w="1984"/>
            <w:shd w:fill="F0F4F8" w:val="clear"/>
          </w:tcPr>
          <w:p>
            <w:r>
              <w:rPr>
                <w:sz w:val="16"/>
              </w:rPr>
              <w:t>Arbobesluit 7.1</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M</w:t>
            </w:r>
          </w:p>
        </w:tc>
        <w:tc>
          <w:tcPr>
            <w:tcW w:type="dxa" w:w="1417"/>
            <w:shd w:fill="F0F4F8" w:val="clear"/>
          </w:tcPr>
          <w:p>
            <w:r>
              <w:rPr>
                <w:sz w:val="16"/>
              </w:rPr>
              <w:t>Onderhoud</w:t>
            </w:r>
          </w:p>
        </w:tc>
      </w:tr>
    </w:tbl>
    <w:p/>
    <w:p>
      <w:pPr>
        <w:pStyle w:val="Heading3"/>
      </w:pPr>
      <w:r>
        <w:t>2.5.8 Seveso &amp; Vergunningen</w:t>
      </w:r>
    </w:p>
    <w:p>
      <w:r>
        <w:t>(1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MVR/VR up-to-date en periodiek herzien</w:t>
            </w:r>
          </w:p>
        </w:tc>
        <w:tc>
          <w:tcPr>
            <w:tcW w:type="dxa" w:w="1984"/>
          </w:tcPr>
          <w:p>
            <w:r>
              <w:rPr>
                <w:sz w:val="16"/>
              </w:rPr>
              <w:t>Seveso-regeling 2024</w:t>
            </w:r>
          </w:p>
        </w:tc>
        <w:tc>
          <w:tcPr>
            <w:tcW w:type="dxa" w:w="3402"/>
          </w:tcPr>
          <w:p>
            <w:r>
              <w:rPr>
                <w:sz w:val="16"/>
              </w:rPr>
              <w:t>Indien Seveso van toepassing: het Milieuzorgsysteem (MVR) of Veiligheidsrapport (VR) moet periodiek worden herzien (minimaal elke 5 jaar of bij significante wijzigingen). De herziening toetst of alle maatregelen nog actueel en effectief zijn. Bij wijzigingen in het proces (nieuwe stoffen, andere apparatuur) moet een wijzigingsnotitie worden opgesteld [7].</w:t>
            </w:r>
          </w:p>
        </w:tc>
        <w:tc>
          <w:tcPr>
            <w:tcW w:type="dxa" w:w="1701"/>
          </w:tcPr>
          <w:p>
            <w:r>
              <w:rPr>
                <w:sz w:val="16"/>
              </w:rPr>
              <w:t>MVR/VR herzien &lt; 5 jaar; wijzigingsnotities bij proceswijzigingen</w:t>
            </w:r>
          </w:p>
        </w:tc>
        <w:tc>
          <w:tcPr>
            <w:tcW w:type="dxa" w:w="1417"/>
          </w:tcPr>
          <w:p>
            <w:r>
              <w:rPr>
                <w:sz w:val="16"/>
              </w:rPr>
              <w:t>Herzieningsrapport MVR/VR</w:t>
            </w:r>
          </w:p>
        </w:tc>
        <w:tc>
          <w:tcPr>
            <w:tcW w:type="dxa" w:w="567"/>
          </w:tcPr>
          <w:p>
            <w:r>
              <w:rPr>
                <w:sz w:val="16"/>
              </w:rPr>
              <w:t>H</w:t>
            </w:r>
          </w:p>
        </w:tc>
        <w:tc>
          <w:tcPr>
            <w:tcW w:type="dxa" w:w="1417"/>
          </w:tcPr>
          <w:p>
            <w:r>
              <w:rPr>
                <w:sz w:val="16"/>
              </w:rPr>
              <w:t>HSEQ Manager</w:t>
            </w:r>
          </w:p>
        </w:tc>
      </w:tr>
    </w:tbl>
    <w:p/>
    <w:p>
      <w:r>
        <w:br w:type="page"/>
      </w:r>
    </w:p>
    <w:p>
      <w:pPr>
        <w:pStyle w:val="Heading1"/>
      </w:pPr>
      <w:r>
        <w:t>3. Thematische Checklists</w:t>
      </w:r>
    </w:p>
    <w:p>
      <w:r>
        <w:t>Samengevoegd overzicht per thema — alle fasen gecombineerd, geen duplicaten.</w:t>
      </w:r>
    </w:p>
    <w:p>
      <w:pPr>
        <w:pStyle w:val="Heading2"/>
      </w:pPr>
      <w:r>
        <w:t>3.1 Arbowet</w:t>
      </w:r>
    </w:p>
    <w:p>
      <w:r>
        <w:t>(14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RI&amp;E specifiek voor hydrometallurgische vanadiumextractie</w:t>
            </w:r>
          </w:p>
        </w:tc>
        <w:tc>
          <w:tcPr>
            <w:tcW w:type="dxa" w:w="1984"/>
          </w:tcPr>
          <w:p>
            <w:r>
              <w:rPr>
                <w:sz w:val="16"/>
              </w:rPr>
              <w:t>Arbowet art. 5, Arbobesluit art. 2.14</w:t>
            </w:r>
          </w:p>
        </w:tc>
        <w:tc>
          <w:tcPr>
            <w:tcW w:type="dxa" w:w="3402"/>
          </w:tcPr>
          <w:p>
            <w:r>
              <w:rPr>
                <w:sz w:val="16"/>
              </w:rPr>
              <w:t>De Risico-Inventarisatie &amp; -Evaluatie moet specifiek zijn voor dit proces: extractie van vanadium uit staalslakken middels zwavelzuur (H₂SO₄) en zoutzuur (HCl). De RI&amp;E dient de blootstelling aan V₂O₅-stof, zuurdampen, chroom-6 (indien aanwezig in slakken), thermische risico's en mechanische gevaren te inventariseren [1]. Elk risico moet gekwantificeerd worden met een risicomatrix (waarschijnlijkheid × effect). De RI&amp;E is de basis voor alle verdere veiligheidsmaatregelen.</w:t>
            </w:r>
          </w:p>
        </w:tc>
        <w:tc>
          <w:tcPr>
            <w:tcW w:type="dxa" w:w="1701"/>
          </w:tcPr>
          <w:p>
            <w:r>
              <w:rPr>
                <w:sz w:val="16"/>
              </w:rPr>
              <w:t>RI&amp;E goedgekeurd door gecertificeerde arbodeskundige; alle risico's geclassificeerd</w:t>
            </w:r>
          </w:p>
        </w:tc>
        <w:tc>
          <w:tcPr>
            <w:tcW w:type="dxa" w:w="1417"/>
          </w:tcPr>
          <w:p>
            <w:r>
              <w:rPr>
                <w:sz w:val="16"/>
              </w:rPr>
              <w:t>RI&amp;E rapport (incl. risicomatrix en actieplan)</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Grenswaardenblootstelling V₂O₅-stof bepaald</w:t>
            </w:r>
          </w:p>
        </w:tc>
        <w:tc>
          <w:tcPr>
            <w:tcW w:type="dxa" w:w="1984"/>
            <w:shd w:fill="F0F4F8" w:val="clear"/>
          </w:tcPr>
          <w:p>
            <w:r>
              <w:rPr>
                <w:sz w:val="16"/>
              </w:rPr>
              <w:t>Arbobesluit art. 4.1a, SER-advies grenswaarden</w:t>
            </w:r>
          </w:p>
        </w:tc>
        <w:tc>
          <w:tcPr>
            <w:tcW w:type="dxa" w:w="3402"/>
            <w:shd w:fill="F0F4F8" w:val="clear"/>
          </w:tcPr>
          <w:p>
            <w:r>
              <w:rPr>
                <w:sz w:val="16"/>
              </w:rPr>
              <w:t>Vanadiumpentoxide (V₂O₅) heeft een wettelijke grenswaarde van 0,04 mg/m³ (als 8-uur TWA). Bij de pilot plant ontstaat V₂O₅-stof tijdens droogstofhandling, zeven en transport van slib. De blootstellingsberekening moet rekening houden met de fijnheidsgraad van het stof, het aantal blootstellingsuren en de effectiviteit van stofbeheersmaatregelen (afzuiging, afsluiting). Bij overschrijding zijn aanvullende maatregelen verplicht [1].</w:t>
            </w:r>
          </w:p>
        </w:tc>
        <w:tc>
          <w:tcPr>
            <w:tcW w:type="dxa" w:w="1701"/>
            <w:shd w:fill="F0F4F8" w:val="clear"/>
          </w:tcPr>
          <w:p>
            <w:r>
              <w:rPr>
                <w:sz w:val="16"/>
              </w:rPr>
              <w:t>Berekende blootstelling &lt; 0,04 mg/m³ TWA-8h; bij overschrijding: maatregelen gedefinieerd</w:t>
            </w:r>
          </w:p>
        </w:tc>
        <w:tc>
          <w:tcPr>
            <w:tcW w:type="dxa" w:w="1417"/>
            <w:shd w:fill="F0F4F8" w:val="clear"/>
          </w:tcPr>
          <w:p>
            <w:r>
              <w:rPr>
                <w:sz w:val="16"/>
              </w:rPr>
              <w:t>Blootstellingsberekening (EASE of等效ent model)</w:t>
            </w:r>
          </w:p>
        </w:tc>
        <w:tc>
          <w:tcPr>
            <w:tcW w:type="dxa" w:w="567"/>
            <w:shd w:fill="F0F4F8" w:val="clear"/>
          </w:tcPr>
          <w:p>
            <w:r>
              <w:rPr>
                <w:sz w:val="16"/>
              </w:rPr>
              <w:t>H</w:t>
            </w:r>
          </w:p>
        </w:tc>
        <w:tc>
          <w:tcPr>
            <w:tcW w:type="dxa" w:w="1417"/>
            <w:shd w:fill="F0F4F8" w:val="clear"/>
          </w:tcPr>
          <w:p>
            <w:r>
              <w:rPr>
                <w:sz w:val="16"/>
              </w:rPr>
              <w:t>Arbodeskundige</w:t>
            </w:r>
          </w:p>
        </w:tc>
      </w:tr>
      <w:tr>
        <w:tc>
          <w:tcPr>
            <w:tcW w:type="dxa" w:w="2551"/>
          </w:tcPr>
          <w:p>
            <w:r>
              <w:rPr>
                <w:sz w:val="16"/>
              </w:rPr>
              <w:t>Chroom-6 blootstellingsrisico geëvalueerd</w:t>
            </w:r>
          </w:p>
        </w:tc>
        <w:tc>
          <w:tcPr>
            <w:tcW w:type="dxa" w:w="1984"/>
          </w:tcPr>
          <w:p>
            <w:r>
              <w:rPr>
                <w:sz w:val="16"/>
              </w:rPr>
              <w:t>Arbobesluit art. 4.1a, REACH bijlage XVII</w:t>
            </w:r>
          </w:p>
        </w:tc>
        <w:tc>
          <w:tcPr>
            <w:tcW w:type="dxa" w:w="3402"/>
          </w:tcPr>
          <w:p>
            <w:r>
              <w:rPr>
                <w:sz w:val="16"/>
              </w:rPr>
              <w:t>Cr(VI) kan in staalslakken aanwezig zijn als reststof. Chroom-6 is carcinoog (categorie 1B) met een grenswaarde van 0,001 mg/m³. De mogelijke aanwezigheid moet worden onderzocht via grondstofanalyse. Indien Cr(VI) wordt aangetoond, moet het proces zodanig worden ontworpen dat blootstelling wordt uitgesloten (volledig gesloten systeem) of geminimaliseerd [1][5].</w:t>
            </w:r>
          </w:p>
        </w:tc>
        <w:tc>
          <w:tcPr>
            <w:tcW w:type="dxa" w:w="1701"/>
          </w:tcPr>
          <w:p>
            <w:r>
              <w:rPr>
                <w:sz w:val="16"/>
              </w:rPr>
              <w:t>Cr(VI) analyseresultaat beschikbaar; bij aanwezigheid: blootstelling &lt; 0,001 mg/m³</w:t>
            </w:r>
          </w:p>
        </w:tc>
        <w:tc>
          <w:tcPr>
            <w:tcW w:type="dxa" w:w="1417"/>
          </w:tcPr>
          <w:p>
            <w:r>
              <w:rPr>
                <w:sz w:val="16"/>
              </w:rPr>
              <w:t>Grondstofanalyse rapport + blootstellingsbeoordeling</w:t>
            </w:r>
          </w:p>
        </w:tc>
        <w:tc>
          <w:tcPr>
            <w:tcW w:type="dxa" w:w="567"/>
          </w:tcPr>
          <w:p>
            <w:r>
              <w:rPr>
                <w:sz w:val="16"/>
              </w:rPr>
              <w:t>H</w:t>
            </w:r>
          </w:p>
        </w:tc>
        <w:tc>
          <w:tcPr>
            <w:tcW w:type="dxa" w:w="1417"/>
          </w:tcPr>
          <w:p>
            <w:r>
              <w:rPr>
                <w:sz w:val="16"/>
              </w:rPr>
              <w:t>Arbodeskundige</w:t>
            </w:r>
          </w:p>
        </w:tc>
      </w:tr>
      <w:tr>
        <w:tc>
          <w:tcPr>
            <w:tcW w:type="dxa" w:w="2551"/>
            <w:shd w:fill="F0F4F8" w:val="clear"/>
          </w:tcPr>
          <w:p>
            <w:r>
              <w:rPr>
                <w:sz w:val="16"/>
              </w:rPr>
              <w:t>PBM-matrix opgesteld voor alle werkzaamheden</w:t>
            </w:r>
          </w:p>
        </w:tc>
        <w:tc>
          <w:tcPr>
            <w:tcW w:type="dxa" w:w="1984"/>
            <w:shd w:fill="F0F4F8" w:val="clear"/>
          </w:tcPr>
          <w:p>
            <w:r>
              <w:rPr>
                <w:sz w:val="16"/>
              </w:rPr>
              <w:t>Arbobesluit art. 3.2</w:t>
            </w:r>
          </w:p>
        </w:tc>
        <w:tc>
          <w:tcPr>
            <w:tcW w:type="dxa" w:w="3402"/>
            <w:shd w:fill="F0F4F8" w:val="clear"/>
          </w:tcPr>
          <w:p>
            <w:r>
              <w:rPr>
                <w:sz w:val="16"/>
              </w:rPr>
              <w:t>De persoonlijke beschermingsmiddelen (PBM) matrix moet alle werkzaamheden in de pilot plant dekken: chemisch (H₂SO₄/HCl: zuurbestendige handschoenen, gezichtsscherm, zuurbestendige overall), stof (V₂O₅: P3-filter of ademlucht), thermisch (warm proces: hittebestendige kleding), geluid (&gt;85 dB(A): gehoorbescherming). De matrix specificeert per taak welke PBM's verplicht zijn, inclusief normering (EN-ISO) en vervangingsfrequentie [1].</w:t>
            </w:r>
          </w:p>
        </w:tc>
        <w:tc>
          <w:tcPr>
            <w:tcW w:type="dxa" w:w="1701"/>
            <w:shd w:fill="F0F4F8" w:val="clear"/>
          </w:tcPr>
          <w:p>
            <w:r>
              <w:rPr>
                <w:sz w:val="16"/>
              </w:rPr>
              <w:t>PBM-matrix compleet per taak; alle PBM's genormeerd (EN-ISO)</w:t>
            </w:r>
          </w:p>
        </w:tc>
        <w:tc>
          <w:tcPr>
            <w:tcW w:type="dxa" w:w="1417"/>
            <w:shd w:fill="F0F4F8" w:val="clear"/>
          </w:tcPr>
          <w:p>
            <w:r>
              <w:rPr>
                <w:sz w:val="16"/>
              </w:rPr>
              <w:t>PBM-matrix document + PBM-selectierapport</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Geluidsberekening (IMOS) uitgevoerd</w:t>
            </w:r>
          </w:p>
        </w:tc>
        <w:tc>
          <w:tcPr>
            <w:tcW w:type="dxa" w:w="1984"/>
          </w:tcPr>
          <w:p>
            <w:r>
              <w:rPr>
                <w:sz w:val="16"/>
              </w:rPr>
              <w:t>Arbobesluit art. 6.1, Handleiding IMOS</w:t>
            </w:r>
          </w:p>
        </w:tc>
        <w:tc>
          <w:tcPr>
            <w:tcW w:type="dxa" w:w="3402"/>
          </w:tcPr>
          <w:p>
            <w:r>
              <w:rPr>
                <w:sz w:val="16"/>
              </w:rPr>
              <w:t>De Industriële Geluidsberekeningsmethode (IMOS) berekent de geluidsniveaus op de werkplek. Voor de pilot plant zijn de primaire bronnen: lektrogalvanische reactors (pompen, mixers), compressoren, ventilatoren en aggregates. Per werkplek moet het geluidsniveau worden berekend. Boven 80 dB(A) zijn gehoorbeschermingsmiddelen verplicht, boven 85 dB(A) moet een geluidreducerend programma worden opgesteld [1].</w:t>
            </w:r>
          </w:p>
        </w:tc>
        <w:tc>
          <w:tcPr>
            <w:tcW w:type="dxa" w:w="1701"/>
          </w:tcPr>
          <w:p>
            <w:r>
              <w:rPr>
                <w:sz w:val="16"/>
              </w:rPr>
              <w:t>Alle werkplekken &lt; 85 dB(A); bij &gt; 80 dB(A): PBM-plan beschikbaar</w:t>
            </w:r>
          </w:p>
        </w:tc>
        <w:tc>
          <w:tcPr>
            <w:tcW w:type="dxa" w:w="1417"/>
          </w:tcPr>
          <w:p>
            <w:r>
              <w:rPr>
                <w:sz w:val="16"/>
              </w:rPr>
              <w:t>IMOS-berekeningsrapport incl. werkplekniveaus</w:t>
            </w:r>
          </w:p>
        </w:tc>
        <w:tc>
          <w:tcPr>
            <w:tcW w:type="dxa" w:w="567"/>
          </w:tcPr>
          <w:p>
            <w:r>
              <w:rPr>
                <w:sz w:val="16"/>
              </w:rPr>
              <w:t>M</w:t>
            </w:r>
          </w:p>
        </w:tc>
        <w:tc>
          <w:tcPr>
            <w:tcW w:type="dxa" w:w="1417"/>
          </w:tcPr>
          <w:p>
            <w:r>
              <w:rPr>
                <w:sz w:val="16"/>
              </w:rPr>
              <w:t>Geluidsadviseur</w:t>
            </w:r>
          </w:p>
        </w:tc>
      </w:tr>
      <w:tr>
        <w:tc>
          <w:tcPr>
            <w:tcW w:type="dxa" w:w="2551"/>
            <w:shd w:fill="F0F4F8" w:val="clear"/>
          </w:tcPr>
          <w:p>
            <w:r>
              <w:rPr>
                <w:sz w:val="16"/>
              </w:rPr>
              <w:t>Werken op hoogte: valbeveiliging ontworpen</w:t>
            </w:r>
          </w:p>
        </w:tc>
        <w:tc>
          <w:tcPr>
            <w:tcW w:type="dxa" w:w="1984"/>
            <w:shd w:fill="F0F4F8" w:val="clear"/>
          </w:tcPr>
          <w:p>
            <w:r>
              <w:rPr>
                <w:sz w:val="16"/>
              </w:rPr>
              <w:t>Arbobesluit art. 7.2, NEN-EN 363</w:t>
            </w:r>
          </w:p>
        </w:tc>
        <w:tc>
          <w:tcPr>
            <w:tcW w:type="dxa" w:w="3402"/>
            <w:shd w:fill="F0F4F8" w:val="clear"/>
          </w:tcPr>
          <w:p>
            <w:r>
              <w:rPr>
                <w:sz w:val="16"/>
              </w:rPr>
              <w:t>Alle locaties waar werkzaamheden op &gt; 2,5 m hoogte plaatsvinden (tanks, reactors, leidingbruggen) moeten zijn voorzien van valbeveiliging: leuningen (minimaal 1,0 m hoog), werkplatformen metTreeplanken, of persoonlijke valbeveiligingssystemen (PVBS). Voor de pilot plant gelden de hoogste eisen vanwege de aanwezigheid van corrosieve vloeistoffen onder de werkplekken — een val kan fataal zijn [1].</w:t>
            </w:r>
          </w:p>
        </w:tc>
        <w:tc>
          <w:tcPr>
            <w:tcW w:type="dxa" w:w="1701"/>
            <w:shd w:fill="F0F4F8" w:val="clear"/>
          </w:tcPr>
          <w:p>
            <w:r>
              <w:rPr>
                <w:sz w:val="16"/>
              </w:rPr>
              <w:t>Alle werkplekken &gt; 2,5 m voorzien van collectieve of persoonlijke valbeveiliging</w:t>
            </w:r>
          </w:p>
        </w:tc>
        <w:tc>
          <w:tcPr>
            <w:tcW w:type="dxa" w:w="1417"/>
            <w:shd w:fill="F0F4F8" w:val="clear"/>
          </w:tcPr>
          <w:p>
            <w:r>
              <w:rPr>
                <w:sz w:val="16"/>
              </w:rPr>
              <w:t>Valbeveiligingsplan + 3D-model aantekeningen</w:t>
            </w:r>
          </w:p>
        </w:tc>
        <w:tc>
          <w:tcPr>
            <w:tcW w:type="dxa" w:w="567"/>
            <w:shd w:fill="F0F4F8" w:val="clear"/>
          </w:tcPr>
          <w:p>
            <w:r>
              <w:rPr>
                <w:sz w:val="16"/>
              </w:rPr>
              <w:t>H</w:t>
            </w:r>
          </w:p>
        </w:tc>
        <w:tc>
          <w:tcPr>
            <w:tcW w:type="dxa" w:w="1417"/>
            <w:shd w:fill="F0F4F8" w:val="clear"/>
          </w:tcPr>
          <w:p>
            <w:r>
              <w:rPr>
                <w:sz w:val="16"/>
              </w:rPr>
              <w:t>Project Engineer</w:t>
            </w:r>
          </w:p>
        </w:tc>
      </w:tr>
      <w:tr>
        <w:tc>
          <w:tcPr>
            <w:tcW w:type="dxa" w:w="2551"/>
          </w:tcPr>
          <w:p>
            <w:r>
              <w:rPr>
                <w:sz w:val="16"/>
              </w:rPr>
              <w:t>Besloten ruimten geïdentificeerd en voorzien van veiligheidsmaatregelen</w:t>
            </w:r>
          </w:p>
        </w:tc>
        <w:tc>
          <w:tcPr>
            <w:tcW w:type="dxa" w:w="1984"/>
          </w:tcPr>
          <w:p>
            <w:r>
              <w:rPr>
                <w:sz w:val="16"/>
              </w:rPr>
              <w:t>Arbobesluit art. 3.5a, NEN-EN 516-5</w:t>
            </w:r>
          </w:p>
        </w:tc>
        <w:tc>
          <w:tcPr>
            <w:tcW w:type="dxa" w:w="3402"/>
          </w:tcPr>
          <w:p>
            <w:r>
              <w:rPr>
                <w:sz w:val="16"/>
              </w:rPr>
              <w:t>Besloten ruimten in de pilot plant omvatten: reactorvaten (tijdens onderhoud), opslagtanks, leidingkelders en filtratie-units. Voor elk moet een specifiek protocol worden opgesteld: ventilatie (minimaal 10 l/s per persoon), gasmeting vóór betreding (O₂ &gt; 19%, H₂S &lt; 5 ppm, explosiegrens &lt; 10% LEL), aanwezigheid van een bemande wachtpost en reddingsplan [1].</w:t>
            </w:r>
          </w:p>
        </w:tc>
        <w:tc>
          <w:tcPr>
            <w:tcW w:type="dxa" w:w="1701"/>
          </w:tcPr>
          <w:p>
            <w:r>
              <w:rPr>
                <w:sz w:val="16"/>
              </w:rPr>
              <w:t>Alle besloten ruimten geïdentificeerd; betredingsprotocol per ruimte beschikbaar</w:t>
            </w:r>
          </w:p>
        </w:tc>
        <w:tc>
          <w:tcPr>
            <w:tcW w:type="dxa" w:w="1417"/>
          </w:tcPr>
          <w:p>
            <w:r>
              <w:rPr>
                <w:sz w:val="16"/>
              </w:rPr>
              <w:t>Inventarisatie besloten ruimten + betredingsprotocollen</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Medische keuring en gezondheidsbewaking programma</w:t>
            </w:r>
          </w:p>
        </w:tc>
        <w:tc>
          <w:tcPr>
            <w:tcW w:type="dxa" w:w="1984"/>
            <w:shd w:fill="F0F4F8" w:val="clear"/>
          </w:tcPr>
          <w:p>
            <w:r>
              <w:rPr>
                <w:sz w:val="16"/>
              </w:rPr>
              <w:t>Arbowet art. 18, Arbobesluit art. 4.1a</w:t>
            </w:r>
          </w:p>
        </w:tc>
        <w:tc>
          <w:tcPr>
            <w:tcW w:type="dxa" w:w="3402"/>
            <w:shd w:fill="F0F4F8" w:val="clear"/>
          </w:tcPr>
          <w:p>
            <w:r>
              <w:rPr>
                <w:sz w:val="16"/>
              </w:rPr>
              <w:t>Werknemers blootgesteld aan V₂O₅, H₂SO₄, HCl en mogelijk Cr(VI) moeten een medische keuring ondergaan. Het programma omvat: longfunctietesten (V₂O₅ is irriterend voor luchtwegen), huidonderzoek (zuurbrandwonden), gehoortesten (indien &gt; 80 dB(A)) en biologische monitoring (vanadium in urine). De keuring moet worden uitgevoerd door een bedrijfsarts met kennis van de chemische risico's [1].</w:t>
            </w:r>
          </w:p>
        </w:tc>
        <w:tc>
          <w:tcPr>
            <w:tcW w:type="dxa" w:w="1701"/>
            <w:shd w:fill="F0F4F8" w:val="clear"/>
          </w:tcPr>
          <w:p>
            <w:r>
              <w:rPr>
                <w:sz w:val="16"/>
              </w:rPr>
              <w:t>Medisch keuringsprogramma goedgekeurd door bedrijfsarts; alle blootgestelde werknemers gekeurd vóór start</w:t>
            </w:r>
          </w:p>
        </w:tc>
        <w:tc>
          <w:tcPr>
            <w:tcW w:type="dxa" w:w="1417"/>
            <w:shd w:fill="F0F4F8" w:val="clear"/>
          </w:tcPr>
          <w:p>
            <w:r>
              <w:rPr>
                <w:sz w:val="16"/>
              </w:rPr>
              <w:t>Medisch keuringsprotocol + keuringsrapporten</w:t>
            </w:r>
          </w:p>
        </w:tc>
        <w:tc>
          <w:tcPr>
            <w:tcW w:type="dxa" w:w="567"/>
            <w:shd w:fill="F0F4F8" w:val="clear"/>
          </w:tcPr>
          <w:p>
            <w:r>
              <w:rPr>
                <w:sz w:val="16"/>
              </w:rPr>
              <w:t>H</w:t>
            </w:r>
          </w:p>
        </w:tc>
        <w:tc>
          <w:tcPr>
            <w:tcW w:type="dxa" w:w="1417"/>
            <w:shd w:fill="F0F4F8" w:val="clear"/>
          </w:tcPr>
          <w:p>
            <w:r>
              <w:rPr>
                <w:sz w:val="16"/>
              </w:rPr>
              <w:t>Bedrijfsarts</w:t>
            </w:r>
          </w:p>
        </w:tc>
      </w:tr>
      <w:tr>
        <w:tc>
          <w:tcPr>
            <w:tcW w:type="dxa" w:w="2551"/>
          </w:tcPr>
          <w:p>
            <w:r>
              <w:rPr>
                <w:sz w:val="16"/>
              </w:rPr>
              <w:t>Ergonomische risico-inventarisatie til- en hijswerkzaamheden</w:t>
            </w:r>
          </w:p>
        </w:tc>
        <w:tc>
          <w:tcPr>
            <w:tcW w:type="dxa" w:w="1984"/>
          </w:tcPr>
          <w:p>
            <w:r>
              <w:rPr>
                <w:sz w:val="16"/>
              </w:rPr>
              <w:t>Arbobesluit art. 5.1, ISO 11228-1</w:t>
            </w:r>
          </w:p>
        </w:tc>
        <w:tc>
          <w:tcPr>
            <w:tcW w:type="dxa" w:w="3402"/>
          </w:tcPr>
          <w:p>
            <w:r>
              <w:rPr>
                <w:sz w:val="16"/>
              </w:rPr>
              <w:t>De pilot plant omvat til- en hijswerkzaamheden bij: filterwissel, electro-depositie-kathodes, zakken chemicaliën en onderdelen. Per taak moet de tilbelasting worden berekend: maximaal 23 kg bij tillen onder optimale omstandigheden, lager bij ongunstige houdingen. Voor Structureel zwaar tillen moeten hijsmiddelen (brugkranen, takels) worden ontworpen [1].</w:t>
            </w:r>
          </w:p>
        </w:tc>
        <w:tc>
          <w:tcPr>
            <w:tcW w:type="dxa" w:w="1701"/>
          </w:tcPr>
          <w:p>
            <w:r>
              <w:rPr>
                <w:sz w:val="16"/>
              </w:rPr>
              <w:t>Alle til-taken &lt; 23 kg of hijsmiddel beschikbaar; hijswaarborgen aangegeven op 3D-model</w:t>
            </w:r>
          </w:p>
        </w:tc>
        <w:tc>
          <w:tcPr>
            <w:tcW w:type="dxa" w:w="1417"/>
          </w:tcPr>
          <w:p>
            <w:r>
              <w:rPr>
                <w:sz w:val="16"/>
              </w:rPr>
              <w:t>Ergonomisch rapport + hijsplan</w:t>
            </w:r>
          </w:p>
        </w:tc>
        <w:tc>
          <w:tcPr>
            <w:tcW w:type="dxa" w:w="567"/>
          </w:tcPr>
          <w:p>
            <w:r>
              <w:rPr>
                <w:sz w:val="16"/>
              </w:rPr>
              <w:t>M</w:t>
            </w:r>
          </w:p>
        </w:tc>
        <w:tc>
          <w:tcPr>
            <w:tcW w:type="dxa" w:w="1417"/>
          </w:tcPr>
          <w:p>
            <w:r>
              <w:rPr>
                <w:sz w:val="16"/>
              </w:rPr>
              <w:t>Arbodeskundige</w:t>
            </w:r>
          </w:p>
        </w:tc>
      </w:tr>
      <w:tr>
        <w:tc>
          <w:tcPr>
            <w:tcW w:type="dxa" w:w="2551"/>
            <w:shd w:fill="F0F4F8" w:val="clear"/>
          </w:tcPr>
          <w:p>
            <w:r>
              <w:rPr>
                <w:sz w:val="16"/>
              </w:rPr>
              <w:t>Bouwputten afgezet en beveiligd (leuningen, bordessen)</w:t>
            </w:r>
          </w:p>
        </w:tc>
        <w:tc>
          <w:tcPr>
            <w:tcW w:type="dxa" w:w="1984"/>
            <w:shd w:fill="F0F4F8" w:val="clear"/>
          </w:tcPr>
          <w:p>
            <w:r>
              <w:rPr>
                <w:sz w:val="16"/>
              </w:rPr>
              <w:t>Bbl, Arbobesluit art. 7.2</w:t>
            </w:r>
          </w:p>
        </w:tc>
        <w:tc>
          <w:tcPr>
            <w:tcW w:type="dxa" w:w="3402"/>
            <w:shd w:fill="F0F4F8" w:val="clear"/>
          </w:tcPr>
          <w:p>
            <w:r>
              <w:rPr>
                <w:sz w:val="16"/>
              </w:rPr>
              <w:t>Alle bouwputten en hoogteverschillen &gt; 1,0 m moeten zijn voorzien van collectieve valbeveiliging: leuningen (hoogte minimaal 1,0 m, tussenleuning op 0,5 m), Treeplanken (minimaal 0,18 m breed), en bordessen bij ingangen. Bij diepe putten (&gt; 2,5 m) is daarnaast een reddingsplan vereist [2].</w:t>
            </w:r>
          </w:p>
        </w:tc>
        <w:tc>
          <w:tcPr>
            <w:tcW w:type="dxa" w:w="1701"/>
            <w:shd w:fill="F0F4F8" w:val="clear"/>
          </w:tcPr>
          <w:p>
            <w:r>
              <w:rPr>
                <w:sz w:val="16"/>
              </w:rPr>
              <w:t>Alle bouwputten afgezet conform Bbl; leuningen ≥ 1,0 m; bordessen aanwezig</w:t>
            </w:r>
          </w:p>
        </w:tc>
        <w:tc>
          <w:tcPr>
            <w:tcW w:type="dxa" w:w="1417"/>
            <w:shd w:fill="F0F4F8" w:val="clear"/>
          </w:tcPr>
          <w:p>
            <w:r>
              <w:rPr>
                <w:sz w:val="16"/>
              </w:rPr>
              <w:t>Bouwfase veiligheidsplan + fotodocumentatie</w:t>
            </w:r>
          </w:p>
        </w:tc>
        <w:tc>
          <w:tcPr>
            <w:tcW w:type="dxa" w:w="567"/>
            <w:shd w:fill="F0F4F8" w:val="clear"/>
          </w:tcPr>
          <w:p>
            <w:r>
              <w:rPr>
                <w:sz w:val="16"/>
              </w:rPr>
              <w:t>H</w:t>
            </w:r>
          </w:p>
        </w:tc>
        <w:tc>
          <w:tcPr>
            <w:tcW w:type="dxa" w:w="1417"/>
            <w:shd w:fill="F0F4F8" w:val="clear"/>
          </w:tcPr>
          <w:p>
            <w:r>
              <w:rPr>
                <w:sz w:val="16"/>
              </w:rPr>
              <w:t>Project Engineer</w:t>
            </w:r>
          </w:p>
        </w:tc>
      </w:tr>
      <w:tr>
        <w:tc>
          <w:tcPr>
            <w:tcW w:type="dxa" w:w="2551"/>
          </w:tcPr>
          <w:p>
            <w:r>
              <w:rPr>
                <w:sz w:val="16"/>
              </w:rPr>
              <w:t>Kraanwerk veilig (hijsplan, vrijloop, keuring)</w:t>
            </w:r>
          </w:p>
        </w:tc>
        <w:tc>
          <w:tcPr>
            <w:tcW w:type="dxa" w:w="1984"/>
          </w:tcPr>
          <w:p>
            <w:r>
              <w:rPr>
                <w:sz w:val="16"/>
              </w:rPr>
              <w:t>Arbobesluit art. 5.1, NEN-EN 13155</w:t>
            </w:r>
          </w:p>
        </w:tc>
        <w:tc>
          <w:tcPr>
            <w:tcW w:type="dxa" w:w="3402"/>
          </w:tcPr>
          <w:p>
            <w:r>
              <w:rPr>
                <w:sz w:val="16"/>
              </w:rPr>
              <w:t>Alle hijsmiddelen (kranen, takels, hijsbanden) moeten: (1) geldig keuringsrapport hebben (jaarlijks), (2) belastbaarheidscorrectiefactoren toepassen, (3) worden bediend door gecertificeerde kraanmachinisten, en (4) voorzien zijn van een hijsplan voor complexe hijsbewerkingen. Bij wind &gt; 8 Bft worden hijswerkzaamheden gestaakt [1].</w:t>
            </w:r>
          </w:p>
        </w:tc>
        <w:tc>
          <w:tcPr>
            <w:tcW w:type="dxa" w:w="1701"/>
          </w:tcPr>
          <w:p>
            <w:r>
              <w:rPr>
                <w:sz w:val="16"/>
              </w:rPr>
              <w:t>Alle hijsmiddelen gekeurd; machinisten gecertificeerd; hijsplan beschikbaar; staking bij &gt; 8 Bft</w:t>
            </w:r>
          </w:p>
        </w:tc>
        <w:tc>
          <w:tcPr>
            <w:tcW w:type="dxa" w:w="1417"/>
          </w:tcPr>
          <w:p>
            <w:r>
              <w:rPr>
                <w:sz w:val="16"/>
              </w:rPr>
              <w:t>Keuringsrapporten + hijsplannen + certificaten machinisten</w:t>
            </w:r>
          </w:p>
        </w:tc>
        <w:tc>
          <w:tcPr>
            <w:tcW w:type="dxa" w:w="567"/>
          </w:tcPr>
          <w:p>
            <w:r>
              <w:rPr>
                <w:sz w:val="16"/>
              </w:rPr>
              <w:t>H</w:t>
            </w:r>
          </w:p>
        </w:tc>
        <w:tc>
          <w:tcPr>
            <w:tcW w:type="dxa" w:w="1417"/>
          </w:tcPr>
          <w:p>
            <w:r>
              <w:rPr>
                <w:sz w:val="16"/>
              </w:rPr>
              <w:t>Project Engineer</w:t>
            </w:r>
          </w:p>
        </w:tc>
      </w:tr>
      <w:tr>
        <w:tc>
          <w:tcPr>
            <w:tcW w:type="dxa" w:w="2551"/>
            <w:shd w:fill="F0F4F8" w:val="clear"/>
          </w:tcPr>
          <w:p>
            <w:r>
              <w:rPr>
                <w:sz w:val="16"/>
              </w:rPr>
              <w:t>Veiligheidssystemen maandelijks getest (gasdetectie, brand, ESD)</w:t>
            </w:r>
          </w:p>
        </w:tc>
        <w:tc>
          <w:tcPr>
            <w:tcW w:type="dxa" w:w="1984"/>
            <w:shd w:fill="F0F4F8" w:val="clear"/>
          </w:tcPr>
          <w:p>
            <w:r>
              <w:rPr>
                <w:sz w:val="16"/>
              </w:rPr>
              <w:t>Arbowet, IEC 61511:2024 §16</w:t>
            </w:r>
          </w:p>
        </w:tc>
        <w:tc>
          <w:tcPr>
            <w:tcW w:type="dxa" w:w="3402"/>
            <w:shd w:fill="F0F4F8" w:val="clear"/>
          </w:tcPr>
          <w:p>
            <w:r>
              <w:rPr>
                <w:sz w:val="16"/>
              </w:rPr>
              <w:t>Alle veiligheidssystemen moeten maandelijks worden getest: gasdetectiesensoren (kalibratie met testgas), branddetectie (rook/heat test), ESD-knoppen (test ontlading), noodverlichting (functioneel), en nooddouche/oogspuit (waterdruk OK). Resultaten worden vastgelegd in een testlog en afwijkingen binnen 48 uur verholpen [1][21].</w:t>
            </w:r>
          </w:p>
        </w:tc>
        <w:tc>
          <w:tcPr>
            <w:tcW w:type="dxa" w:w="1701"/>
            <w:shd w:fill="F0F4F8" w:val="clear"/>
          </w:tcPr>
          <w:p>
            <w:r>
              <w:rPr>
                <w:sz w:val="16"/>
              </w:rPr>
              <w:t>Maandelijkse test 100% compliance; afwijkingen &lt; 48 uur opgelost; log beschikbaar</w:t>
            </w:r>
          </w:p>
        </w:tc>
        <w:tc>
          <w:tcPr>
            <w:tcW w:type="dxa" w:w="1417"/>
            <w:shd w:fill="F0F4F8" w:val="clear"/>
          </w:tcPr>
          <w:p>
            <w:r>
              <w:rPr>
                <w:sz w:val="16"/>
              </w:rPr>
              <w:t>Maandelijks testlog veiligheidssystemen</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Onderhoudsregime (preventief/correctief) conform plan operationeel</w:t>
            </w:r>
          </w:p>
        </w:tc>
        <w:tc>
          <w:tcPr>
            <w:tcW w:type="dxa" w:w="1984"/>
          </w:tcPr>
          <w:p>
            <w:r>
              <w:rPr>
                <w:sz w:val="16"/>
              </w:rPr>
              <w:t>ISO 9001, API 510/570</w:t>
            </w:r>
          </w:p>
        </w:tc>
        <w:tc>
          <w:tcPr>
            <w:tcW w:type="dxa" w:w="3402"/>
          </w:tcPr>
          <w:p>
            <w:r>
              <w:rPr>
                <w:sz w:val="16"/>
              </w:rPr>
              <w:t>Het onderhoudsregime moet preventief (gepland op basis van fabrikant-advies en inspectie-intervallen) en correctief (na storing) zijn georganiseerd. Preventief: jaarlijks overzicht van gepland onderhoud per apparaat,Correctief: storingsrapportage binnen 24 uur, root-cause analyse bij herhalende storingen. CMMS (Computerized Maintenance Management System) aanbevolen [12].</w:t>
            </w:r>
          </w:p>
        </w:tc>
        <w:tc>
          <w:tcPr>
            <w:tcW w:type="dxa" w:w="1701"/>
          </w:tcPr>
          <w:p>
            <w:r>
              <w:rPr>
                <w:sz w:val="16"/>
              </w:rPr>
              <w:t>Alle apparaten opgenomen in onderhoudsschema; preventief plan goedgekeurd; storingen &lt; 24 uur gerapporteerd</w:t>
            </w:r>
          </w:p>
        </w:tc>
        <w:tc>
          <w:tcPr>
            <w:tcW w:type="dxa" w:w="1417"/>
          </w:tcPr>
          <w:p>
            <w:r>
              <w:rPr>
                <w:sz w:val="16"/>
              </w:rPr>
              <w:t>Onderhoudsschema + storingslog</w:t>
            </w:r>
          </w:p>
        </w:tc>
        <w:tc>
          <w:tcPr>
            <w:tcW w:type="dxa" w:w="567"/>
          </w:tcPr>
          <w:p>
            <w:r>
              <w:rPr>
                <w:sz w:val="16"/>
              </w:rPr>
              <w:t>M</w:t>
            </w:r>
          </w:p>
        </w:tc>
        <w:tc>
          <w:tcPr>
            <w:tcW w:type="dxa" w:w="1417"/>
          </w:tcPr>
          <w:p>
            <w:r>
              <w:rPr>
                <w:sz w:val="16"/>
              </w:rPr>
              <w:t>Plant Manager</w:t>
            </w:r>
          </w:p>
        </w:tc>
      </w:tr>
      <w:tr>
        <w:tc>
          <w:tcPr>
            <w:tcW w:type="dxa" w:w="2551"/>
            <w:shd w:fill="F0F4F8" w:val="clear"/>
          </w:tcPr>
          <w:p>
            <w:r>
              <w:rPr>
                <w:sz w:val="16"/>
              </w:rPr>
              <w:t>Arbocuratief beleid: periodiek gezondheidstoezicht</w:t>
            </w:r>
          </w:p>
        </w:tc>
        <w:tc>
          <w:tcPr>
            <w:tcW w:type="dxa" w:w="1984"/>
            <w:shd w:fill="F0F4F8" w:val="clear"/>
          </w:tcPr>
          <w:p>
            <w:r>
              <w:rPr>
                <w:sz w:val="16"/>
              </w:rPr>
              <w:t>Arbowet art. 18</w:t>
            </w:r>
          </w:p>
        </w:tc>
        <w:tc>
          <w:tcPr>
            <w:tcW w:type="dxa" w:w="3402"/>
            <w:shd w:fill="F0F4F8" w:val="clear"/>
          </w:tcPr>
          <w:p>
            <w:r>
              <w:rPr>
                <w:sz w:val="16"/>
              </w:rPr>
              <w:t>Alle werknemers blootgesteld aan V₂O₅, zuren, of chroom moeten periodiek medisch worden gecontroleerd: longfunctie (jaarlijks), gehoor (bij &gt; 80 dB(A), elke 3 jaar), en biologische monitoring (vanadium in urine, halfjaarlijks). De bedrijfsarts evalueert de resultaten en adviseert bij afwijkingen. Registratie conform AVG [1].</w:t>
            </w:r>
          </w:p>
        </w:tc>
        <w:tc>
          <w:tcPr>
            <w:tcW w:type="dxa" w:w="1701"/>
            <w:shd w:fill="F0F4F8" w:val="clear"/>
          </w:tcPr>
          <w:p>
            <w:r>
              <w:rPr>
                <w:sz w:val="16"/>
              </w:rPr>
              <w:t>Alle blootgestelde werknemers periodiek gekeurd; resultaten geregistreerd; bij afwijkingen: actieplan</w:t>
            </w:r>
          </w:p>
        </w:tc>
        <w:tc>
          <w:tcPr>
            <w:tcW w:type="dxa" w:w="1417"/>
            <w:shd w:fill="F0F4F8" w:val="clear"/>
          </w:tcPr>
          <w:p>
            <w:r>
              <w:rPr>
                <w:sz w:val="16"/>
              </w:rPr>
              <w:t>Medisch keuringsrapporten (geanonimiseerd)</w:t>
            </w:r>
          </w:p>
        </w:tc>
        <w:tc>
          <w:tcPr>
            <w:tcW w:type="dxa" w:w="567"/>
            <w:shd w:fill="F0F4F8" w:val="clear"/>
          </w:tcPr>
          <w:p>
            <w:r>
              <w:rPr>
                <w:sz w:val="16"/>
              </w:rPr>
              <w:t>H</w:t>
            </w:r>
          </w:p>
        </w:tc>
        <w:tc>
          <w:tcPr>
            <w:tcW w:type="dxa" w:w="1417"/>
            <w:shd w:fill="F0F4F8" w:val="clear"/>
          </w:tcPr>
          <w:p>
            <w:r>
              <w:rPr>
                <w:sz w:val="16"/>
              </w:rPr>
              <w:t>Bedrijfsarts</w:t>
            </w:r>
          </w:p>
        </w:tc>
      </w:tr>
    </w:tbl>
    <w:p/>
    <w:p>
      <w:pPr>
        <w:pStyle w:val="Heading2"/>
      </w:pPr>
      <w:r>
        <w:t>3.2 Omgevingswet (incl. ZZS, PFAS)</w:t>
      </w:r>
    </w:p>
    <w:p>
      <w:r>
        <w:t>(27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Omgevingsvergunning (Bal) aangevraagd met complete emissie-inventarisatie</w:t>
            </w:r>
          </w:p>
        </w:tc>
        <w:tc>
          <w:tcPr>
            <w:tcW w:type="dxa" w:w="1984"/>
          </w:tcPr>
          <w:p>
            <w:r>
              <w:rPr>
                <w:sz w:val="16"/>
              </w:rPr>
              <w:t>Besluit activiteiten leefomgeving (Bal) art. 2.1</w:t>
            </w:r>
          </w:p>
        </w:tc>
        <w:tc>
          <w:tcPr>
            <w:tcW w:type="dxa" w:w="3402"/>
          </w:tcPr>
          <w:p>
            <w:r>
              <w:rPr>
                <w:sz w:val="16"/>
              </w:rPr>
              <w:t>De pilot plant vergt een omgevingsvergunning onder de Bal voor: luchtemissies (stof, H₂SO₄-dampen), waterlozingen (vanadium, zware metalen, pH), geluidsproductie en afvalstoffen. De aanvraag moet een complete emissie-inventarisatie bevatten met berekende en verwachte emissies, vergeleken met de geldende grenswaarden. De vergunning bevat voorschriften voor monitoring, rapportage en handhaving [3].</w:t>
            </w:r>
          </w:p>
        </w:tc>
        <w:tc>
          <w:tcPr>
            <w:tcW w:type="dxa" w:w="1701"/>
          </w:tcPr>
          <w:p>
            <w:r>
              <w:rPr>
                <w:sz w:val="16"/>
              </w:rPr>
              <w:t>Omgevingsvergunning verleend; alle emissiegrenswaarden gehaald</w:t>
            </w:r>
          </w:p>
        </w:tc>
        <w:tc>
          <w:tcPr>
            <w:tcW w:type="dxa" w:w="1417"/>
          </w:tcPr>
          <w:p>
            <w:r>
              <w:rPr>
                <w:sz w:val="16"/>
              </w:rPr>
              <w:t>Vergunningsaanvraag + emissieberekeningen + vergunningsbesluit</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ZZS-minimisatietoets vanadiumverbindingen uitgevoerd</w:t>
            </w:r>
          </w:p>
        </w:tc>
        <w:tc>
          <w:tcPr>
            <w:tcW w:type="dxa" w:w="1984"/>
            <w:shd w:fill="F0F4F8" w:val="clear"/>
          </w:tcPr>
          <w:p>
            <w:r>
              <w:rPr>
                <w:sz w:val="16"/>
              </w:rPr>
              <w:t>Bal, REACH bijlage XV — ZZS-list</w:t>
            </w:r>
          </w:p>
        </w:tc>
        <w:tc>
          <w:tcPr>
            <w:tcW w:type="dxa" w:w="3402"/>
            <w:shd w:fill="F0F4F8" w:val="clear"/>
          </w:tcPr>
          <w:p>
            <w:r>
              <w:rPr>
                <w:sz w:val="16"/>
              </w:rPr>
              <w:t>Vanadiumpentoxide (V₂O₅) en vanadiumtrioxide (V₂O₃) staan op de ZZS-lijst (Zeer Zorgwekkende Stoffen). De ZZS-minimisatietoets toetst of emissies zoveel mogelijk worden geminimaliseerd. Voor de pilot plant betekent dit: gesloten procesvoering waar mogelijk, afvang van stofemissies (WESP of equivalente techniek), en continue monitoring van emissiepunten. De toets moet aantonen dat BBT (Best Beschikbare Technieken) worden toegepast [3][5].</w:t>
            </w:r>
          </w:p>
        </w:tc>
        <w:tc>
          <w:tcPr>
            <w:tcW w:type="dxa" w:w="1701"/>
            <w:shd w:fill="F0F4F8" w:val="clear"/>
          </w:tcPr>
          <w:p>
            <w:r>
              <w:rPr>
                <w:sz w:val="16"/>
              </w:rPr>
              <w:t>ZZS-minimisatietoets afgerond; BBT-selectie gedocumenteerd</w:t>
            </w:r>
          </w:p>
        </w:tc>
        <w:tc>
          <w:tcPr>
            <w:tcW w:type="dxa" w:w="1417"/>
            <w:shd w:fill="F0F4F8" w:val="clear"/>
          </w:tcPr>
          <w:p>
            <w:r>
              <w:rPr>
                <w:sz w:val="16"/>
              </w:rPr>
              <w:t>ZZS-minimisatietoets rapport</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Luchtemissiegrenswaarden vertaald naar ontwerpparameters</w:t>
            </w:r>
          </w:p>
        </w:tc>
        <w:tc>
          <w:tcPr>
            <w:tcW w:type="dxa" w:w="1984"/>
          </w:tcPr>
          <w:p>
            <w:r>
              <w:rPr>
                <w:sz w:val="16"/>
              </w:rPr>
              <w:t>Bal, BREF LVIC-AAF</w:t>
            </w:r>
          </w:p>
        </w:tc>
        <w:tc>
          <w:tcPr>
            <w:tcW w:type="dxa" w:w="3402"/>
          </w:tcPr>
          <w:p>
            <w:r>
              <w:rPr>
                <w:sz w:val="16"/>
              </w:rPr>
              <w:t>De vergunningsgrenswaarden voor luchtemissies moeten worden vertaald naar concrete ontwerpeisen: stofemissie &lt; 5 mg/Nm³ (of vergunningswaarde), H₂SO₄-dampen &lt; grenswaarde, en eventueel NOₓ/CO bij warmtekracht. Per emissiepunt (stack) moet de verwachte concentratie worden berekend op basis van procescondities, afvangrendement (WESP: &gt;99% voor stof &gt;1 μm) en debiet [3].</w:t>
            </w:r>
          </w:p>
        </w:tc>
        <w:tc>
          <w:tcPr>
            <w:tcW w:type="dxa" w:w="1701"/>
          </w:tcPr>
          <w:p>
            <w:r>
              <w:rPr>
                <w:sz w:val="16"/>
              </w:rPr>
              <w:t>Alle stack-emissies &lt; vergunningsgrenswaarden; afvangrendement berekend per bron</w:t>
            </w:r>
          </w:p>
        </w:tc>
        <w:tc>
          <w:tcPr>
            <w:tcW w:type="dxa" w:w="1417"/>
          </w:tcPr>
          <w:p>
            <w:r>
              <w:rPr>
                <w:sz w:val="16"/>
              </w:rPr>
              <w:t>Emissieberekening per stack + afvangrendementrapport</w:t>
            </w:r>
          </w:p>
        </w:tc>
        <w:tc>
          <w:tcPr>
            <w:tcW w:type="dxa" w:w="567"/>
          </w:tcPr>
          <w:p>
            <w:r>
              <w:rPr>
                <w:sz w:val="16"/>
              </w:rPr>
              <w:t>H</w:t>
            </w:r>
          </w:p>
        </w:tc>
        <w:tc>
          <w:tcPr>
            <w:tcW w:type="dxa" w:w="1417"/>
          </w:tcPr>
          <w:p>
            <w:r>
              <w:rPr>
                <w:sz w:val="16"/>
              </w:rPr>
              <w:t>Proces Engineer</w:t>
            </w:r>
          </w:p>
        </w:tc>
      </w:tr>
      <w:tr>
        <w:tc>
          <w:tcPr>
            <w:tcW w:type="dxa" w:w="2551"/>
            <w:shd w:fill="F0F4F8" w:val="clear"/>
          </w:tcPr>
          <w:p>
            <w:r>
              <w:rPr>
                <w:sz w:val="16"/>
              </w:rPr>
              <w:t>Waterlozingemissies berekend en vergund</w:t>
            </w:r>
          </w:p>
        </w:tc>
        <w:tc>
          <w:tcPr>
            <w:tcW w:type="dxa" w:w="1984"/>
            <w:shd w:fill="F0F4F8" w:val="clear"/>
          </w:tcPr>
          <w:p>
            <w:r>
              <w:rPr>
                <w:sz w:val="16"/>
              </w:rPr>
              <w:t>Bal, Europese Kaderrichtlijn Water</w:t>
            </w:r>
          </w:p>
        </w:tc>
        <w:tc>
          <w:tcPr>
            <w:tcW w:type="dxa" w:w="3402"/>
            <w:shd w:fill="F0F4F8" w:val="clear"/>
          </w:tcPr>
          <w:p>
            <w:r>
              <w:rPr>
                <w:sz w:val="16"/>
              </w:rPr>
              <w:t>De pilot plant produceert afvalwater met vanadium, zware metalen, sulfaten en chloriden. De lozing moet voldoen aan de vergunningsvoorwaarden: V &lt; vergunningswaarde mg/l, pH 6-9, sulfaten &lt; vergunningswaarde. De waterzuivering moet bestaan uit: neutrale buffer → vanadiumprecipitatie → pH-correctie → lozing. Een waterbalans moet alle stromen in kaart brengen [3].</w:t>
            </w:r>
          </w:p>
        </w:tc>
        <w:tc>
          <w:tcPr>
            <w:tcW w:type="dxa" w:w="1701"/>
            <w:shd w:fill="F0F4F8" w:val="clear"/>
          </w:tcPr>
          <w:p>
            <w:r>
              <w:rPr>
                <w:sz w:val="16"/>
              </w:rPr>
              <w:t>Alle lozingsparameters &lt; vergunningsgrenswaarden; waterbalans compleet</w:t>
            </w:r>
          </w:p>
        </w:tc>
        <w:tc>
          <w:tcPr>
            <w:tcW w:type="dxa" w:w="1417"/>
            <w:shd w:fill="F0F4F8" w:val="clear"/>
          </w:tcPr>
          <w:p>
            <w:r>
              <w:rPr>
                <w:sz w:val="16"/>
              </w:rPr>
              <w:t>Waterbalans + zuiveringsontwerp + lozingsvergunning</w:t>
            </w:r>
          </w:p>
        </w:tc>
        <w:tc>
          <w:tcPr>
            <w:tcW w:type="dxa" w:w="567"/>
            <w:shd w:fill="F0F4F8" w:val="clear"/>
          </w:tcPr>
          <w:p>
            <w:r>
              <w:rPr>
                <w:sz w:val="16"/>
              </w:rPr>
              <w:t>H</w:t>
            </w:r>
          </w:p>
        </w:tc>
        <w:tc>
          <w:tcPr>
            <w:tcW w:type="dxa" w:w="1417"/>
            <w:shd w:fill="F0F4F8" w:val="clear"/>
          </w:tcPr>
          <w:p>
            <w:r>
              <w:rPr>
                <w:sz w:val="16"/>
              </w:rPr>
              <w:t>Proces Engineer</w:t>
            </w:r>
          </w:p>
        </w:tc>
      </w:tr>
      <w:tr>
        <w:tc>
          <w:tcPr>
            <w:tcW w:type="dxa" w:w="2551"/>
          </w:tcPr>
          <w:p>
            <w:r>
              <w:rPr>
                <w:sz w:val="16"/>
              </w:rPr>
              <w:t>BBT (Best Beschikbare Technieken) documentatie compleet</w:t>
            </w:r>
          </w:p>
        </w:tc>
        <w:tc>
          <w:tcPr>
            <w:tcW w:type="dxa" w:w="1984"/>
          </w:tcPr>
          <w:p>
            <w:r>
              <w:rPr>
                <w:sz w:val="16"/>
              </w:rPr>
              <w:t>BREF LVIC-AAF, Bal</w:t>
            </w:r>
          </w:p>
        </w:tc>
        <w:tc>
          <w:tcPr>
            <w:tcW w:type="dxa" w:w="3402"/>
          </w:tcPr>
          <w:p>
            <w:r>
              <w:rPr>
                <w:sz w:val="16"/>
              </w:rPr>
              <w:t>De BBT-documentatie moet aantonen dat de pilot plant ontworpen is conform de Best Beschikbare Technieken zoals beschreven in het BREF-document voor Large Volume Inorganic Chemicals (LVIC). Dit omvat: emissiebeperking, energie-efficiëntie, afvalminimalisatie en waterzuivering. Afwijkingen van BBT moeten worden gemotiveerd [3].</w:t>
            </w:r>
          </w:p>
        </w:tc>
        <w:tc>
          <w:tcPr>
            <w:tcW w:type="dxa" w:w="1701"/>
          </w:tcPr>
          <w:p>
            <w:r>
              <w:rPr>
                <w:sz w:val="16"/>
              </w:rPr>
              <w:t>BBT-documentatie compleet; afwijkingen gemotiveerd</w:t>
            </w:r>
          </w:p>
        </w:tc>
        <w:tc>
          <w:tcPr>
            <w:tcW w:type="dxa" w:w="1417"/>
          </w:tcPr>
          <w:p>
            <w:r>
              <w:rPr>
                <w:sz w:val="16"/>
              </w:rPr>
              <w:t>BBT-vergelijkingsdocument</w:t>
            </w:r>
          </w:p>
        </w:tc>
        <w:tc>
          <w:tcPr>
            <w:tcW w:type="dxa" w:w="567"/>
          </w:tcPr>
          <w:p>
            <w:r>
              <w:rPr>
                <w:sz w:val="16"/>
              </w:rPr>
              <w:t>M</w:t>
            </w:r>
          </w:p>
        </w:tc>
        <w:tc>
          <w:tcPr>
            <w:tcW w:type="dxa" w:w="1417"/>
          </w:tcPr>
          <w:p>
            <w:r>
              <w:rPr>
                <w:sz w:val="16"/>
              </w:rPr>
              <w:t>HSEQ Manager</w:t>
            </w:r>
          </w:p>
        </w:tc>
      </w:tr>
      <w:tr>
        <w:tc>
          <w:tcPr>
            <w:tcW w:type="dxa" w:w="2551"/>
            <w:shd w:fill="F0F4F8" w:val="clear"/>
          </w:tcPr>
          <w:p>
            <w:r>
              <w:rPr>
                <w:sz w:val="16"/>
              </w:rPr>
              <w:t>Afvalstoffenplan opgesteld (classificatie, opslag, afvoer)</w:t>
            </w:r>
          </w:p>
        </w:tc>
        <w:tc>
          <w:tcPr>
            <w:tcW w:type="dxa" w:w="1984"/>
            <w:shd w:fill="F0F4F8" w:val="clear"/>
          </w:tcPr>
          <w:p>
            <w:r>
              <w:rPr>
                <w:sz w:val="16"/>
              </w:rPr>
              <w:t>Bal, Landelijk Afvalbeheerplan</w:t>
            </w:r>
          </w:p>
        </w:tc>
        <w:tc>
          <w:tcPr>
            <w:tcW w:type="dxa" w:w="3402"/>
            <w:shd w:fill="F0F4F8" w:val="clear"/>
          </w:tcPr>
          <w:p>
            <w:r>
              <w:rPr>
                <w:sz w:val="16"/>
              </w:rPr>
              <w:t>Alle afvalstromen van de pilot plant moeten worden geïnventariseerd en geclassificeerd: slakresten (EURAL-code), filterkoek (mogelijk gevaarlijk afval), zuurafval, metallocius slib, en bedrijfsafval. Per stroom moet de EURAL-code, het afvalbehandelingspad en de afvoerfrequentie worden vastgelegd. Gevaarlijk afval moet conform LAP3 worden afgevoerd [3].</w:t>
            </w:r>
          </w:p>
        </w:tc>
        <w:tc>
          <w:tcPr>
            <w:tcW w:type="dxa" w:w="1701"/>
            <w:shd w:fill="F0F4F8" w:val="clear"/>
          </w:tcPr>
          <w:p>
            <w:r>
              <w:rPr>
                <w:sz w:val="16"/>
              </w:rPr>
              <w:t>Afvalstoffenplan compleet; alle stromen geclassificeerd (EURAL); afvoerpaden bepaald</w:t>
            </w:r>
          </w:p>
        </w:tc>
        <w:tc>
          <w:tcPr>
            <w:tcW w:type="dxa" w:w="1417"/>
            <w:shd w:fill="F0F4F8" w:val="clear"/>
          </w:tcPr>
          <w:p>
            <w:r>
              <w:rPr>
                <w:sz w:val="16"/>
              </w:rPr>
              <w:t>Afvalstoffeninventarisatie + afvoerovereenkomsten</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Bluswater als afvalstroom geclassificeerd</w:t>
            </w:r>
          </w:p>
        </w:tc>
        <w:tc>
          <w:tcPr>
            <w:tcW w:type="dxa" w:w="1984"/>
          </w:tcPr>
          <w:p>
            <w:r>
              <w:rPr>
                <w:sz w:val="16"/>
              </w:rPr>
              <w:t>Bal, PGS 15:2025 §7</w:t>
            </w:r>
          </w:p>
        </w:tc>
        <w:tc>
          <w:tcPr>
            <w:tcW w:type="dxa" w:w="3402"/>
          </w:tcPr>
          <w:p>
            <w:r>
              <w:rPr>
                <w:sz w:val="16"/>
              </w:rPr>
              <w:t>Bluswater bij een brand in de pilot plant kan verontreinigd zijn met vanadium, zuren en andere chemicaliën. Dit water mag niet direct op het riool worden geloosd. Het moet worden opgevangen (bluswateropvangbak/retentiebekken) en als afvalstroom worden geclassificeerd. De opvangcapaciteit moet minimaal 3x het opslagvolume bedragen conform PGS 15:2025 [4][7].</w:t>
            </w:r>
          </w:p>
        </w:tc>
        <w:tc>
          <w:tcPr>
            <w:tcW w:type="dxa" w:w="1701"/>
          </w:tcPr>
          <w:p>
            <w:r>
              <w:rPr>
                <w:sz w:val="16"/>
              </w:rPr>
              <w:t>Bluswateropvang capaciteit ≥ 3x opslagvolume; classificatie als afvalstroom bepaald</w:t>
            </w:r>
          </w:p>
        </w:tc>
        <w:tc>
          <w:tcPr>
            <w:tcW w:type="dxa" w:w="1417"/>
          </w:tcPr>
          <w:p>
            <w:r>
              <w:rPr>
                <w:sz w:val="16"/>
              </w:rPr>
              <w:t>Bluswaterberekening + classificatierapport</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PFAS-vrije alternatieven gespecificeerd voor blusschuim en afdichtingen</w:t>
            </w:r>
          </w:p>
        </w:tc>
        <w:tc>
          <w:tcPr>
            <w:tcW w:type="dxa" w:w="1984"/>
            <w:shd w:fill="F0F4F8" w:val="clear"/>
          </w:tcPr>
          <w:p>
            <w:r>
              <w:rPr>
                <w:sz w:val="16"/>
              </w:rPr>
              <w:t>REACH restrictievoorstel PFAS [20]</w:t>
            </w:r>
          </w:p>
        </w:tc>
        <w:tc>
          <w:tcPr>
            <w:tcW w:type="dxa" w:w="3402"/>
            <w:shd w:fill="F0F4F8" w:val="clear"/>
          </w:tcPr>
          <w:p>
            <w:r>
              <w:rPr>
                <w:sz w:val="16"/>
              </w:rPr>
              <w:t>PFAS (per- en polyfluoralkylstoffen) worden in de EU aan banden gelegd. De pilot plant moet PFAS-vrij blusschuim specificeren (fluorvrij schuim op basis van synthetische of eiwitbasis). Ook afdichtingen en pakkingen die traditioneel PTFE bevatten moeten worden geëvalueerd op PFAS-vrije alternatieven. Dit voorkomt toekomstige vervangingskosten en compliance-risico's [20].</w:t>
            </w:r>
          </w:p>
        </w:tc>
        <w:tc>
          <w:tcPr>
            <w:tcW w:type="dxa" w:w="1701"/>
            <w:shd w:fill="F0F4F8" w:val="clear"/>
          </w:tcPr>
          <w:p>
            <w:r>
              <w:rPr>
                <w:sz w:val="16"/>
              </w:rPr>
              <w:t>Alle blusschuim-specificaties PFAS-vrij; PTFE-alternatieven geëvalueerd</w:t>
            </w:r>
          </w:p>
        </w:tc>
        <w:tc>
          <w:tcPr>
            <w:tcW w:type="dxa" w:w="1417"/>
            <w:shd w:fill="F0F4F8" w:val="clear"/>
          </w:tcPr>
          <w:p>
            <w:r>
              <w:rPr>
                <w:sz w:val="16"/>
              </w:rPr>
              <w:t>Materialsamenstellingslijst + PFAS-verklaring leveranciers</w:t>
            </w:r>
          </w:p>
        </w:tc>
        <w:tc>
          <w:tcPr>
            <w:tcW w:type="dxa" w:w="567"/>
            <w:shd w:fill="F0F4F8" w:val="clear"/>
          </w:tcPr>
          <w:p>
            <w:r>
              <w:rPr>
                <w:sz w:val="16"/>
              </w:rPr>
              <w:t>M</w:t>
            </w:r>
          </w:p>
        </w:tc>
        <w:tc>
          <w:tcPr>
            <w:tcW w:type="dxa" w:w="1417"/>
            <w:shd w:fill="F0F4F8" w:val="clear"/>
          </w:tcPr>
          <w:p>
            <w:r>
              <w:rPr>
                <w:sz w:val="16"/>
              </w:rPr>
              <w:t>HSEQ Manager</w:t>
            </w:r>
          </w:p>
        </w:tc>
      </w:tr>
      <w:tr>
        <w:tc>
          <w:tcPr>
            <w:tcW w:type="dxa" w:w="2551"/>
          </w:tcPr>
          <w:p>
            <w:r>
              <w:rPr>
                <w:sz w:val="16"/>
              </w:rPr>
              <w:t>Spill containment zuren geverifieerd en getest</w:t>
            </w:r>
          </w:p>
        </w:tc>
        <w:tc>
          <w:tcPr>
            <w:tcW w:type="dxa" w:w="1984"/>
          </w:tcPr>
          <w:p>
            <w:r>
              <w:rPr>
                <w:sz w:val="16"/>
              </w:rPr>
              <w:t>PGS 15:2025, Bal</w:t>
            </w:r>
          </w:p>
        </w:tc>
        <w:tc>
          <w:tcPr>
            <w:tcW w:type="dxa" w:w="3402"/>
          </w:tcPr>
          <w:p>
            <w:r>
              <w:rPr>
                <w:sz w:val="16"/>
              </w:rPr>
              <w:t>Het spill containment systeem (opvangbakken, retentiebekkens) moet periodiek worden geïnspecteerd: (1) opvangbakken leeg en schoon, (2) lekdetectie functioneel, (3) afsluiters beweegbaar, (4) pompput functioneel. Testprocedure: simuleer een lek (water) en verifieer dat de opvang werkt. Jaarlijkse test verplicht [4].</w:t>
            </w:r>
          </w:p>
        </w:tc>
        <w:tc>
          <w:tcPr>
            <w:tcW w:type="dxa" w:w="1701"/>
          </w:tcPr>
          <w:p>
            <w:r>
              <w:rPr>
                <w:sz w:val="16"/>
              </w:rPr>
              <w:t>Spill containment geïnspecteerd; jaarlijkse lek-simulatietest geslaagd</w:t>
            </w:r>
          </w:p>
        </w:tc>
        <w:tc>
          <w:tcPr>
            <w:tcW w:type="dxa" w:w="1417"/>
          </w:tcPr>
          <w:p>
            <w:r>
              <w:rPr>
                <w:sz w:val="16"/>
              </w:rPr>
              <w:t>Inspectierapport + testrapport</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Bluswater opvangcapaciteit geverifieerd</w:t>
            </w:r>
          </w:p>
        </w:tc>
        <w:tc>
          <w:tcPr>
            <w:tcW w:type="dxa" w:w="1984"/>
            <w:shd w:fill="F0F4F8" w:val="clear"/>
          </w:tcPr>
          <w:p>
            <w:r>
              <w:rPr>
                <w:sz w:val="16"/>
              </w:rPr>
              <w:t>PGS 15:2025 §7</w:t>
            </w:r>
          </w:p>
        </w:tc>
        <w:tc>
          <w:tcPr>
            <w:tcW w:type="dxa" w:w="3402"/>
            <w:shd w:fill="F0F4F8" w:val="clear"/>
          </w:tcPr>
          <w:p>
            <w:r>
              <w:rPr>
                <w:sz w:val="16"/>
              </w:rPr>
              <w:t>De bluswateropvang (retentiebekken, opvangtanken) moet jaarlijks worden geïnspecteerd: volume conform berekening (≥ 3x opslagvolume), geen sediment/vuil, afsluiters functioneel, en pompsysteem getest. Bij gebrek aan capaciteit moet het bekkens worden uitgebreid of moet een alternatief systeem worden gerealiseerd [4].</w:t>
            </w:r>
          </w:p>
        </w:tc>
        <w:tc>
          <w:tcPr>
            <w:tcW w:type="dxa" w:w="1701"/>
            <w:shd w:fill="F0F4F8" w:val="clear"/>
          </w:tcPr>
          <w:p>
            <w:r>
              <w:rPr>
                <w:sz w:val="16"/>
              </w:rPr>
              <w:t>Opvangcapaciteit ≥ 3x opslagvolume; jaarlijkse inspectie OK; pomp getest</w:t>
            </w:r>
          </w:p>
        </w:tc>
        <w:tc>
          <w:tcPr>
            <w:tcW w:type="dxa" w:w="1417"/>
            <w:shd w:fill="F0F4F8" w:val="clear"/>
          </w:tcPr>
          <w:p>
            <w:r>
              <w:rPr>
                <w:sz w:val="16"/>
              </w:rPr>
              <w:t>Jaarlijks inspectierapport bluswateropvang</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Emissiemonitoring (lucht + water) operationeel conform vergunning</w:t>
            </w:r>
          </w:p>
        </w:tc>
        <w:tc>
          <w:tcPr>
            <w:tcW w:type="dxa" w:w="1984"/>
          </w:tcPr>
          <w:p>
            <w:r>
              <w:rPr>
                <w:sz w:val="16"/>
              </w:rPr>
              <w:t>Bal, Vergunningsvoorschriften</w:t>
            </w:r>
          </w:p>
        </w:tc>
        <w:tc>
          <w:tcPr>
            <w:tcW w:type="dxa" w:w="3402"/>
          </w:tcPr>
          <w:p>
            <w:r>
              <w:rPr>
                <w:sz w:val="16"/>
              </w:rPr>
              <w:t>De continue emissiemonitoring moet operationeel zijn: luchtemissies (stof, H₂SO₄-dampen) via CEMS (Continue Emission Monitoring System) op elke stack, wateremissies (vanadium, pH, sulfaten) via flowmeters en periodieke bemonstering. Data moet 24/7 beschikbaar zijn en automatisch worden gerapporteerd conform vergunningsvoorschriften [3].</w:t>
            </w:r>
          </w:p>
        </w:tc>
        <w:tc>
          <w:tcPr>
            <w:tcW w:type="dxa" w:w="1701"/>
          </w:tcPr>
          <w:p>
            <w:r>
              <w:rPr>
                <w:sz w:val="16"/>
              </w:rPr>
              <w:t>CEMS operationeel; watermonitoring actief; data 24/7 beschikbaar; rapportage conform vergunning</w:t>
            </w:r>
          </w:p>
        </w:tc>
        <w:tc>
          <w:tcPr>
            <w:tcW w:type="dxa" w:w="1417"/>
          </w:tcPr>
          <w:p>
            <w:r>
              <w:rPr>
                <w:sz w:val="16"/>
              </w:rPr>
              <w:t>CEMS data + wateranalyse rapporten</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Microverontreinigingen monitoring: vanadium in afvalwater</w:t>
            </w:r>
          </w:p>
        </w:tc>
        <w:tc>
          <w:tcPr>
            <w:tcW w:type="dxa" w:w="1984"/>
            <w:shd w:fill="F0F4F8" w:val="clear"/>
          </w:tcPr>
          <w:p>
            <w:r>
              <w:rPr>
                <w:sz w:val="16"/>
              </w:rPr>
              <w:t>Bal, Europese Kaderrichtlijn Water</w:t>
            </w:r>
          </w:p>
        </w:tc>
        <w:tc>
          <w:tcPr>
            <w:tcW w:type="dxa" w:w="3402"/>
            <w:shd w:fill="F0F4F8" w:val="clear"/>
          </w:tcPr>
          <w:p>
            <w:r>
              <w:rPr>
                <w:sz w:val="16"/>
              </w:rPr>
              <w:t>Naast de reguliere parameters moet vanadium specifiek worden gemonitord in het afvalwater. Methode: ICP-MS of ICP-OES analyse op wekelijkse bemonstering (of frequentie conform vergunning). De detectielimiet moet voldoende laag zijn (&lt; 0,1 mg/l) om te verifiëren dat de lozing binnen vergunningsgrenzen blijft [3].</w:t>
            </w:r>
          </w:p>
        </w:tc>
        <w:tc>
          <w:tcPr>
            <w:tcW w:type="dxa" w:w="1701"/>
            <w:shd w:fill="F0F4F8" w:val="clear"/>
          </w:tcPr>
          <w:p>
            <w:r>
              <w:rPr>
                <w:sz w:val="16"/>
              </w:rPr>
              <w:t>Vanadium in afvalwater &lt; vergunningsgrens; wekelijkse analyse; detectielimiet &lt; 0,1 mg/l</w:t>
            </w:r>
          </w:p>
        </w:tc>
        <w:tc>
          <w:tcPr>
            <w:tcW w:type="dxa" w:w="1417"/>
            <w:shd w:fill="F0F4F8" w:val="clear"/>
          </w:tcPr>
          <w:p>
            <w:r>
              <w:rPr>
                <w:sz w:val="16"/>
              </w:rPr>
              <w:t>Analyserapporten vanadium in afvalwater</w:t>
            </w:r>
          </w:p>
        </w:tc>
        <w:tc>
          <w:tcPr>
            <w:tcW w:type="dxa" w:w="567"/>
            <w:shd w:fill="F0F4F8" w:val="clear"/>
          </w:tcPr>
          <w:p>
            <w:r>
              <w:rPr>
                <w:sz w:val="16"/>
              </w:rPr>
              <w:t>M</w:t>
            </w:r>
          </w:p>
        </w:tc>
        <w:tc>
          <w:tcPr>
            <w:tcW w:type="dxa" w:w="1417"/>
            <w:shd w:fill="F0F4F8" w:val="clear"/>
          </w:tcPr>
          <w:p>
            <w:r>
              <w:rPr>
                <w:sz w:val="16"/>
              </w:rPr>
              <w:t>HSEQ Manager</w:t>
            </w:r>
          </w:p>
        </w:tc>
      </w:tr>
      <w:tr>
        <w:tc>
          <w:tcPr>
            <w:tcW w:type="dxa" w:w="2551"/>
          </w:tcPr>
          <w:p>
            <w:r>
              <w:rPr>
                <w:sz w:val="16"/>
              </w:rPr>
              <w:t>Omgevingsvergunning verleend</w:t>
            </w:r>
          </w:p>
        </w:tc>
        <w:tc>
          <w:tcPr>
            <w:tcW w:type="dxa" w:w="1984"/>
          </w:tcPr>
          <w:p>
            <w:r>
              <w:rPr>
                <w:sz w:val="16"/>
              </w:rPr>
              <w:t>Omgevingswet</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TBD</w:t>
            </w:r>
          </w:p>
        </w:tc>
      </w:tr>
      <w:tr>
        <w:tc>
          <w:tcPr>
            <w:tcW w:type="dxa" w:w="2551"/>
            <w:shd w:fill="F0F4F8" w:val="clear"/>
          </w:tcPr>
          <w:p>
            <w:r>
              <w:rPr>
                <w:sz w:val="16"/>
              </w:rPr>
              <w:t>Emissies lucht &lt; grenswaarden</w:t>
            </w:r>
          </w:p>
        </w:tc>
        <w:tc>
          <w:tcPr>
            <w:tcW w:type="dxa" w:w="1984"/>
            <w:shd w:fill="F0F4F8" w:val="clear"/>
          </w:tcPr>
          <w:p>
            <w:r>
              <w:rPr>
                <w:sz w:val="16"/>
              </w:rPr>
              <w:t>Omgevingswet / PGS</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TBD</w:t>
            </w:r>
          </w:p>
        </w:tc>
      </w:tr>
      <w:tr>
        <w:tc>
          <w:tcPr>
            <w:tcW w:type="dxa" w:w="2551"/>
          </w:tcPr>
          <w:p>
            <w:r>
              <w:rPr>
                <w:sz w:val="16"/>
              </w:rPr>
              <w:t>Emissies water &lt; grenswaarden</w:t>
            </w:r>
          </w:p>
        </w:tc>
        <w:tc>
          <w:tcPr>
            <w:tcW w:type="dxa" w:w="1984"/>
          </w:tcPr>
          <w:p>
            <w:r>
              <w:rPr>
                <w:sz w:val="16"/>
              </w:rPr>
              <w:t>Waterwet</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TBD</w:t>
            </w:r>
          </w:p>
        </w:tc>
      </w:tr>
      <w:tr>
        <w:tc>
          <w:tcPr>
            <w:tcW w:type="dxa" w:w="2551"/>
            <w:shd w:fill="F0F4F8" w:val="clear"/>
          </w:tcPr>
          <w:p>
            <w:r>
              <w:rPr>
                <w:sz w:val="16"/>
              </w:rPr>
              <w:t>Bodememissies voorkomen</w:t>
            </w:r>
          </w:p>
        </w:tc>
        <w:tc>
          <w:tcPr>
            <w:tcW w:type="dxa" w:w="1984"/>
            <w:shd w:fill="F0F4F8" w:val="clear"/>
          </w:tcPr>
          <w:p>
            <w:r>
              <w:rPr>
                <w:sz w:val="16"/>
              </w:rPr>
              <w:t>Wet bodembescherming</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M</w:t>
            </w:r>
          </w:p>
        </w:tc>
        <w:tc>
          <w:tcPr>
            <w:tcW w:type="dxa" w:w="1417"/>
            <w:shd w:fill="F0F4F8" w:val="clear"/>
          </w:tcPr>
          <w:p>
            <w:r>
              <w:rPr>
                <w:sz w:val="16"/>
              </w:rPr>
              <w:t>TBD</w:t>
            </w:r>
          </w:p>
        </w:tc>
      </w:tr>
      <w:tr>
        <w:tc>
          <w:tcPr>
            <w:tcW w:type="dxa" w:w="2551"/>
          </w:tcPr>
          <w:p>
            <w:r>
              <w:rPr>
                <w:sz w:val="16"/>
              </w:rPr>
              <w:t>Afvalscheiding en -afvoer geregeld</w:t>
            </w:r>
          </w:p>
        </w:tc>
        <w:tc>
          <w:tcPr>
            <w:tcW w:type="dxa" w:w="1984"/>
          </w:tcPr>
          <w:p>
            <w:r>
              <w:rPr>
                <w:sz w:val="16"/>
              </w:rPr>
              <w:t>LAP3</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M</w:t>
            </w:r>
          </w:p>
        </w:tc>
        <w:tc>
          <w:tcPr>
            <w:tcW w:type="dxa" w:w="1417"/>
          </w:tcPr>
          <w:p>
            <w:r>
              <w:rPr>
                <w:sz w:val="16"/>
              </w:rPr>
              <w:t>TBD</w:t>
            </w:r>
          </w:p>
        </w:tc>
      </w:tr>
      <w:tr>
        <w:tc>
          <w:tcPr>
            <w:tcW w:type="dxa" w:w="2551"/>
            <w:shd w:fill="F0F4F8" w:val="clear"/>
          </w:tcPr>
          <w:p>
            <w:r>
              <w:rPr>
                <w:sz w:val="16"/>
              </w:rPr>
              <w:t>Geluidsnormen gehaald</w:t>
            </w:r>
          </w:p>
        </w:tc>
        <w:tc>
          <w:tcPr>
            <w:tcW w:type="dxa" w:w="1984"/>
            <w:shd w:fill="F0F4F8" w:val="clear"/>
          </w:tcPr>
          <w:p>
            <w:r>
              <w:rPr>
                <w:sz w:val="16"/>
              </w:rPr>
              <w:t>Omgevingswet</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M</w:t>
            </w:r>
          </w:p>
        </w:tc>
        <w:tc>
          <w:tcPr>
            <w:tcW w:type="dxa" w:w="1417"/>
            <w:shd w:fill="F0F4F8" w:val="clear"/>
          </w:tcPr>
          <w:p>
            <w:r>
              <w:rPr>
                <w:sz w:val="16"/>
              </w:rPr>
              <w:t>TBD</w:t>
            </w:r>
          </w:p>
        </w:tc>
      </w:tr>
      <w:tr>
        <w:tc>
          <w:tcPr>
            <w:tcW w:type="dxa" w:w="2551"/>
          </w:tcPr>
          <w:p>
            <w:r>
              <w:rPr>
                <w:sz w:val="16"/>
              </w:rPr>
              <w:t>Geurhinder beheerst</w:t>
            </w:r>
          </w:p>
        </w:tc>
        <w:tc>
          <w:tcPr>
            <w:tcW w:type="dxa" w:w="1984"/>
          </w:tcPr>
          <w:p>
            <w:r>
              <w:rPr>
                <w:sz w:val="16"/>
              </w:rPr>
              <w:t>Omgevingswet</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L</w:t>
            </w:r>
          </w:p>
        </w:tc>
        <w:tc>
          <w:tcPr>
            <w:tcW w:type="dxa" w:w="1417"/>
          </w:tcPr>
          <w:p>
            <w:r>
              <w:rPr>
                <w:sz w:val="16"/>
              </w:rPr>
              <w:t>TBD</w:t>
            </w:r>
          </w:p>
        </w:tc>
      </w:tr>
      <w:tr>
        <w:tc>
          <w:tcPr>
            <w:tcW w:type="dxa" w:w="2551"/>
            <w:shd w:fill="F0F4F8" w:val="clear"/>
          </w:tcPr>
          <w:p>
            <w:r>
              <w:rPr>
                <w:sz w:val="16"/>
              </w:rPr>
              <w:t>Lichthinder beperkt</w:t>
            </w:r>
          </w:p>
        </w:tc>
        <w:tc>
          <w:tcPr>
            <w:tcW w:type="dxa" w:w="1984"/>
            <w:shd w:fill="F0F4F8" w:val="clear"/>
          </w:tcPr>
          <w:p>
            <w:r>
              <w:rPr>
                <w:sz w:val="16"/>
              </w:rPr>
              <w:t>Omgevingswet</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L</w:t>
            </w:r>
          </w:p>
        </w:tc>
        <w:tc>
          <w:tcPr>
            <w:tcW w:type="dxa" w:w="1417"/>
            <w:shd w:fill="F0F4F8" w:val="clear"/>
          </w:tcPr>
          <w:p>
            <w:r>
              <w:rPr>
                <w:sz w:val="16"/>
              </w:rPr>
              <w:t>TBD</w:t>
            </w:r>
          </w:p>
        </w:tc>
      </w:tr>
      <w:tr>
        <w:tc>
          <w:tcPr>
            <w:tcW w:type="dxa" w:w="2551"/>
          </w:tcPr>
          <w:p>
            <w:r>
              <w:rPr>
                <w:sz w:val="16"/>
              </w:rPr>
              <w:t>Energiezuinig ontwerp</w:t>
            </w:r>
          </w:p>
        </w:tc>
        <w:tc>
          <w:tcPr>
            <w:tcW w:type="dxa" w:w="1984"/>
          </w:tcPr>
          <w:p>
            <w:r>
              <w:rPr>
                <w:sz w:val="16"/>
              </w:rPr>
              <w:t>Energiebesparingsplicht</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M</w:t>
            </w:r>
          </w:p>
        </w:tc>
        <w:tc>
          <w:tcPr>
            <w:tcW w:type="dxa" w:w="1417"/>
          </w:tcPr>
          <w:p>
            <w:r>
              <w:rPr>
                <w:sz w:val="16"/>
              </w:rPr>
              <w:t>TBD</w:t>
            </w:r>
          </w:p>
        </w:tc>
      </w:tr>
      <w:tr>
        <w:tc>
          <w:tcPr>
            <w:tcW w:type="dxa" w:w="2551"/>
            <w:shd w:fill="F0F4F8" w:val="clear"/>
          </w:tcPr>
          <w:p>
            <w:r>
              <w:rPr>
                <w:sz w:val="16"/>
              </w:rPr>
              <w:t>Circulaire bouw overwogen</w:t>
            </w:r>
          </w:p>
        </w:tc>
        <w:tc>
          <w:tcPr>
            <w:tcW w:type="dxa" w:w="1984"/>
            <w:shd w:fill="F0F4F8" w:val="clear"/>
          </w:tcPr>
          <w:p>
            <w:r>
              <w:rPr>
                <w:sz w:val="16"/>
              </w:rPr>
              <w:t>Omgevingswet</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L</w:t>
            </w:r>
          </w:p>
        </w:tc>
        <w:tc>
          <w:tcPr>
            <w:tcW w:type="dxa" w:w="1417"/>
            <w:shd w:fill="F0F4F8" w:val="clear"/>
          </w:tcPr>
          <w:p>
            <w:r>
              <w:rPr>
                <w:sz w:val="16"/>
              </w:rPr>
              <w:t>TBD</w:t>
            </w:r>
          </w:p>
        </w:tc>
      </w:tr>
      <w:tr>
        <w:tc>
          <w:tcPr>
            <w:tcW w:type="dxa" w:w="2551"/>
          </w:tcPr>
          <w:p>
            <w:r>
              <w:rPr>
                <w:sz w:val="16"/>
              </w:rPr>
              <w:t>Kadastrale grenscontrole uitgevoerd</w:t>
            </w:r>
          </w:p>
        </w:tc>
        <w:tc>
          <w:tcPr>
            <w:tcW w:type="dxa" w:w="1984"/>
          </w:tcPr>
          <w:p>
            <w:r>
              <w:rPr>
                <w:sz w:val="16"/>
              </w:rPr>
              <w:t>Kadasterwet</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L</w:t>
            </w:r>
          </w:p>
        </w:tc>
        <w:tc>
          <w:tcPr>
            <w:tcW w:type="dxa" w:w="1417"/>
          </w:tcPr>
          <w:p>
            <w:r>
              <w:rPr>
                <w:sz w:val="16"/>
              </w:rPr>
              <w:t>Project Manager</w:t>
            </w:r>
          </w:p>
        </w:tc>
      </w:tr>
      <w:tr>
        <w:tc>
          <w:tcPr>
            <w:tcW w:type="dxa" w:w="2551"/>
            <w:shd w:fill="F0F4F8" w:val="clear"/>
          </w:tcPr>
          <w:p>
            <w:r>
              <w:rPr>
                <w:sz w:val="16"/>
              </w:rPr>
              <w:t>Bestemmingsplanconformiteit gecheckt</w:t>
            </w:r>
          </w:p>
        </w:tc>
        <w:tc>
          <w:tcPr>
            <w:tcW w:type="dxa" w:w="1984"/>
            <w:shd w:fill="F0F4F8" w:val="clear"/>
          </w:tcPr>
          <w:p>
            <w:r>
              <w:rPr>
                <w:sz w:val="16"/>
              </w:rPr>
              <w:t>Wro</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Planoloog</w:t>
            </w:r>
          </w:p>
        </w:tc>
      </w:tr>
      <w:tr>
        <w:tc>
          <w:tcPr>
            <w:tcW w:type="dxa" w:w="2551"/>
          </w:tcPr>
          <w:p>
            <w:r>
              <w:rPr>
                <w:sz w:val="16"/>
              </w:rPr>
              <w:t>Afvalwater afkoppeling bouw</w:t>
            </w:r>
          </w:p>
        </w:tc>
        <w:tc>
          <w:tcPr>
            <w:tcW w:type="dxa" w:w="1984"/>
          </w:tcPr>
          <w:p>
            <w:r>
              <w:rPr>
                <w:sz w:val="16"/>
              </w:rPr>
              <w:t>Waterwet</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M</w:t>
            </w:r>
          </w:p>
        </w:tc>
        <w:tc>
          <w:tcPr>
            <w:tcW w:type="dxa" w:w="1417"/>
          </w:tcPr>
          <w:p>
            <w:r>
              <w:rPr>
                <w:sz w:val="16"/>
              </w:rPr>
              <w:t>Aannemer</w:t>
            </w:r>
          </w:p>
        </w:tc>
      </w:tr>
      <w:tr>
        <w:tc>
          <w:tcPr>
            <w:tcW w:type="dxa" w:w="2551"/>
            <w:shd w:fill="F0F4F8" w:val="clear"/>
          </w:tcPr>
          <w:p>
            <w:r>
              <w:rPr>
                <w:sz w:val="16"/>
              </w:rPr>
              <w:t>Communicatieplan omgeving opgesteld</w:t>
            </w:r>
          </w:p>
        </w:tc>
        <w:tc>
          <w:tcPr>
            <w:tcW w:type="dxa" w:w="1984"/>
            <w:shd w:fill="F0F4F8" w:val="clear"/>
          </w:tcPr>
          <w:p>
            <w:r>
              <w:rPr>
                <w:sz w:val="16"/>
              </w:rPr>
              <w:t>Omgevingswet</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M</w:t>
            </w:r>
          </w:p>
        </w:tc>
        <w:tc>
          <w:tcPr>
            <w:tcW w:type="dxa" w:w="1417"/>
            <w:shd w:fill="F0F4F8" w:val="clear"/>
          </w:tcPr>
          <w:p>
            <w:r>
              <w:rPr>
                <w:sz w:val="16"/>
              </w:rPr>
              <w:t>Communicatie</w:t>
            </w:r>
          </w:p>
        </w:tc>
      </w:tr>
      <w:tr>
        <w:tc>
          <w:tcPr>
            <w:tcW w:type="dxa" w:w="2551"/>
          </w:tcPr>
          <w:p>
            <w:r>
              <w:rPr>
                <w:sz w:val="16"/>
              </w:rPr>
              <w:t>Sanitair/Arbo-voorzieningen bouwplaats</w:t>
            </w:r>
          </w:p>
        </w:tc>
        <w:tc>
          <w:tcPr>
            <w:tcW w:type="dxa" w:w="1984"/>
          </w:tcPr>
          <w:p>
            <w:r>
              <w:rPr>
                <w:sz w:val="16"/>
              </w:rPr>
              <w:t>Arbobesluit 2.16</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Aannemer</w:t>
            </w:r>
          </w:p>
        </w:tc>
      </w:tr>
    </w:tbl>
    <w:p/>
    <w:p>
      <w:pPr>
        <w:pStyle w:val="Heading2"/>
      </w:pPr>
      <w:r>
        <w:t>3.3 PGS 15:2025</w:t>
      </w:r>
    </w:p>
    <w:p>
      <w:r>
        <w:t>(15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Opslagstructuur conform PGS 15:2025 ontworpen</w:t>
            </w:r>
          </w:p>
        </w:tc>
        <w:tc>
          <w:tcPr>
            <w:tcW w:type="dxa" w:w="1984"/>
          </w:tcPr>
          <w:p>
            <w:r>
              <w:rPr>
                <w:sz w:val="16"/>
              </w:rPr>
              <w:t>PGS 15:2025 §3-§4 (definitief 11 maart 2025)</w:t>
            </w:r>
          </w:p>
        </w:tc>
        <w:tc>
          <w:tcPr>
            <w:tcW w:type="dxa" w:w="3402"/>
          </w:tcPr>
          <w:p>
            <w:r>
              <w:rPr>
                <w:sz w:val="16"/>
              </w:rPr>
              <w:t>De opslag van verpakte gevaarlijke stoffen (H₂SO₄, HCl, NaOH, eventueel H₂O₂) moet conform PGS 15:2025 worden ontworpen. Dit omvat: brandwerende scheiding tussen opslagcompartimenten (minimaal REI 60), vloerafwerking met vloeistofdichte oppervlakte, lekdetectie en opvangbakken met capaciteit ≥ 110% van het grootste vat. De definitieve versie van PGS 15:2025 is gepubliceerd op 11 maart 2025 [4].</w:t>
            </w:r>
          </w:p>
        </w:tc>
        <w:tc>
          <w:tcPr>
            <w:tcW w:type="dxa" w:w="1701"/>
          </w:tcPr>
          <w:p>
            <w:r>
              <w:rPr>
                <w:sz w:val="16"/>
              </w:rPr>
              <w:t>Opslagontwerp conform PGS 15:2025; brandwerendheid REI 60; opvangcapaciteit ≥ 110%</w:t>
            </w:r>
          </w:p>
        </w:tc>
        <w:tc>
          <w:tcPr>
            <w:tcW w:type="dxa" w:w="1417"/>
          </w:tcPr>
          <w:p>
            <w:r>
              <w:rPr>
                <w:sz w:val="16"/>
              </w:rPr>
              <w:t>Opslagtekening + PGS 15 conformiteitsverklaring</w:t>
            </w:r>
          </w:p>
        </w:tc>
        <w:tc>
          <w:tcPr>
            <w:tcW w:type="dxa" w:w="567"/>
          </w:tcPr>
          <w:p>
            <w:r>
              <w:rPr>
                <w:sz w:val="16"/>
              </w:rPr>
              <w:t>H</w:t>
            </w:r>
          </w:p>
        </w:tc>
        <w:tc>
          <w:tcPr>
            <w:tcW w:type="dxa" w:w="1417"/>
          </w:tcPr>
          <w:p>
            <w:r>
              <w:rPr>
                <w:sz w:val="16"/>
              </w:rPr>
              <w:t>Project Engineer</w:t>
            </w:r>
          </w:p>
        </w:tc>
      </w:tr>
      <w:tr>
        <w:tc>
          <w:tcPr>
            <w:tcW w:type="dxa" w:w="2551"/>
            <w:shd w:fill="F0F4F8" w:val="clear"/>
          </w:tcPr>
          <w:p>
            <w:r>
              <w:rPr>
                <w:sz w:val="16"/>
              </w:rPr>
              <w:t>Ventilatie opslagruimte gedimensioneerd</w:t>
            </w:r>
          </w:p>
        </w:tc>
        <w:tc>
          <w:tcPr>
            <w:tcW w:type="dxa" w:w="1984"/>
            <w:shd w:fill="F0F4F8" w:val="clear"/>
          </w:tcPr>
          <w:p>
            <w:r>
              <w:rPr>
                <w:sz w:val="16"/>
              </w:rPr>
              <w:t>PGS 15:2025 §5</w:t>
            </w:r>
          </w:p>
        </w:tc>
        <w:tc>
          <w:tcPr>
            <w:tcW w:type="dxa" w:w="3402"/>
            <w:shd w:fill="F0F4F8" w:val="clear"/>
          </w:tcPr>
          <w:p>
            <w:r>
              <w:rPr>
                <w:sz w:val="16"/>
              </w:rPr>
              <w:t>Opslagruimten voor giftige of brandbare stoffen moeten voldoende ventilatie hebben om accumulatie van dampen te voorkomen. Voor H₂SO₄-opslag geldt een minimum van 6 luchtverversingen per uur, met gastight afzuiging op vloerniveau (zwaarder dan lucht). Het ventilatiesysteem moet worden aangesloten op een gaswasscher. Alarm bij ventilatiestoring [4].</w:t>
            </w:r>
          </w:p>
        </w:tc>
        <w:tc>
          <w:tcPr>
            <w:tcW w:type="dxa" w:w="1701"/>
            <w:shd w:fill="F0F4F8" w:val="clear"/>
          </w:tcPr>
          <w:p>
            <w:r>
              <w:rPr>
                <w:sz w:val="16"/>
              </w:rPr>
              <w:t>Ventilatie ≥ 6 lv/uur; aangesloten op gaswasser; alarm bij storing</w:t>
            </w:r>
          </w:p>
        </w:tc>
        <w:tc>
          <w:tcPr>
            <w:tcW w:type="dxa" w:w="1417"/>
            <w:shd w:fill="F0F4F8" w:val="clear"/>
          </w:tcPr>
          <w:p>
            <w:r>
              <w:rPr>
                <w:sz w:val="16"/>
              </w:rPr>
              <w:t>Ventilatieberekening + lay-outtekening</w:t>
            </w:r>
          </w:p>
        </w:tc>
        <w:tc>
          <w:tcPr>
            <w:tcW w:type="dxa" w:w="567"/>
            <w:shd w:fill="F0F4F8" w:val="clear"/>
          </w:tcPr>
          <w:p>
            <w:r>
              <w:rPr>
                <w:sz w:val="16"/>
              </w:rPr>
              <w:t>H</w:t>
            </w:r>
          </w:p>
        </w:tc>
        <w:tc>
          <w:tcPr>
            <w:tcW w:type="dxa" w:w="1417"/>
            <w:shd w:fill="F0F4F8" w:val="clear"/>
          </w:tcPr>
          <w:p>
            <w:r>
              <w:rPr>
                <w:sz w:val="16"/>
              </w:rPr>
              <w:t>Installateur</w:t>
            </w:r>
          </w:p>
        </w:tc>
      </w:tr>
      <w:tr>
        <w:tc>
          <w:tcPr>
            <w:tcW w:type="dxa" w:w="2551"/>
          </w:tcPr>
          <w:p>
            <w:r>
              <w:rPr>
                <w:sz w:val="16"/>
              </w:rPr>
              <w:t>Bluswateropvang conform PGS 15:2025 §7 berekend</w:t>
            </w:r>
          </w:p>
        </w:tc>
        <w:tc>
          <w:tcPr>
            <w:tcW w:type="dxa" w:w="1984"/>
          </w:tcPr>
          <w:p>
            <w:r>
              <w:rPr>
                <w:sz w:val="16"/>
              </w:rPr>
              <w:t>PGS 15:2025 §7</w:t>
            </w:r>
          </w:p>
        </w:tc>
        <w:tc>
          <w:tcPr>
            <w:tcW w:type="dxa" w:w="3402"/>
          </w:tcPr>
          <w:p>
            <w:r>
              <w:rPr>
                <w:sz w:val="16"/>
              </w:rPr>
              <w:t>De bluswateropvang moet voldoen aan de eis van minimaal 3x het opslagvolume of een berekende capaciteit op basis van de bluswaterhoeveelheid tijdens 2 uur brandbestrijding. Voor de pilot plant betekent dit een retentiebekken of opvangsysteem dat bluswater met zuur- en vanadiumverontreiniging opvangt. Het systeem moet voorzien zijn van een afsluitbare afvoer en pompinstallatie [4].</w:t>
            </w:r>
          </w:p>
        </w:tc>
        <w:tc>
          <w:tcPr>
            <w:tcW w:type="dxa" w:w="1701"/>
          </w:tcPr>
          <w:p>
            <w:r>
              <w:rPr>
                <w:sz w:val="16"/>
              </w:rPr>
              <w:t>Bluswateropvang ≥ 3x opslagvolume; afsluitbare afvoer; pompinstallatie beschikbaar</w:t>
            </w:r>
          </w:p>
        </w:tc>
        <w:tc>
          <w:tcPr>
            <w:tcW w:type="dxa" w:w="1417"/>
          </w:tcPr>
          <w:p>
            <w:r>
              <w:rPr>
                <w:sz w:val="16"/>
              </w:rPr>
              <w:t>Bluswaterberekening + ontwerp retentiebekken</w:t>
            </w:r>
          </w:p>
        </w:tc>
        <w:tc>
          <w:tcPr>
            <w:tcW w:type="dxa" w:w="567"/>
          </w:tcPr>
          <w:p>
            <w:r>
              <w:rPr>
                <w:sz w:val="16"/>
              </w:rPr>
              <w:t>H</w:t>
            </w:r>
          </w:p>
        </w:tc>
        <w:tc>
          <w:tcPr>
            <w:tcW w:type="dxa" w:w="1417"/>
          </w:tcPr>
          <w:p>
            <w:r>
              <w:rPr>
                <w:sz w:val="16"/>
              </w:rPr>
              <w:t>Proces Engineer</w:t>
            </w:r>
          </w:p>
        </w:tc>
      </w:tr>
      <w:tr>
        <w:tc>
          <w:tcPr>
            <w:tcW w:type="dxa" w:w="2551"/>
            <w:shd w:fill="F0F4F8" w:val="clear"/>
          </w:tcPr>
          <w:p>
            <w:r>
              <w:rPr>
                <w:sz w:val="16"/>
              </w:rPr>
              <w:t>SDS (Safety Data Sheets) beschikbaar voor alle opgeslagen stoffen</w:t>
            </w:r>
          </w:p>
        </w:tc>
        <w:tc>
          <w:tcPr>
            <w:tcW w:type="dxa" w:w="1984"/>
            <w:shd w:fill="F0F4F8" w:val="clear"/>
          </w:tcPr>
          <w:p>
            <w:r>
              <w:rPr>
                <w:sz w:val="16"/>
              </w:rPr>
              <w:t>REACH art. 31, CLP art. 41, PGS 15:2025 §9</w:t>
            </w:r>
          </w:p>
        </w:tc>
        <w:tc>
          <w:tcPr>
            <w:tcW w:type="dxa" w:w="3402"/>
            <w:shd w:fill="F0F4F8" w:val="clear"/>
          </w:tcPr>
          <w:p>
            <w:r>
              <w:rPr>
                <w:sz w:val="16"/>
              </w:rPr>
              <w:t>Voor elke opgeslagen gevaarlijke stof moet een actuele SDS beschikbaar zijn (niet ouder dan 3 jaar, in de taal van de werknemers). De SDS moet toegankelijk zijn in de opslagruimte en op de werkplek. Digitaal archiveren is toegestaan mits altijd bereikbaar. De SDS-informatie moet zijn verwerkt in de instructiekaarten (WIC/VIK) [5][6].</w:t>
            </w:r>
          </w:p>
        </w:tc>
        <w:tc>
          <w:tcPr>
            <w:tcW w:type="dxa" w:w="1701"/>
            <w:shd w:fill="F0F4F8" w:val="clear"/>
          </w:tcPr>
          <w:p>
            <w:r>
              <w:rPr>
                <w:sz w:val="16"/>
              </w:rPr>
              <w:t>SDS beschikbaar voor 100% van opgeslagen stoffen; in het Nederlands; niet ouder dan 3 jaar</w:t>
            </w:r>
          </w:p>
        </w:tc>
        <w:tc>
          <w:tcPr>
            <w:tcW w:type="dxa" w:w="1417"/>
            <w:shd w:fill="F0F4F8" w:val="clear"/>
          </w:tcPr>
          <w:p>
            <w:r>
              <w:rPr>
                <w:sz w:val="16"/>
              </w:rPr>
              <w:t>SDS-archief + inventarisatielijst</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Lekdetectie en opvangbakken voor vloeistofopslag</w:t>
            </w:r>
          </w:p>
        </w:tc>
        <w:tc>
          <w:tcPr>
            <w:tcW w:type="dxa" w:w="1984"/>
          </w:tcPr>
          <w:p>
            <w:r>
              <w:rPr>
                <w:sz w:val="16"/>
              </w:rPr>
              <w:t>PGS 15:2025 §6</w:t>
            </w:r>
          </w:p>
        </w:tc>
        <w:tc>
          <w:tcPr>
            <w:tcW w:type="dxa" w:w="3402"/>
          </w:tcPr>
          <w:p>
            <w:r>
              <w:rPr>
                <w:sz w:val="16"/>
              </w:rPr>
              <w:t>Elke vloeistofopslag (zuren, basen) moet zijn voorzien van lekdetectie (visueel of elektronisch) en opvangbakken. De opvangcapaciteit moet minimaal 110% van het grootste enkele vat bedragen. Bij meervoudige opslag moet de capaciteit 110% van het grootste vat + 10% van de rest bedragen. Vloeren moeten chemisch bestendig zijn [4].</w:t>
            </w:r>
          </w:p>
        </w:tc>
        <w:tc>
          <w:tcPr>
            <w:tcW w:type="dxa" w:w="1701"/>
          </w:tcPr>
          <w:p>
            <w:r>
              <w:rPr>
                <w:sz w:val="16"/>
              </w:rPr>
              <w:t>Opvangcapaciteit ≥ 110% grootste vat; lekdetectie functioneel; vloer chemisch bestendig</w:t>
            </w:r>
          </w:p>
        </w:tc>
        <w:tc>
          <w:tcPr>
            <w:tcW w:type="dxa" w:w="1417"/>
          </w:tcPr>
          <w:p>
            <w:r>
              <w:rPr>
                <w:sz w:val="16"/>
              </w:rPr>
              <w:t>Opvangbakberekening + lekdetectieplan</w:t>
            </w:r>
          </w:p>
        </w:tc>
        <w:tc>
          <w:tcPr>
            <w:tcW w:type="dxa" w:w="567"/>
          </w:tcPr>
          <w:p>
            <w:r>
              <w:rPr>
                <w:sz w:val="16"/>
              </w:rPr>
              <w:t>H</w:t>
            </w:r>
          </w:p>
        </w:tc>
        <w:tc>
          <w:tcPr>
            <w:tcW w:type="dxa" w:w="1417"/>
          </w:tcPr>
          <w:p>
            <w:r>
              <w:rPr>
                <w:sz w:val="16"/>
              </w:rPr>
              <w:t>Project Engineer</w:t>
            </w:r>
          </w:p>
        </w:tc>
      </w:tr>
      <w:tr>
        <w:tc>
          <w:tcPr>
            <w:tcW w:type="dxa" w:w="2551"/>
            <w:shd w:fill="F0F4F8" w:val="clear"/>
          </w:tcPr>
          <w:p>
            <w:r>
              <w:rPr>
                <w:sz w:val="16"/>
              </w:rPr>
              <w:t>Stoffen geclassificeerd</w:t>
            </w:r>
          </w:p>
        </w:tc>
        <w:tc>
          <w:tcPr>
            <w:tcW w:type="dxa" w:w="1984"/>
            <w:shd w:fill="F0F4F8" w:val="clear"/>
          </w:tcPr>
          <w:p>
            <w:r>
              <w:rPr>
                <w:sz w:val="16"/>
              </w:rPr>
              <w:t>PGS 15:2025</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TBD</w:t>
            </w:r>
          </w:p>
        </w:tc>
      </w:tr>
      <w:tr>
        <w:tc>
          <w:tcPr>
            <w:tcW w:type="dxa" w:w="2551"/>
          </w:tcPr>
          <w:p>
            <w:r>
              <w:rPr>
                <w:sz w:val="16"/>
              </w:rPr>
              <w:t>Hoeveelheden geïnventariseerd</w:t>
            </w:r>
          </w:p>
        </w:tc>
        <w:tc>
          <w:tcPr>
            <w:tcW w:type="dxa" w:w="1984"/>
          </w:tcPr>
          <w:p>
            <w:r>
              <w:rPr>
                <w:sz w:val="16"/>
              </w:rPr>
              <w:t>PGS 15:2025</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TBD</w:t>
            </w:r>
          </w:p>
        </w:tc>
      </w:tr>
      <w:tr>
        <w:tc>
          <w:tcPr>
            <w:tcW w:type="dxa" w:w="2551"/>
            <w:shd w:fill="F0F4F8" w:val="clear"/>
          </w:tcPr>
          <w:p>
            <w:r>
              <w:rPr>
                <w:sz w:val="16"/>
              </w:rPr>
              <w:t>Opslageisen (constructie, ventilatie)</w:t>
            </w:r>
          </w:p>
        </w:tc>
        <w:tc>
          <w:tcPr>
            <w:tcW w:type="dxa" w:w="1984"/>
            <w:shd w:fill="F0F4F8" w:val="clear"/>
          </w:tcPr>
          <w:p>
            <w:r>
              <w:rPr>
                <w:sz w:val="16"/>
              </w:rPr>
              <w:t>PGS 15:2025</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TBD</w:t>
            </w:r>
          </w:p>
        </w:tc>
      </w:tr>
      <w:tr>
        <w:tc>
          <w:tcPr>
            <w:tcW w:type="dxa" w:w="2551"/>
          </w:tcPr>
          <w:p>
            <w:r>
              <w:rPr>
                <w:sz w:val="16"/>
              </w:rPr>
              <w:t>Afstanden tot panden/terrein voldoen</w:t>
            </w:r>
          </w:p>
        </w:tc>
        <w:tc>
          <w:tcPr>
            <w:tcW w:type="dxa" w:w="1984"/>
          </w:tcPr>
          <w:p>
            <w:r>
              <w:rPr>
                <w:sz w:val="16"/>
              </w:rPr>
              <w:t>PGS 15:2025</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TBD</w:t>
            </w:r>
          </w:p>
        </w:tc>
      </w:tr>
      <w:tr>
        <w:tc>
          <w:tcPr>
            <w:tcW w:type="dxa" w:w="2551"/>
            <w:shd w:fill="F0F4F8" w:val="clear"/>
          </w:tcPr>
          <w:p>
            <w:r>
              <w:rPr>
                <w:sz w:val="16"/>
              </w:rPr>
              <w:t>Overvulbeveiliging geïnstalleerd</w:t>
            </w:r>
          </w:p>
        </w:tc>
        <w:tc>
          <w:tcPr>
            <w:tcW w:type="dxa" w:w="1984"/>
            <w:shd w:fill="F0F4F8" w:val="clear"/>
          </w:tcPr>
          <w:p>
            <w:r>
              <w:rPr>
                <w:sz w:val="16"/>
              </w:rPr>
              <w:t>PGS 15:2025</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TBD</w:t>
            </w:r>
          </w:p>
        </w:tc>
      </w:tr>
      <w:tr>
        <w:tc>
          <w:tcPr>
            <w:tcW w:type="dxa" w:w="2551"/>
          </w:tcPr>
          <w:p>
            <w:r>
              <w:rPr>
                <w:sz w:val="16"/>
              </w:rPr>
              <w:t>Lekbakken/parkeringsdorp aanwezig</w:t>
            </w:r>
          </w:p>
        </w:tc>
        <w:tc>
          <w:tcPr>
            <w:tcW w:type="dxa" w:w="1984"/>
          </w:tcPr>
          <w:p>
            <w:r>
              <w:rPr>
                <w:sz w:val="16"/>
              </w:rPr>
              <w:t>PGS 15:2025</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TBD</w:t>
            </w:r>
          </w:p>
        </w:tc>
      </w:tr>
      <w:tr>
        <w:tc>
          <w:tcPr>
            <w:tcW w:type="dxa" w:w="2551"/>
            <w:shd w:fill="F0F4F8" w:val="clear"/>
          </w:tcPr>
          <w:p>
            <w:r>
              <w:rPr>
                <w:sz w:val="16"/>
              </w:rPr>
              <w:t>Detectie (gas/vloeistof) actief</w:t>
            </w:r>
          </w:p>
        </w:tc>
        <w:tc>
          <w:tcPr>
            <w:tcW w:type="dxa" w:w="1984"/>
            <w:shd w:fill="F0F4F8" w:val="clear"/>
          </w:tcPr>
          <w:p>
            <w:r>
              <w:rPr>
                <w:sz w:val="16"/>
              </w:rPr>
              <w:t>PGS 15:2025</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TBD</w:t>
            </w:r>
          </w:p>
        </w:tc>
      </w:tr>
      <w:tr>
        <w:tc>
          <w:tcPr>
            <w:tcW w:type="dxa" w:w="2551"/>
          </w:tcPr>
          <w:p>
            <w:r>
              <w:rPr>
                <w:sz w:val="16"/>
              </w:rPr>
              <w:t>Blusvoorzieningen conform</w:t>
            </w:r>
          </w:p>
        </w:tc>
        <w:tc>
          <w:tcPr>
            <w:tcW w:type="dxa" w:w="1984"/>
          </w:tcPr>
          <w:p>
            <w:r>
              <w:rPr>
                <w:sz w:val="16"/>
              </w:rPr>
              <w:t>PGS 15:2025</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TBD</w:t>
            </w:r>
          </w:p>
        </w:tc>
      </w:tr>
      <w:tr>
        <w:tc>
          <w:tcPr>
            <w:tcW w:type="dxa" w:w="2551"/>
            <w:shd w:fill="F0F4F8" w:val="clear"/>
          </w:tcPr>
          <w:p>
            <w:r>
              <w:rPr>
                <w:sz w:val="16"/>
              </w:rPr>
              <w:t>Vergunning opslag verleend</w:t>
            </w:r>
          </w:p>
        </w:tc>
        <w:tc>
          <w:tcPr>
            <w:tcW w:type="dxa" w:w="1984"/>
            <w:shd w:fill="F0F4F8" w:val="clear"/>
          </w:tcPr>
          <w:p>
            <w:r>
              <w:rPr>
                <w:sz w:val="16"/>
              </w:rPr>
              <w:t>Omgevingswet</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TBD</w:t>
            </w:r>
          </w:p>
        </w:tc>
      </w:tr>
      <w:tr>
        <w:tc>
          <w:tcPr>
            <w:tcW w:type="dxa" w:w="2551"/>
          </w:tcPr>
          <w:p>
            <w:r>
              <w:rPr>
                <w:sz w:val="16"/>
              </w:rPr>
              <w:t>Periodieke keuringen ingepland</w:t>
            </w:r>
          </w:p>
        </w:tc>
        <w:tc>
          <w:tcPr>
            <w:tcW w:type="dxa" w:w="1984"/>
          </w:tcPr>
          <w:p>
            <w:r>
              <w:rPr>
                <w:sz w:val="16"/>
              </w:rPr>
              <w:t>PGS 15:2025</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M</w:t>
            </w:r>
          </w:p>
        </w:tc>
        <w:tc>
          <w:tcPr>
            <w:tcW w:type="dxa" w:w="1417"/>
          </w:tcPr>
          <w:p>
            <w:r>
              <w:rPr>
                <w:sz w:val="16"/>
              </w:rPr>
              <w:t>TBD</w:t>
            </w:r>
          </w:p>
        </w:tc>
      </w:tr>
    </w:tbl>
    <w:p/>
    <w:p>
      <w:pPr>
        <w:pStyle w:val="Heading2"/>
      </w:pPr>
      <w:r>
        <w:t>3.4 REACH/CLP</w:t>
      </w:r>
    </w:p>
    <w:p>
      <w:r>
        <w:t>(3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PPORD notificatie bij ECHA ingediend</w:t>
            </w:r>
          </w:p>
        </w:tc>
        <w:tc>
          <w:tcPr>
            <w:tcW w:type="dxa" w:w="1984"/>
          </w:tcPr>
          <w:p>
            <w:r>
              <w:rPr>
                <w:sz w:val="16"/>
              </w:rPr>
              <w:t>REACH art. 56(4)(b), ECHA PPORD guidance</w:t>
            </w:r>
          </w:p>
        </w:tc>
        <w:tc>
          <w:tcPr>
            <w:tcW w:type="dxa" w:w="3402"/>
          </w:tcPr>
          <w:p>
            <w:r>
              <w:rPr>
                <w:sz w:val="16"/>
              </w:rPr>
              <w:t>Voor product- en procesgeoriënteerd onderzoek en ontwikkeling (PPORD) geldt een 5-jaar vrijstelling van REACH-registratie. De Phoenix Metals pilot plant kwalificeert als PPORD. De notificatie moet bij ECHA worden ingediend vóór aanvang, inclusief: stofidentiteit, verwachte hoeveelheden (tonnage), beheersmaatregelen en een beschrijving van het onderzoek [5].</w:t>
            </w:r>
          </w:p>
        </w:tc>
        <w:tc>
          <w:tcPr>
            <w:tcW w:type="dxa" w:w="1701"/>
          </w:tcPr>
          <w:p>
            <w:r>
              <w:rPr>
                <w:sz w:val="16"/>
              </w:rPr>
              <w:t>PPORD notificatie bevestigd door ECHA; referentienummer beschikbaar</w:t>
            </w:r>
          </w:p>
        </w:tc>
        <w:tc>
          <w:tcPr>
            <w:tcW w:type="dxa" w:w="1417"/>
          </w:tcPr>
          <w:p>
            <w:r>
              <w:rPr>
                <w:sz w:val="16"/>
              </w:rPr>
              <w:t>ECHA PPORD bevestigingsbrief</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Zelfclassificatie vanadiumverbindingen conform CLP amendement</w:t>
            </w:r>
          </w:p>
        </w:tc>
        <w:tc>
          <w:tcPr>
            <w:tcW w:type="dxa" w:w="1984"/>
            <w:shd w:fill="F0F4F8" w:val="clear"/>
          </w:tcPr>
          <w:p>
            <w:r>
              <w:rPr>
                <w:sz w:val="16"/>
              </w:rPr>
              <w:t>CLP 1272/2008, (EU) 2024/2865</w:t>
            </w:r>
          </w:p>
        </w:tc>
        <w:tc>
          <w:tcPr>
            <w:tcW w:type="dxa" w:w="3402"/>
            <w:shd w:fill="F0F4F8" w:val="clear"/>
          </w:tcPr>
          <w:p>
            <w:r>
              <w:rPr>
                <w:sz w:val="16"/>
              </w:rPr>
              <w:t>De zelfclassificatie van vanadiumverbindingen moet conform de nieuwste CLP-amendementen. V₂O₅ is Repr. 1B (H360D — kan schade aan het ongeboren kind veroorzaken), Acute Tox. 2 (H330 — dodelijk bij inademing), Skin Corr. 1B (H314). Per amendement (EU) 2024/2865 zijn nieuwe gevaarklassen van kracht (endocriene verstoorders, PFAS-gerelateerd) die moeten worden geëvalueerd [6].</w:t>
            </w:r>
          </w:p>
        </w:tc>
        <w:tc>
          <w:tcPr>
            <w:tcW w:type="dxa" w:w="1701"/>
            <w:shd w:fill="F0F4F8" w:val="clear"/>
          </w:tcPr>
          <w:p>
            <w:r>
              <w:rPr>
                <w:sz w:val="16"/>
              </w:rPr>
              <w:t>Alle vanadiumverbindingen geclassificeerd conform CLP inclusief (EU) 2024/2865 amendementen</w:t>
            </w:r>
          </w:p>
        </w:tc>
        <w:tc>
          <w:tcPr>
            <w:tcW w:type="dxa" w:w="1417"/>
            <w:shd w:fill="F0F4F8" w:val="clear"/>
          </w:tcPr>
          <w:p>
            <w:r>
              <w:rPr>
                <w:sz w:val="16"/>
              </w:rPr>
              <w:t>Classificatieoverzicht + CLP-labelspecificaties</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Nieuwe CLP-gevaarklassen geëvalueerd (EU) 2024/2865</w:t>
            </w:r>
          </w:p>
        </w:tc>
        <w:tc>
          <w:tcPr>
            <w:tcW w:type="dxa" w:w="1984"/>
          </w:tcPr>
          <w:p>
            <w:r>
              <w:rPr>
                <w:sz w:val="16"/>
              </w:rPr>
              <w:t>(EU) 2024/2865, art. 1-3</w:t>
            </w:r>
          </w:p>
        </w:tc>
        <w:tc>
          <w:tcPr>
            <w:tcW w:type="dxa" w:w="3402"/>
          </w:tcPr>
          <w:p>
            <w:r>
              <w:rPr>
                <w:sz w:val="16"/>
              </w:rPr>
              <w:t>Het amendement (EU) 2024/2865 introduceert nieuwe gevaarklassen voor endocriene verstoorders (Cat. 1 en 2), PFAS-gerelateerde eigenschappen, en persistent/mobiele stoffen in water. Voor de pilot plant moet worden geëvalueerd of vanadiumverbindingen onder deze nieuwe klassen vallen. Self-classification is verplicht per de inwerkingtredingsdatum [6].</w:t>
            </w:r>
          </w:p>
        </w:tc>
        <w:tc>
          <w:tcPr>
            <w:tcW w:type="dxa" w:w="1701"/>
          </w:tcPr>
          <w:p>
            <w:r>
              <w:rPr>
                <w:sz w:val="16"/>
              </w:rPr>
              <w:t>Evaluatie nieuwe gevaarklassen afgerond; classificatie bijgewerkt</w:t>
            </w:r>
          </w:p>
        </w:tc>
        <w:tc>
          <w:tcPr>
            <w:tcW w:type="dxa" w:w="1417"/>
          </w:tcPr>
          <w:p>
            <w:r>
              <w:rPr>
                <w:sz w:val="16"/>
              </w:rPr>
              <w:t>CLP-evaluatierapport nieuwe gevaarklassen</w:t>
            </w:r>
          </w:p>
        </w:tc>
        <w:tc>
          <w:tcPr>
            <w:tcW w:type="dxa" w:w="567"/>
          </w:tcPr>
          <w:p>
            <w:r>
              <w:rPr>
                <w:sz w:val="16"/>
              </w:rPr>
              <w:t>M</w:t>
            </w:r>
          </w:p>
        </w:tc>
        <w:tc>
          <w:tcPr>
            <w:tcW w:type="dxa" w:w="1417"/>
          </w:tcPr>
          <w:p>
            <w:r>
              <w:rPr>
                <w:sz w:val="16"/>
              </w:rPr>
              <w:t>HSEQ Manager</w:t>
            </w:r>
          </w:p>
        </w:tc>
      </w:tr>
    </w:tbl>
    <w:p/>
    <w:p>
      <w:pPr>
        <w:pStyle w:val="Heading2"/>
      </w:pPr>
      <w:r>
        <w:t>3.5 Brand &amp; Explosie</w:t>
      </w:r>
    </w:p>
    <w:p>
      <w:r>
        <w:t>(22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ATEX zone-indeling uitgevoerd voor volledige installatie</w:t>
            </w:r>
          </w:p>
        </w:tc>
        <w:tc>
          <w:tcPr>
            <w:tcW w:type="dxa" w:w="1984"/>
          </w:tcPr>
          <w:p>
            <w:r>
              <w:rPr>
                <w:sz w:val="16"/>
              </w:rPr>
              <w:t>ATEX 2014/34/EU, ATEX 1999/92/EG</w:t>
            </w:r>
          </w:p>
        </w:tc>
        <w:tc>
          <w:tcPr>
            <w:tcW w:type="dxa" w:w="3402"/>
          </w:tcPr>
          <w:p>
            <w:r>
              <w:rPr>
                <w:sz w:val="16"/>
              </w:rPr>
              <w:t>De ATEX zone-indeling moet rekening houden met alle potentieel explosieve atmosferen: waterstofgas (bij elektrolyse of corrosie), stof (V₂O₅, slib), en eventueel oplosmiddelen. Per zone moet worden bepaald: zone-indeling (0/1/2 voor gas, 20/21/22 voor stof), bronnen van ontsteking, en vereiste apparatuurcategorie. De zone-indeling moet gedocumenteerd zijn op ATEX-tekeningen [8].</w:t>
            </w:r>
          </w:p>
        </w:tc>
        <w:tc>
          <w:tcPr>
            <w:tcW w:type="dxa" w:w="1701"/>
          </w:tcPr>
          <w:p>
            <w:r>
              <w:rPr>
                <w:sz w:val="16"/>
              </w:rPr>
              <w:t>ATEX zone-indeling compleet; alle zones gedefinieerd op tekening; apparatuurcategorie bepaald</w:t>
            </w:r>
          </w:p>
        </w:tc>
        <w:tc>
          <w:tcPr>
            <w:tcW w:type="dxa" w:w="1417"/>
          </w:tcPr>
          <w:p>
            <w:r>
              <w:rPr>
                <w:sz w:val="16"/>
              </w:rPr>
              <w:t>ATEX zone-indelingsrapport + ATEX-tekeningen</w:t>
            </w:r>
          </w:p>
        </w:tc>
        <w:tc>
          <w:tcPr>
            <w:tcW w:type="dxa" w:w="567"/>
          </w:tcPr>
          <w:p>
            <w:r>
              <w:rPr>
                <w:sz w:val="16"/>
              </w:rPr>
              <w:t>H</w:t>
            </w:r>
          </w:p>
        </w:tc>
        <w:tc>
          <w:tcPr>
            <w:tcW w:type="dxa" w:w="1417"/>
          </w:tcPr>
          <w:p>
            <w:r>
              <w:rPr>
                <w:sz w:val="16"/>
              </w:rPr>
              <w:t>Explosieveiligingsdeskundige</w:t>
            </w:r>
          </w:p>
        </w:tc>
      </w:tr>
      <w:tr>
        <w:tc>
          <w:tcPr>
            <w:tcW w:type="dxa" w:w="2551"/>
            <w:shd w:fill="F0F4F8" w:val="clear"/>
          </w:tcPr>
          <w:p>
            <w:r>
              <w:rPr>
                <w:sz w:val="16"/>
              </w:rPr>
              <w:t>Stofexplosiedocument (Kst-waarde) opgesteld</w:t>
            </w:r>
          </w:p>
        </w:tc>
        <w:tc>
          <w:tcPr>
            <w:tcW w:type="dxa" w:w="1984"/>
            <w:shd w:fill="F0F4F8" w:val="clear"/>
          </w:tcPr>
          <w:p>
            <w:r>
              <w:rPr>
                <w:sz w:val="16"/>
              </w:rPr>
              <w:t>NEN-EN 14034, Arbobesluit art. 3.2c</w:t>
            </w:r>
          </w:p>
        </w:tc>
        <w:tc>
          <w:tcPr>
            <w:tcW w:type="dxa" w:w="3402"/>
            <w:shd w:fill="F0F4F8" w:val="clear"/>
          </w:tcPr>
          <w:p>
            <w:r>
              <w:rPr>
                <w:sz w:val="16"/>
              </w:rPr>
              <w:t>Vanadiumstof uit het extractieproces moet worden gekarakteriseerd op explosiegevaarlijkheid. De Kst-waarde (stofexplosieconstante), Pmax (maximale explosiedruk) en MIT (minimum ontstekingstemperatuur) moeten worden bepaald in een lab. Indien Kst &gt; 0 is het stof explosiegevaarlijk en moeten maatregelen worden genomen: explosiedrukventilatie, explosieonderdrukking of inertisering [8].</w:t>
            </w:r>
          </w:p>
        </w:tc>
        <w:tc>
          <w:tcPr>
            <w:tcW w:type="dxa" w:w="1701"/>
            <w:shd w:fill="F0F4F8" w:val="clear"/>
          </w:tcPr>
          <w:p>
            <w:r>
              <w:rPr>
                <w:sz w:val="16"/>
              </w:rPr>
              <w:t>Kst-waarde bepaald; bij Kst &gt; 0: explosiebeveiligingsmaatregelen gedocumenteerd</w:t>
            </w:r>
          </w:p>
        </w:tc>
        <w:tc>
          <w:tcPr>
            <w:tcW w:type="dxa" w:w="1417"/>
            <w:shd w:fill="F0F4F8" w:val="clear"/>
          </w:tcPr>
          <w:p>
            <w:r>
              <w:rPr>
                <w:sz w:val="16"/>
              </w:rPr>
              <w:t>Stofexplosie-rapport (Kst, Pmax, MIT)</w:t>
            </w:r>
          </w:p>
        </w:tc>
        <w:tc>
          <w:tcPr>
            <w:tcW w:type="dxa" w:w="567"/>
            <w:shd w:fill="F0F4F8" w:val="clear"/>
          </w:tcPr>
          <w:p>
            <w:r>
              <w:rPr>
                <w:sz w:val="16"/>
              </w:rPr>
              <w:t>H</w:t>
            </w:r>
          </w:p>
        </w:tc>
        <w:tc>
          <w:tcPr>
            <w:tcW w:type="dxa" w:w="1417"/>
            <w:shd w:fill="F0F4F8" w:val="clear"/>
          </w:tcPr>
          <w:p>
            <w:r>
              <w:rPr>
                <w:sz w:val="16"/>
              </w:rPr>
              <w:t>Explosieveiligingsdeskundige</w:t>
            </w:r>
          </w:p>
        </w:tc>
      </w:tr>
      <w:tr>
        <w:tc>
          <w:tcPr>
            <w:tcW w:type="dxa" w:w="2551"/>
          </w:tcPr>
          <w:p>
            <w:r>
              <w:rPr>
                <w:sz w:val="16"/>
              </w:rPr>
              <w:t>PFAS-vrij blusschuim gespecificeerd en getest</w:t>
            </w:r>
          </w:p>
        </w:tc>
        <w:tc>
          <w:tcPr>
            <w:tcW w:type="dxa" w:w="1984"/>
          </w:tcPr>
          <w:p>
            <w:r>
              <w:rPr>
                <w:sz w:val="16"/>
              </w:rPr>
              <w:t>REACH PFAS restrictievoorstel, PGS 15:2025</w:t>
            </w:r>
          </w:p>
        </w:tc>
        <w:tc>
          <w:tcPr>
            <w:tcW w:type="dxa" w:w="3402"/>
          </w:tcPr>
          <w:p>
            <w:r>
              <w:rPr>
                <w:sz w:val="16"/>
              </w:rPr>
              <w:t>Alle blusschuiminstallaties in de pilot plant moeten PFAS-vrij schuim gebruiken (fluorvrij). Beschikbare alternatieven zijn op basis van synthetische schuimvormers (zoals Fomtec of equivalent). Het schuim moet geschikt zijn voor klasse B-branden (vloeistoffen) en compatibel met de opgeslagen stoffen (zuren). Het schuim moet getest zijn conform EN 1568 [20].</w:t>
            </w:r>
          </w:p>
        </w:tc>
        <w:tc>
          <w:tcPr>
            <w:tcW w:type="dxa" w:w="1701"/>
          </w:tcPr>
          <w:p>
            <w:r>
              <w:rPr>
                <w:sz w:val="16"/>
              </w:rPr>
              <w:t>PFAS-vrij schuim geselecteerd; getest conform EN 1568; compatibel met zuren</w:t>
            </w:r>
          </w:p>
        </w:tc>
        <w:tc>
          <w:tcPr>
            <w:tcW w:type="dxa" w:w="1417"/>
          </w:tcPr>
          <w:p>
            <w:r>
              <w:rPr>
                <w:sz w:val="16"/>
              </w:rPr>
              <w:t>Schuimtestrapport + leveranciersverklaring PFAS-vrij</w:t>
            </w:r>
          </w:p>
        </w:tc>
        <w:tc>
          <w:tcPr>
            <w:tcW w:type="dxa" w:w="567"/>
          </w:tcPr>
          <w:p>
            <w:r>
              <w:rPr>
                <w:sz w:val="16"/>
              </w:rPr>
              <w:t>H</w:t>
            </w:r>
          </w:p>
        </w:tc>
        <w:tc>
          <w:tcPr>
            <w:tcW w:type="dxa" w:w="1417"/>
          </w:tcPr>
          <w:p>
            <w:r>
              <w:rPr>
                <w:sz w:val="16"/>
              </w:rPr>
              <w:t>Brandveiligheidsadviseur</w:t>
            </w:r>
          </w:p>
        </w:tc>
      </w:tr>
      <w:tr>
        <w:tc>
          <w:tcPr>
            <w:tcW w:type="dxa" w:w="2551"/>
            <w:shd w:fill="F0F4F8" w:val="clear"/>
          </w:tcPr>
          <w:p>
            <w:r>
              <w:rPr>
                <w:sz w:val="16"/>
              </w:rPr>
              <w:t>Spill containment zuren (H₂SO₄, HCl) — retentiebekken ontworpen</w:t>
            </w:r>
          </w:p>
        </w:tc>
        <w:tc>
          <w:tcPr>
            <w:tcW w:type="dxa" w:w="1984"/>
            <w:shd w:fill="F0F4F8" w:val="clear"/>
          </w:tcPr>
          <w:p>
            <w:r>
              <w:rPr>
                <w:sz w:val="16"/>
              </w:rPr>
              <w:t>PGS 15:2025, Bal</w:t>
            </w:r>
          </w:p>
        </w:tc>
        <w:tc>
          <w:tcPr>
            <w:tcW w:type="dxa" w:w="3402"/>
            <w:shd w:fill="F0F4F8" w:val="clear"/>
          </w:tcPr>
          <w:p>
            <w:r>
              <w:rPr>
                <w:sz w:val="16"/>
              </w:rPr>
              <w:t>Het spill containment systeem voor zuren moet bestaan uit: randen/opvangbakken rond tanks (110% grootste vat), gekozen retentiebekken voor grote lekkage, en noodafvoer naar opvangtank. Het materiaal moet bestendig zijn tegen 98% H₂SO₄ en 37% HCl (PVDF, PTFE-bekeleding of equivalente coating). De capaciteit moet worden berekend op basis van het maximale lekscenario [4].</w:t>
            </w:r>
          </w:p>
        </w:tc>
        <w:tc>
          <w:tcPr>
            <w:tcW w:type="dxa" w:w="1701"/>
            <w:shd w:fill="F0F4F8" w:val="clear"/>
          </w:tcPr>
          <w:p>
            <w:r>
              <w:rPr>
                <w:sz w:val="16"/>
              </w:rPr>
              <w:t>Spill containment capaciteit ≥ maximaal lekscenario; materiaal bestand tegen 98% H₂SO₄</w:t>
            </w:r>
          </w:p>
        </w:tc>
        <w:tc>
          <w:tcPr>
            <w:tcW w:type="dxa" w:w="1417"/>
            <w:shd w:fill="F0F4F8" w:val="clear"/>
          </w:tcPr>
          <w:p>
            <w:r>
              <w:rPr>
                <w:sz w:val="16"/>
              </w:rPr>
              <w:t>Spill containment berekening + materiaalkeuzerapport</w:t>
            </w:r>
          </w:p>
        </w:tc>
        <w:tc>
          <w:tcPr>
            <w:tcW w:type="dxa" w:w="567"/>
            <w:shd w:fill="F0F4F8" w:val="clear"/>
          </w:tcPr>
          <w:p>
            <w:r>
              <w:rPr>
                <w:sz w:val="16"/>
              </w:rPr>
              <w:t>H</w:t>
            </w:r>
          </w:p>
        </w:tc>
        <w:tc>
          <w:tcPr>
            <w:tcW w:type="dxa" w:w="1417"/>
            <w:shd w:fill="F0F4F8" w:val="clear"/>
          </w:tcPr>
          <w:p>
            <w:r>
              <w:rPr>
                <w:sz w:val="16"/>
              </w:rPr>
              <w:t>Proces Engineer</w:t>
            </w:r>
          </w:p>
        </w:tc>
      </w:tr>
      <w:tr>
        <w:tc>
          <w:tcPr>
            <w:tcW w:type="dxa" w:w="2551"/>
          </w:tcPr>
          <w:p>
            <w:r>
              <w:rPr>
                <w:sz w:val="16"/>
              </w:rPr>
              <w:t>Spill containment vanadium-oplossingen — opvangcapaciteit berekend</w:t>
            </w:r>
          </w:p>
        </w:tc>
        <w:tc>
          <w:tcPr>
            <w:tcW w:type="dxa" w:w="1984"/>
          </w:tcPr>
          <w:p>
            <w:r>
              <w:rPr>
                <w:sz w:val="16"/>
              </w:rPr>
              <w:t>PGS 15:2025, Bal</w:t>
            </w:r>
          </w:p>
        </w:tc>
        <w:tc>
          <w:tcPr>
            <w:tcW w:type="dxa" w:w="3402"/>
          </w:tcPr>
          <w:p>
            <w:r>
              <w:rPr>
                <w:sz w:val="16"/>
              </w:rPr>
              <w:t>Vanadium-oplossingen uit het extractieproces (leaching, precipitation) moeten worden opgevangen bij lekkage. De opvangcapaciteit moet rekening houden met het maximale volume van de grootste reactor of tank. Vanadium-oplossingen zijn giftig voor aquatische organismen en mogen niet in het oppervlaktewater terechtkomen. De opvang moet worden aangesloten op het noodafvalwatersysteem [4].</w:t>
            </w:r>
          </w:p>
        </w:tc>
        <w:tc>
          <w:tcPr>
            <w:tcW w:type="dxa" w:w="1701"/>
          </w:tcPr>
          <w:p>
            <w:r>
              <w:rPr>
                <w:sz w:val="16"/>
              </w:rPr>
              <w:t>Opvangcapaciteit ≥ volume grootste reactor; aangesloten op noodafvalwatersysteem</w:t>
            </w:r>
          </w:p>
        </w:tc>
        <w:tc>
          <w:tcPr>
            <w:tcW w:type="dxa" w:w="1417"/>
          </w:tcPr>
          <w:p>
            <w:r>
              <w:rPr>
                <w:sz w:val="16"/>
              </w:rPr>
              <w:t>Opvangberekening + lay-out</w:t>
            </w:r>
          </w:p>
        </w:tc>
        <w:tc>
          <w:tcPr>
            <w:tcW w:type="dxa" w:w="567"/>
          </w:tcPr>
          <w:p>
            <w:r>
              <w:rPr>
                <w:sz w:val="16"/>
              </w:rPr>
              <w:t>H</w:t>
            </w:r>
          </w:p>
        </w:tc>
        <w:tc>
          <w:tcPr>
            <w:tcW w:type="dxa" w:w="1417"/>
          </w:tcPr>
          <w:p>
            <w:r>
              <w:rPr>
                <w:sz w:val="16"/>
              </w:rPr>
              <w:t>Proces Engineer</w:t>
            </w:r>
          </w:p>
        </w:tc>
      </w:tr>
      <w:tr>
        <w:tc>
          <w:tcPr>
            <w:tcW w:type="dxa" w:w="2551"/>
            <w:shd w:fill="F0F4F8" w:val="clear"/>
          </w:tcPr>
          <w:p>
            <w:r>
              <w:rPr>
                <w:sz w:val="16"/>
              </w:rPr>
              <w:t>Gasdetectiesysteem H₂SO₄/HCl-dampen ontworpen</w:t>
            </w:r>
          </w:p>
        </w:tc>
        <w:tc>
          <w:tcPr>
            <w:tcW w:type="dxa" w:w="1984"/>
            <w:shd w:fill="F0F4F8" w:val="clear"/>
          </w:tcPr>
          <w:p>
            <w:r>
              <w:rPr>
                <w:sz w:val="16"/>
              </w:rPr>
              <w:t>Arbobesluit, PGS 15:2025</w:t>
            </w:r>
          </w:p>
        </w:tc>
        <w:tc>
          <w:tcPr>
            <w:tcW w:type="dxa" w:w="3402"/>
            <w:shd w:fill="F0F4F8" w:val="clear"/>
          </w:tcPr>
          <w:p>
            <w:r>
              <w:rPr>
                <w:sz w:val="16"/>
              </w:rPr>
              <w:t>Een gasdetectiesysteem moet worden ontworpen voor de detectie van H₂SO₄-dampen en HCl-gas. Detectiepunten: opslagruimten, laad/loslocaties, procesruimte (reactor/digestor). Bij overschrijding van alarmniveaus moet automatisch ventilatie worden verhoogd en moet het alarm worden doorgegeven aan de controlekamer. Detectietechniek: electrochemische sensoren of open-path IR [8].</w:t>
            </w:r>
          </w:p>
        </w:tc>
        <w:tc>
          <w:tcPr>
            <w:tcW w:type="dxa" w:w="1701"/>
            <w:shd w:fill="F0F4F8" w:val="clear"/>
          </w:tcPr>
          <w:p>
            <w:r>
              <w:rPr>
                <w:sz w:val="16"/>
              </w:rPr>
              <w:t>Gasdetectie bij alle bronnen; alarmniveaus ingesteld; automatische ventilatie-esc alatie</w:t>
            </w:r>
          </w:p>
        </w:tc>
        <w:tc>
          <w:tcPr>
            <w:tcW w:type="dxa" w:w="1417"/>
            <w:shd w:fill="F0F4F8" w:val="clear"/>
          </w:tcPr>
          <w:p>
            <w:r>
              <w:rPr>
                <w:sz w:val="16"/>
              </w:rPr>
              <w:t>Gasdetectie-ontwerp + sensorplaatsingsschema</w:t>
            </w:r>
          </w:p>
        </w:tc>
        <w:tc>
          <w:tcPr>
            <w:tcW w:type="dxa" w:w="567"/>
            <w:shd w:fill="F0F4F8" w:val="clear"/>
          </w:tcPr>
          <w:p>
            <w:r>
              <w:rPr>
                <w:sz w:val="16"/>
              </w:rPr>
              <w:t>H</w:t>
            </w:r>
          </w:p>
        </w:tc>
        <w:tc>
          <w:tcPr>
            <w:tcW w:type="dxa" w:w="1417"/>
            <w:shd w:fill="F0F4F8" w:val="clear"/>
          </w:tcPr>
          <w:p>
            <w:r>
              <w:rPr>
                <w:sz w:val="16"/>
              </w:rPr>
              <w:t>Instrumentatie Engineer</w:t>
            </w:r>
          </w:p>
        </w:tc>
      </w:tr>
      <w:tr>
        <w:tc>
          <w:tcPr>
            <w:tcW w:type="dxa" w:w="2551"/>
          </w:tcPr>
          <w:p>
            <w:r>
              <w:rPr>
                <w:sz w:val="16"/>
              </w:rPr>
              <w:t>Brandpreventie bouwfase (blustoestellen, hot work protocol)</w:t>
            </w:r>
          </w:p>
        </w:tc>
        <w:tc>
          <w:tcPr>
            <w:tcW w:type="dxa" w:w="1984"/>
          </w:tcPr>
          <w:p>
            <w:r>
              <w:rPr>
                <w:sz w:val="16"/>
              </w:rPr>
              <w:t>Bbl, PGS 15:2025</w:t>
            </w:r>
          </w:p>
        </w:tc>
        <w:tc>
          <w:tcPr>
            <w:tcW w:type="dxa" w:w="3402"/>
          </w:tcPr>
          <w:p>
            <w:r>
              <w:rPr>
                <w:sz w:val="16"/>
              </w:rPr>
              <w:t>Tijdens de bouwfase moeten op elke verdieping/werkplek blustoestellen beschikbaar zijn (minimaal 1 poederblusser per 100 m²). Hot work (lassen, branden, slijpen) vereist een vergunning met: gasmeting (&lt; 10% LEL), brandwacht (2 uur nawaking), en brandwerende deken. Afval (verpakking, hout) dagelijks verwijderen [4].</w:t>
            </w:r>
          </w:p>
        </w:tc>
        <w:tc>
          <w:tcPr>
            <w:tcW w:type="dxa" w:w="1701"/>
          </w:tcPr>
          <w:p>
            <w:r>
              <w:rPr>
                <w:sz w:val="16"/>
              </w:rPr>
              <w:t>Blustoestellen elke 100 m²; hot work vergunning + gasmeting + brandwacht; afval dagelijks verwijderd</w:t>
            </w:r>
          </w:p>
        </w:tc>
        <w:tc>
          <w:tcPr>
            <w:tcW w:type="dxa" w:w="1417"/>
          </w:tcPr>
          <w:p>
            <w:r>
              <w:rPr>
                <w:sz w:val="16"/>
              </w:rPr>
              <w:t>Hot work vergunningen + blustoestellen registratie</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PFAS-vrij blusschuim operationeel en periodiek getest</w:t>
            </w:r>
          </w:p>
        </w:tc>
        <w:tc>
          <w:tcPr>
            <w:tcW w:type="dxa" w:w="1984"/>
            <w:shd w:fill="F0F4F8" w:val="clear"/>
          </w:tcPr>
          <w:p>
            <w:r>
              <w:rPr>
                <w:sz w:val="16"/>
              </w:rPr>
              <w:t>REACH PFAS restrictie [20], PGS 15:2025</w:t>
            </w:r>
          </w:p>
        </w:tc>
        <w:tc>
          <w:tcPr>
            <w:tcW w:type="dxa" w:w="3402"/>
            <w:shd w:fill="F0F4F8" w:val="clear"/>
          </w:tcPr>
          <w:p>
            <w:r>
              <w:rPr>
                <w:sz w:val="16"/>
              </w:rPr>
              <w:t>Het PFAS-vrije blusschuimsysteem moet operationeel zijn: schuimtank gevuld, proportioneelmenger gekalibreerd, en schuimmonitors/sproeikoppen getest. Maandelijks: visuele inspectie. Jaarlijks: schuimproef (werkelijk schuim produceren en verifiëren dat bedekking en kwaliteit conform ontwerp). Vervangingscyclus conform leveranciersadvies (meestal 5-10 jaar) [20].</w:t>
            </w:r>
          </w:p>
        </w:tc>
        <w:tc>
          <w:tcPr>
            <w:tcW w:type="dxa" w:w="1701"/>
            <w:shd w:fill="F0F4F8" w:val="clear"/>
          </w:tcPr>
          <w:p>
            <w:r>
              <w:rPr>
                <w:sz w:val="16"/>
              </w:rPr>
              <w:t>Schuimsysteem operationeel; maandelijkse inspectie; jaarlijkse schuimproef conform schema</w:t>
            </w:r>
          </w:p>
        </w:tc>
        <w:tc>
          <w:tcPr>
            <w:tcW w:type="dxa" w:w="1417"/>
            <w:shd w:fill="F0F4F8" w:val="clear"/>
          </w:tcPr>
          <w:p>
            <w:r>
              <w:rPr>
                <w:sz w:val="16"/>
              </w:rPr>
              <w:t>Schuimproef rapport + inspectielogboek</w:t>
            </w:r>
          </w:p>
        </w:tc>
        <w:tc>
          <w:tcPr>
            <w:tcW w:type="dxa" w:w="567"/>
            <w:shd w:fill="F0F4F8" w:val="clear"/>
          </w:tcPr>
          <w:p>
            <w:r>
              <w:rPr>
                <w:sz w:val="16"/>
              </w:rPr>
              <w:t>H</w:t>
            </w:r>
          </w:p>
        </w:tc>
        <w:tc>
          <w:tcPr>
            <w:tcW w:type="dxa" w:w="1417"/>
            <w:shd w:fill="F0F4F8" w:val="clear"/>
          </w:tcPr>
          <w:p>
            <w:r>
              <w:rPr>
                <w:sz w:val="16"/>
              </w:rPr>
              <w:t>Brandveiligheidsadviseur</w:t>
            </w:r>
          </w:p>
        </w:tc>
      </w:tr>
      <w:tr>
        <w:tc>
          <w:tcPr>
            <w:tcW w:type="dxa" w:w="2551"/>
          </w:tcPr>
          <w:p>
            <w:r>
              <w:rPr>
                <w:sz w:val="16"/>
              </w:rPr>
              <w:t>Brandpreventie maatregelen</w:t>
            </w:r>
          </w:p>
        </w:tc>
        <w:tc>
          <w:tcPr>
            <w:tcW w:type="dxa" w:w="1984"/>
          </w:tcPr>
          <w:p>
            <w:r>
              <w:rPr>
                <w:sz w:val="16"/>
              </w:rPr>
              <w:t>Besluit Bouwwerken Leefomgeving (Bbl)</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TBD</w:t>
            </w:r>
          </w:p>
        </w:tc>
      </w:tr>
      <w:tr>
        <w:tc>
          <w:tcPr>
            <w:tcW w:type="dxa" w:w="2551"/>
            <w:shd w:fill="F0F4F8" w:val="clear"/>
          </w:tcPr>
          <w:p>
            <w:r>
              <w:rPr>
                <w:sz w:val="16"/>
              </w:rPr>
              <w:t>Compartimentering conform</w:t>
            </w:r>
          </w:p>
        </w:tc>
        <w:tc>
          <w:tcPr>
            <w:tcW w:type="dxa" w:w="1984"/>
            <w:shd w:fill="F0F4F8" w:val="clear"/>
          </w:tcPr>
          <w:p>
            <w:r>
              <w:rPr>
                <w:sz w:val="16"/>
              </w:rPr>
              <w:t>Besluit Bouwwerken Leefomgeving (Bbl)</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TBD</w:t>
            </w:r>
          </w:p>
        </w:tc>
      </w:tr>
      <w:tr>
        <w:tc>
          <w:tcPr>
            <w:tcW w:type="dxa" w:w="2551"/>
          </w:tcPr>
          <w:p>
            <w:r>
              <w:rPr>
                <w:sz w:val="16"/>
              </w:rPr>
              <w:t>Ontruimingsplan NEN 8112</w:t>
            </w:r>
          </w:p>
        </w:tc>
        <w:tc>
          <w:tcPr>
            <w:tcW w:type="dxa" w:w="1984"/>
          </w:tcPr>
          <w:p>
            <w:r>
              <w:rPr>
                <w:sz w:val="16"/>
              </w:rPr>
              <w:t>NEN 8112</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TBD</w:t>
            </w:r>
          </w:p>
        </w:tc>
      </w:tr>
      <w:tr>
        <w:tc>
          <w:tcPr>
            <w:tcW w:type="dxa" w:w="2551"/>
            <w:shd w:fill="F0F4F8" w:val="clear"/>
          </w:tcPr>
          <w:p>
            <w:r>
              <w:rPr>
                <w:sz w:val="16"/>
              </w:rPr>
              <w:t>Blusinstallatie NEN-EN 12845:2024 (delen 1-3)</w:t>
            </w:r>
          </w:p>
        </w:tc>
        <w:tc>
          <w:tcPr>
            <w:tcW w:type="dxa" w:w="1984"/>
            <w:shd w:fill="F0F4F8" w:val="clear"/>
          </w:tcPr>
          <w:p>
            <w:r>
              <w:rPr>
                <w:sz w:val="16"/>
              </w:rPr>
              <w:t>NEN-EN 12845:2024 (delen 1-3)</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TBD</w:t>
            </w:r>
          </w:p>
        </w:tc>
      </w:tr>
      <w:tr>
        <w:tc>
          <w:tcPr>
            <w:tcW w:type="dxa" w:w="2551"/>
          </w:tcPr>
          <w:p>
            <w:r>
              <w:rPr>
                <w:sz w:val="16"/>
              </w:rPr>
              <w:t>Branddetectie/meldsysteem</w:t>
            </w:r>
          </w:p>
        </w:tc>
        <w:tc>
          <w:tcPr>
            <w:tcW w:type="dxa" w:w="1984"/>
          </w:tcPr>
          <w:p>
            <w:r>
              <w:rPr>
                <w:sz w:val="16"/>
              </w:rPr>
              <w:t>NEN-EN 54</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TBD</w:t>
            </w:r>
          </w:p>
        </w:tc>
      </w:tr>
      <w:tr>
        <w:tc>
          <w:tcPr>
            <w:tcW w:type="dxa" w:w="2551"/>
            <w:shd w:fill="F0F4F8" w:val="clear"/>
          </w:tcPr>
          <w:p>
            <w:r>
              <w:rPr>
                <w:sz w:val="16"/>
              </w:rPr>
              <w:t>ATEX zones en ex-apparatuur</w:t>
            </w:r>
          </w:p>
        </w:tc>
        <w:tc>
          <w:tcPr>
            <w:tcW w:type="dxa" w:w="1984"/>
            <w:shd w:fill="F0F4F8" w:val="clear"/>
          </w:tcPr>
          <w:p>
            <w:r>
              <w:rPr>
                <w:sz w:val="16"/>
              </w:rPr>
              <w:t>ATEX 2014/34/EU</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TBD</w:t>
            </w:r>
          </w:p>
        </w:tc>
      </w:tr>
      <w:tr>
        <w:tc>
          <w:tcPr>
            <w:tcW w:type="dxa" w:w="2551"/>
          </w:tcPr>
          <w:p>
            <w:r>
              <w:rPr>
                <w:sz w:val="16"/>
              </w:rPr>
              <w:t>Explosieveiligheidsdocument</w:t>
            </w:r>
          </w:p>
        </w:tc>
        <w:tc>
          <w:tcPr>
            <w:tcW w:type="dxa" w:w="1984"/>
          </w:tcPr>
          <w:p>
            <w:r>
              <w:rPr>
                <w:sz w:val="16"/>
              </w:rPr>
              <w:t>Arbobesluit 3.5c</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TBD</w:t>
            </w:r>
          </w:p>
        </w:tc>
      </w:tr>
      <w:tr>
        <w:tc>
          <w:tcPr>
            <w:tcW w:type="dxa" w:w="2551"/>
            <w:shd w:fill="F0F4F8" w:val="clear"/>
          </w:tcPr>
          <w:p>
            <w:r>
              <w:rPr>
                <w:sz w:val="16"/>
              </w:rPr>
              <w:t>Stofexplosie Kst-waarde bepaald</w:t>
            </w:r>
          </w:p>
        </w:tc>
        <w:tc>
          <w:tcPr>
            <w:tcW w:type="dxa" w:w="1984"/>
            <w:shd w:fill="F0F4F8" w:val="clear"/>
          </w:tcPr>
          <w:p>
            <w:r>
              <w:rPr>
                <w:sz w:val="16"/>
              </w:rPr>
              <w:t>NEN-EN 14034</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M</w:t>
            </w:r>
          </w:p>
        </w:tc>
        <w:tc>
          <w:tcPr>
            <w:tcW w:type="dxa" w:w="1417"/>
            <w:shd w:fill="F0F4F8" w:val="clear"/>
          </w:tcPr>
          <w:p>
            <w:r>
              <w:rPr>
                <w:sz w:val="16"/>
              </w:rPr>
              <w:t>TBD</w:t>
            </w:r>
          </w:p>
        </w:tc>
      </w:tr>
      <w:tr>
        <w:tc>
          <w:tcPr>
            <w:tcW w:type="dxa" w:w="2551"/>
          </w:tcPr>
          <w:p>
            <w:r>
              <w:rPr>
                <w:sz w:val="16"/>
              </w:rPr>
              <w:t>Ex-zones gedefinieerd en geschilderd</w:t>
            </w:r>
          </w:p>
        </w:tc>
        <w:tc>
          <w:tcPr>
            <w:tcW w:type="dxa" w:w="1984"/>
          </w:tcPr>
          <w:p>
            <w:r>
              <w:rPr>
                <w:sz w:val="16"/>
              </w:rPr>
              <w:t>ATEX 2014/34/EU</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TBD</w:t>
            </w:r>
          </w:p>
        </w:tc>
      </w:tr>
      <w:tr>
        <w:tc>
          <w:tcPr>
            <w:tcW w:type="dxa" w:w="2551"/>
            <w:shd w:fill="F0F4F8" w:val="clear"/>
          </w:tcPr>
          <w:p>
            <w:r>
              <w:rPr>
                <w:sz w:val="16"/>
              </w:rPr>
              <w:t>Statische elektriciteit beheerst</w:t>
            </w:r>
          </w:p>
        </w:tc>
        <w:tc>
          <w:tcPr>
            <w:tcW w:type="dxa" w:w="1984"/>
            <w:shd w:fill="F0F4F8" w:val="clear"/>
          </w:tcPr>
          <w:p>
            <w:r>
              <w:rPr>
                <w:sz w:val="16"/>
              </w:rPr>
              <w:t>NEN-EN 13463-1</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M</w:t>
            </w:r>
          </w:p>
        </w:tc>
        <w:tc>
          <w:tcPr>
            <w:tcW w:type="dxa" w:w="1417"/>
            <w:shd w:fill="F0F4F8" w:val="clear"/>
          </w:tcPr>
          <w:p>
            <w:r>
              <w:rPr>
                <w:sz w:val="16"/>
              </w:rPr>
              <w:t>TBD</w:t>
            </w:r>
          </w:p>
        </w:tc>
      </w:tr>
      <w:tr>
        <w:tc>
          <w:tcPr>
            <w:tcW w:type="dxa" w:w="2551"/>
          </w:tcPr>
          <w:p>
            <w:r>
              <w:rPr>
                <w:sz w:val="16"/>
              </w:rPr>
              <w:t>Brandweerinzichtplan opgesteld</w:t>
            </w:r>
          </w:p>
        </w:tc>
        <w:tc>
          <w:tcPr>
            <w:tcW w:type="dxa" w:w="1984"/>
          </w:tcPr>
          <w:p>
            <w:r>
              <w:rPr>
                <w:sz w:val="16"/>
              </w:rPr>
              <w:t>Brandweerwet</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Brandpreventie</w:t>
            </w:r>
          </w:p>
        </w:tc>
      </w:tr>
      <w:tr>
        <w:tc>
          <w:tcPr>
            <w:tcW w:type="dxa" w:w="2551"/>
            <w:shd w:fill="F0F4F8" w:val="clear"/>
          </w:tcPr>
          <w:p>
            <w:r>
              <w:rPr>
                <w:sz w:val="16"/>
              </w:rPr>
              <w:t>Branddetectie inregeling + test</w:t>
            </w:r>
          </w:p>
        </w:tc>
        <w:tc>
          <w:tcPr>
            <w:tcW w:type="dxa" w:w="1984"/>
            <w:shd w:fill="F0F4F8" w:val="clear"/>
          </w:tcPr>
          <w:p>
            <w:r>
              <w:rPr>
                <w:sz w:val="16"/>
              </w:rPr>
              <w:t>NEN-EN 54</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Brandinstallateur</w:t>
            </w:r>
          </w:p>
        </w:tc>
      </w:tr>
      <w:tr>
        <w:tc>
          <w:tcPr>
            <w:tcW w:type="dxa" w:w="2551"/>
          </w:tcPr>
          <w:p>
            <w:r>
              <w:rPr>
                <w:sz w:val="16"/>
              </w:rPr>
              <w:t>Vlamdoorlaatbeveiliging getest</w:t>
            </w:r>
          </w:p>
        </w:tc>
        <w:tc>
          <w:tcPr>
            <w:tcW w:type="dxa" w:w="1984"/>
          </w:tcPr>
          <w:p>
            <w:r>
              <w:rPr>
                <w:sz w:val="16"/>
              </w:rPr>
              <w:t>ATEX 2014/34/EU</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Installateur</w:t>
            </w:r>
          </w:p>
        </w:tc>
      </w:tr>
      <w:tr>
        <w:tc>
          <w:tcPr>
            <w:tcW w:type="dxa" w:w="2551"/>
            <w:shd w:fill="F0F4F8" w:val="clear"/>
          </w:tcPr>
          <w:p>
            <w:r>
              <w:rPr>
                <w:sz w:val="16"/>
              </w:rPr>
              <w:t>Brandweeroefening (jaarlijks) ingepland</w:t>
            </w:r>
          </w:p>
        </w:tc>
        <w:tc>
          <w:tcPr>
            <w:tcW w:type="dxa" w:w="1984"/>
            <w:shd w:fill="F0F4F8" w:val="clear"/>
          </w:tcPr>
          <w:p>
            <w:r>
              <w:rPr>
                <w:sz w:val="16"/>
              </w:rPr>
              <w:t>Brandweerwet</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BHV-coordinator</w:t>
            </w:r>
          </w:p>
        </w:tc>
      </w:tr>
    </w:tbl>
    <w:p/>
    <w:p>
      <w:pPr>
        <w:pStyle w:val="Heading2"/>
      </w:pPr>
      <w:r>
        <w:t>3.6 Drukapparatuur</w:t>
      </w:r>
    </w:p>
    <w:p>
      <w:r>
        <w:t>(4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Alle drukapparatuur conform PED 2014/68/EU geclassificeerd</w:t>
            </w:r>
          </w:p>
        </w:tc>
        <w:tc>
          <w:tcPr>
            <w:tcW w:type="dxa" w:w="1984"/>
          </w:tcPr>
          <w:p>
            <w:r>
              <w:rPr>
                <w:sz w:val="16"/>
              </w:rPr>
              <w:t>PED 2014/68/EU (gewijzigd 2024)</w:t>
            </w:r>
          </w:p>
        </w:tc>
        <w:tc>
          <w:tcPr>
            <w:tcW w:type="dxa" w:w="3402"/>
          </w:tcPr>
          <w:p>
            <w:r>
              <w:rPr>
                <w:sz w:val="16"/>
              </w:rPr>
              <w:t>Alle drukapparatuur (reactoren, leidingen, opslagtanks) moet worden geclassificeerd conform PED: categorie I t/m IV of SEP (Sound Engineering Practice). Classificatie is gebaseerd op: druk (bar), volume/DN, en agressiviteit van het medium (gas/vloeistof, groep 1/2). Apparatuur in categorie II+ vereist CE-markering en een conformiteitsbeoordeling door een Notified Body [9].</w:t>
            </w:r>
          </w:p>
        </w:tc>
        <w:tc>
          <w:tcPr>
            <w:tcW w:type="dxa" w:w="1701"/>
          </w:tcPr>
          <w:p>
            <w:r>
              <w:rPr>
                <w:sz w:val="16"/>
              </w:rPr>
              <w:t>Alle drukapparatuur geclassificeerd; CE-markering aangebracht waar vereist; Notified Body betrokken</w:t>
            </w:r>
          </w:p>
        </w:tc>
        <w:tc>
          <w:tcPr>
            <w:tcW w:type="dxa" w:w="1417"/>
          </w:tcPr>
          <w:p>
            <w:r>
              <w:rPr>
                <w:sz w:val="16"/>
              </w:rPr>
              <w:t>PED-classificatieoverzicht + conformiteitsbeoordeling</w:t>
            </w:r>
          </w:p>
        </w:tc>
        <w:tc>
          <w:tcPr>
            <w:tcW w:type="dxa" w:w="567"/>
          </w:tcPr>
          <w:p>
            <w:r>
              <w:rPr>
                <w:sz w:val="16"/>
              </w:rPr>
              <w:t>H</w:t>
            </w:r>
          </w:p>
        </w:tc>
        <w:tc>
          <w:tcPr>
            <w:tcW w:type="dxa" w:w="1417"/>
          </w:tcPr>
          <w:p>
            <w:r>
              <w:rPr>
                <w:sz w:val="16"/>
              </w:rPr>
              <w:t>Project Engineer</w:t>
            </w:r>
          </w:p>
        </w:tc>
      </w:tr>
      <w:tr>
        <w:tc>
          <w:tcPr>
            <w:tcW w:type="dxa" w:w="2551"/>
            <w:shd w:fill="F0F4F8" w:val="clear"/>
          </w:tcPr>
          <w:p>
            <w:r>
              <w:rPr>
                <w:sz w:val="16"/>
              </w:rPr>
              <w:t>Veiligheidskleppen en overdrukbeveiliging gedimensioneerd</w:t>
            </w:r>
          </w:p>
        </w:tc>
        <w:tc>
          <w:tcPr>
            <w:tcW w:type="dxa" w:w="1984"/>
            <w:shd w:fill="F0F4F8" w:val="clear"/>
          </w:tcPr>
          <w:p>
            <w:r>
              <w:rPr>
                <w:sz w:val="16"/>
              </w:rPr>
              <w:t>PED 2014/68/EU bijlage I §2.11</w:t>
            </w:r>
          </w:p>
        </w:tc>
        <w:tc>
          <w:tcPr>
            <w:tcW w:type="dxa" w:w="3402"/>
            <w:shd w:fill="F0F4F8" w:val="clear"/>
          </w:tcPr>
          <w:p>
            <w:r>
              <w:rPr>
                <w:sz w:val="16"/>
              </w:rPr>
              <w:t>Elke drukapparatuur moet zijn voorzien van overdrukbeveiliging: veiligheidskleppen, burst discs, of een combinatie. De capaciteit moet worden berekend op het maximale inlastscenario (brandcase, gesloten afsluiter, koelwaterstoring). De veiligheidskleppen moeten conform PED zijn goedgekeurd en regelmatig worden getest (minimaal 1x per 2 jaar) [9].</w:t>
            </w:r>
          </w:p>
        </w:tc>
        <w:tc>
          <w:tcPr>
            <w:tcW w:type="dxa" w:w="1701"/>
            <w:shd w:fill="F0F4F8" w:val="clear"/>
          </w:tcPr>
          <w:p>
            <w:r>
              <w:rPr>
                <w:sz w:val="16"/>
              </w:rPr>
              <w:t>Alle drukapparatuur voorzien van overdrukbeveiliging; capaciteit berekend; testinterval vastgelegd</w:t>
            </w:r>
          </w:p>
        </w:tc>
        <w:tc>
          <w:tcPr>
            <w:tcW w:type="dxa" w:w="1417"/>
            <w:shd w:fill="F0F4F8" w:val="clear"/>
          </w:tcPr>
          <w:p>
            <w:r>
              <w:rPr>
                <w:sz w:val="16"/>
              </w:rPr>
              <w:t>Berekening overdrukbeveiliging + kleinspecificaties</w:t>
            </w:r>
          </w:p>
        </w:tc>
        <w:tc>
          <w:tcPr>
            <w:tcW w:type="dxa" w:w="567"/>
            <w:shd w:fill="F0F4F8" w:val="clear"/>
          </w:tcPr>
          <w:p>
            <w:r>
              <w:rPr>
                <w:sz w:val="16"/>
              </w:rPr>
              <w:t>H</w:t>
            </w:r>
          </w:p>
        </w:tc>
        <w:tc>
          <w:tcPr>
            <w:tcW w:type="dxa" w:w="1417"/>
            <w:shd w:fill="F0F4F8" w:val="clear"/>
          </w:tcPr>
          <w:p>
            <w:r>
              <w:rPr>
                <w:sz w:val="16"/>
              </w:rPr>
              <w:t>Proces Engineer</w:t>
            </w:r>
          </w:p>
        </w:tc>
      </w:tr>
      <w:tr>
        <w:tc>
          <w:tcPr>
            <w:tcW w:type="dxa" w:w="2551"/>
          </w:tcPr>
          <w:p>
            <w:r>
              <w:rPr>
                <w:sz w:val="16"/>
              </w:rPr>
              <w:t>Veiligheidskleppen getest en verzegeld</w:t>
            </w:r>
          </w:p>
        </w:tc>
        <w:tc>
          <w:tcPr>
            <w:tcW w:type="dxa" w:w="1984"/>
          </w:tcPr>
          <w:p>
            <w:r>
              <w:rPr>
                <w:sz w:val="16"/>
              </w:rPr>
              <w:t>PED 2014/68/EU, NEN-EN ISO 4126</w:t>
            </w:r>
          </w:p>
        </w:tc>
        <w:tc>
          <w:tcPr>
            <w:tcW w:type="dxa" w:w="3402"/>
          </w:tcPr>
          <w:p>
            <w:r>
              <w:rPr>
                <w:sz w:val="16"/>
              </w:rPr>
              <w:t>Alle veiligheidskleppen moeten individueel worden getest op de insteldruk (set pressure) ± 3% tolerantie. Na test worden ze verzegeld (loodzegel of draadzegel) om manipulatie te voorkomen. Testrapport inclusief: insteldruk, openingsdruk, terugslagdruk, en capaciteit [9].</w:t>
            </w:r>
          </w:p>
        </w:tc>
        <w:tc>
          <w:tcPr>
            <w:tcW w:type="dxa" w:w="1701"/>
          </w:tcPr>
          <w:p>
            <w:r>
              <w:rPr>
                <w:sz w:val="16"/>
              </w:rPr>
              <w:t>Alle veiligheidskleppen getest; insteldruk binnen ±3%; verzegeld; testrapporten beschikbaar</w:t>
            </w:r>
          </w:p>
        </w:tc>
        <w:tc>
          <w:tcPr>
            <w:tcW w:type="dxa" w:w="1417"/>
          </w:tcPr>
          <w:p>
            <w:r>
              <w:rPr>
                <w:sz w:val="16"/>
              </w:rPr>
              <w:t>Veiligheidsklep testrapporten + verzegellijst</w:t>
            </w:r>
          </w:p>
        </w:tc>
        <w:tc>
          <w:tcPr>
            <w:tcW w:type="dxa" w:w="567"/>
          </w:tcPr>
          <w:p>
            <w:r>
              <w:rPr>
                <w:sz w:val="16"/>
              </w:rPr>
              <w:t>H</w:t>
            </w:r>
          </w:p>
        </w:tc>
        <w:tc>
          <w:tcPr>
            <w:tcW w:type="dxa" w:w="1417"/>
          </w:tcPr>
          <w:p>
            <w:r>
              <w:rPr>
                <w:sz w:val="16"/>
              </w:rPr>
              <w:t>Commissioning Lead</w:t>
            </w:r>
          </w:p>
        </w:tc>
      </w:tr>
      <w:tr>
        <w:tc>
          <w:tcPr>
            <w:tcW w:type="dxa" w:w="2551"/>
            <w:shd w:fill="F0F4F8" w:val="clear"/>
          </w:tcPr>
          <w:p>
            <w:r>
              <w:rPr>
                <w:sz w:val="16"/>
              </w:rPr>
              <w:t>Periodieke keuring drukapparatuur conform PED</w:t>
            </w:r>
          </w:p>
        </w:tc>
        <w:tc>
          <w:tcPr>
            <w:tcW w:type="dxa" w:w="1984"/>
            <w:shd w:fill="F0F4F8" w:val="clear"/>
          </w:tcPr>
          <w:p>
            <w:r>
              <w:rPr>
                <w:sz w:val="16"/>
              </w:rPr>
              <w:t>PED 2014/68/EU, Besluit drukapparatuur</w:t>
            </w:r>
          </w:p>
        </w:tc>
        <w:tc>
          <w:tcPr>
            <w:tcW w:type="dxa" w:w="3402"/>
            <w:shd w:fill="F0F4F8" w:val="clear"/>
          </w:tcPr>
          <w:p>
            <w:r>
              <w:rPr>
                <w:sz w:val="16"/>
              </w:rPr>
              <w:t>Alle drukapparatuur moet periodiek worden gekeurd: externe inspectie (visueel) om de 2 jaar, interne inspectie (openen) om de 5 jaar of conform inspectieplan. Keuring door erkend keuringsinstantie. Bevindingen worden geregistreerd en opgelost. Keuringsrapporten bewaard in DMS [9].</w:t>
            </w:r>
          </w:p>
        </w:tc>
        <w:tc>
          <w:tcPr>
            <w:tcW w:type="dxa" w:w="1701"/>
            <w:shd w:fill="F0F4F8" w:val="clear"/>
          </w:tcPr>
          <w:p>
            <w:r>
              <w:rPr>
                <w:sz w:val="16"/>
              </w:rPr>
              <w:t>Keuringsplan up-to-date; alle keuringen uitgevoerd conform schema; rapporten in DMS</w:t>
            </w:r>
          </w:p>
        </w:tc>
        <w:tc>
          <w:tcPr>
            <w:tcW w:type="dxa" w:w="1417"/>
            <w:shd w:fill="F0F4F8" w:val="clear"/>
          </w:tcPr>
          <w:p>
            <w:r>
              <w:rPr>
                <w:sz w:val="16"/>
              </w:rPr>
              <w:t>Keuringsrapporten drukapparatuur</w:t>
            </w:r>
          </w:p>
        </w:tc>
        <w:tc>
          <w:tcPr>
            <w:tcW w:type="dxa" w:w="567"/>
            <w:shd w:fill="F0F4F8" w:val="clear"/>
          </w:tcPr>
          <w:p>
            <w:r>
              <w:rPr>
                <w:sz w:val="16"/>
              </w:rPr>
              <w:t>H</w:t>
            </w:r>
          </w:p>
        </w:tc>
        <w:tc>
          <w:tcPr>
            <w:tcW w:type="dxa" w:w="1417"/>
            <w:shd w:fill="F0F4F8" w:val="clear"/>
          </w:tcPr>
          <w:p>
            <w:r>
              <w:rPr>
                <w:sz w:val="16"/>
              </w:rPr>
              <w:t>Inspection Engineer</w:t>
            </w:r>
          </w:p>
        </w:tc>
      </w:tr>
    </w:tbl>
    <w:p/>
    <w:p>
      <w:pPr>
        <w:pStyle w:val="Heading2"/>
      </w:pPr>
      <w:r>
        <w:t>3.7 Machineveiligheid</w:t>
      </w:r>
    </w:p>
    <w:p>
      <w:r>
        <w:t>(10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CE-markering machines conform Machinerichtlijn (EU) 2023/1230</w:t>
            </w:r>
          </w:p>
        </w:tc>
        <w:tc>
          <w:tcPr>
            <w:tcW w:type="dxa" w:w="1984"/>
          </w:tcPr>
          <w:p>
            <w:r>
              <w:rPr>
                <w:sz w:val="16"/>
              </w:rPr>
              <w:t>(EU) 2023/1230 (van kracht 20-1-2027), nu nog 2006/42/EG</w:t>
            </w:r>
          </w:p>
        </w:tc>
        <w:tc>
          <w:tcPr>
            <w:tcW w:type="dxa" w:w="3402"/>
          </w:tcPr>
          <w:p>
            <w:r>
              <w:rPr>
                <w:sz w:val="16"/>
              </w:rPr>
              <w:t>Alle machines in de pilot plant (pompen, mixers, conveyors, filters) moeten CE-gemarkeerd zijn. De Machinerichtlijn (EU) 2023/1230 vervangt de oude 2006/42/EG per 20 januari 2027. Voor nieuwe projecten die na die datum in gebruik worden genomen, geldt de nieuwe verordening. Essentiële eisen: afscherming, noodstop, LOTO-voorzieningen, en bedieningspanelen [10].</w:t>
            </w:r>
          </w:p>
        </w:tc>
        <w:tc>
          <w:tcPr>
            <w:tcW w:type="dxa" w:w="1701"/>
          </w:tcPr>
          <w:p>
            <w:r>
              <w:rPr>
                <w:sz w:val="16"/>
              </w:rPr>
              <w:t>Alle machines CE-gemarkeerd; conform (EU) 2023/1230 (indien na 20-1-2027 in gebruik); risicoanalyse per machine</w:t>
            </w:r>
          </w:p>
        </w:tc>
        <w:tc>
          <w:tcPr>
            <w:tcW w:type="dxa" w:w="1417"/>
          </w:tcPr>
          <w:p>
            <w:r>
              <w:rPr>
                <w:sz w:val="16"/>
              </w:rPr>
              <w:t>CE-verklaringen + risicoanalyses per machine</w:t>
            </w:r>
          </w:p>
        </w:tc>
        <w:tc>
          <w:tcPr>
            <w:tcW w:type="dxa" w:w="567"/>
          </w:tcPr>
          <w:p>
            <w:r>
              <w:rPr>
                <w:sz w:val="16"/>
              </w:rPr>
              <w:t>H</w:t>
            </w:r>
          </w:p>
        </w:tc>
        <w:tc>
          <w:tcPr>
            <w:tcW w:type="dxa" w:w="1417"/>
          </w:tcPr>
          <w:p>
            <w:r>
              <w:rPr>
                <w:sz w:val="16"/>
              </w:rPr>
              <w:t>Project Engineer</w:t>
            </w:r>
          </w:p>
        </w:tc>
      </w:tr>
      <w:tr>
        <w:tc>
          <w:tcPr>
            <w:tcW w:type="dxa" w:w="2551"/>
            <w:shd w:fill="F0F4F8" w:val="clear"/>
          </w:tcPr>
          <w:p>
            <w:r>
              <w:rPr>
                <w:sz w:val="16"/>
              </w:rPr>
              <w:t>LOTO-voorzieningen op alle energiebronnen</w:t>
            </w:r>
          </w:p>
        </w:tc>
        <w:tc>
          <w:tcPr>
            <w:tcW w:type="dxa" w:w="1984"/>
            <w:shd w:fill="F0F4F8" w:val="clear"/>
          </w:tcPr>
          <w:p>
            <w:r>
              <w:rPr>
                <w:sz w:val="16"/>
              </w:rPr>
              <w:t>Arbobesluit art. 7.4, (EU) 2023/1230 bijlage I §1.6</w:t>
            </w:r>
          </w:p>
        </w:tc>
        <w:tc>
          <w:tcPr>
            <w:tcW w:type="dxa" w:w="3402"/>
            <w:shd w:fill="F0F4F8" w:val="clear"/>
          </w:tcPr>
          <w:p>
            <w:r>
              <w:rPr>
                <w:sz w:val="16"/>
              </w:rPr>
              <w:t>Lock-Out/Tag-Out voorzieningen moeten op alle energiebronnen aanwezig zijn: elektrisch, pneumatisch, hydraulisch, thermisch, chemisch (druk, vloeistof), en zwaartekracht (gespannen veren). Per machine moet een LOTO-procedure beschikbaar zijn die definieert: welke energiebronnen, hoe af te sluiten, wie verantwoordelijk, en hoe te verifieren (zero-energy check) [10].</w:t>
            </w:r>
          </w:p>
        </w:tc>
        <w:tc>
          <w:tcPr>
            <w:tcW w:type="dxa" w:w="1701"/>
            <w:shd w:fill="F0F4F8" w:val="clear"/>
          </w:tcPr>
          <w:p>
            <w:r>
              <w:rPr>
                <w:sz w:val="16"/>
              </w:rPr>
              <w:t>LOTO-plan compleet per machine; alle energiebronnen afsluitbaar; zero-energy procedure beschikbaar</w:t>
            </w:r>
          </w:p>
        </w:tc>
        <w:tc>
          <w:tcPr>
            <w:tcW w:type="dxa" w:w="1417"/>
            <w:shd w:fill="F0F4F8" w:val="clear"/>
          </w:tcPr>
          <w:p>
            <w:r>
              <w:rPr>
                <w:sz w:val="16"/>
              </w:rPr>
              <w:t>LOTO-procedures per machine + energiebronnenkaart</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CE-markering machines</w:t>
            </w:r>
          </w:p>
        </w:tc>
        <w:tc>
          <w:tcPr>
            <w:tcW w:type="dxa" w:w="1984"/>
          </w:tcPr>
          <w:p>
            <w:r>
              <w:rPr>
                <w:sz w:val="16"/>
              </w:rPr>
              <w:t>2006/42/EG</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TBD</w:t>
            </w:r>
          </w:p>
        </w:tc>
      </w:tr>
      <w:tr>
        <w:tc>
          <w:tcPr>
            <w:tcW w:type="dxa" w:w="2551"/>
            <w:shd w:fill="F0F4F8" w:val="clear"/>
          </w:tcPr>
          <w:p>
            <w:r>
              <w:rPr>
                <w:sz w:val="16"/>
              </w:rPr>
              <w:t>Risicoanalyse NEN-EN ISO 12100</w:t>
            </w:r>
          </w:p>
        </w:tc>
        <w:tc>
          <w:tcPr>
            <w:tcW w:type="dxa" w:w="1984"/>
            <w:shd w:fill="F0F4F8" w:val="clear"/>
          </w:tcPr>
          <w:p>
            <w:r>
              <w:rPr>
                <w:sz w:val="16"/>
              </w:rPr>
              <w:t>NEN-EN ISO 12100</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TBD</w:t>
            </w:r>
          </w:p>
        </w:tc>
      </w:tr>
      <w:tr>
        <w:tc>
          <w:tcPr>
            <w:tcW w:type="dxa" w:w="2551"/>
          </w:tcPr>
          <w:p>
            <w:r>
              <w:rPr>
                <w:sz w:val="16"/>
              </w:rPr>
              <w:t>Beveiligingen (afschermingen)</w:t>
            </w:r>
          </w:p>
        </w:tc>
        <w:tc>
          <w:tcPr>
            <w:tcW w:type="dxa" w:w="1984"/>
          </w:tcPr>
          <w:p>
            <w:r>
              <w:rPr>
                <w:sz w:val="16"/>
              </w:rPr>
              <w:t>2006/42/EG</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TBD</w:t>
            </w:r>
          </w:p>
        </w:tc>
      </w:tr>
      <w:tr>
        <w:tc>
          <w:tcPr>
            <w:tcW w:type="dxa" w:w="2551"/>
            <w:shd w:fill="F0F4F8" w:val="clear"/>
          </w:tcPr>
          <w:p>
            <w:r>
              <w:rPr>
                <w:sz w:val="16"/>
              </w:rPr>
              <w:t>Noodstop functioneel</w:t>
            </w:r>
          </w:p>
        </w:tc>
        <w:tc>
          <w:tcPr>
            <w:tcW w:type="dxa" w:w="1984"/>
            <w:shd w:fill="F0F4F8" w:val="clear"/>
          </w:tcPr>
          <w:p>
            <w:r>
              <w:rPr>
                <w:sz w:val="16"/>
              </w:rPr>
              <w:t>NEN-EN 60204-1</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TBD</w:t>
            </w:r>
          </w:p>
        </w:tc>
      </w:tr>
      <w:tr>
        <w:tc>
          <w:tcPr>
            <w:tcW w:type="dxa" w:w="2551"/>
          </w:tcPr>
          <w:p>
            <w:r>
              <w:rPr>
                <w:sz w:val="16"/>
              </w:rPr>
              <w:t>Transportbanden beveiligd</w:t>
            </w:r>
          </w:p>
        </w:tc>
        <w:tc>
          <w:tcPr>
            <w:tcW w:type="dxa" w:w="1984"/>
          </w:tcPr>
          <w:p>
            <w:r>
              <w:rPr>
                <w:sz w:val="16"/>
              </w:rPr>
              <w:t>NEN-EN ISO 14119</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M</w:t>
            </w:r>
          </w:p>
        </w:tc>
        <w:tc>
          <w:tcPr>
            <w:tcW w:type="dxa" w:w="1417"/>
          </w:tcPr>
          <w:p>
            <w:r>
              <w:rPr>
                <w:sz w:val="16"/>
              </w:rPr>
              <w:t>TBD</w:t>
            </w:r>
          </w:p>
        </w:tc>
      </w:tr>
      <w:tr>
        <w:tc>
          <w:tcPr>
            <w:tcW w:type="dxa" w:w="2551"/>
            <w:shd w:fill="F0F4F8" w:val="clear"/>
          </w:tcPr>
          <w:p>
            <w:r>
              <w:rPr>
                <w:sz w:val="16"/>
              </w:rPr>
              <w:t>Crusher/molen beveiligd</w:t>
            </w:r>
          </w:p>
        </w:tc>
        <w:tc>
          <w:tcPr>
            <w:tcW w:type="dxa" w:w="1984"/>
            <w:shd w:fill="F0F4F8" w:val="clear"/>
          </w:tcPr>
          <w:p>
            <w:r>
              <w:rPr>
                <w:sz w:val="16"/>
              </w:rPr>
              <w:t>2006/42/EG</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TBD</w:t>
            </w:r>
          </w:p>
        </w:tc>
      </w:tr>
      <w:tr>
        <w:tc>
          <w:tcPr>
            <w:tcW w:type="dxa" w:w="2551"/>
          </w:tcPr>
          <w:p>
            <w:r>
              <w:rPr>
                <w:sz w:val="16"/>
              </w:rPr>
              <w:t>Reactorinstallatie veilig</w:t>
            </w:r>
          </w:p>
        </w:tc>
        <w:tc>
          <w:tcPr>
            <w:tcW w:type="dxa" w:w="1984"/>
          </w:tcPr>
          <w:p>
            <w:r>
              <w:rPr>
                <w:sz w:val="16"/>
              </w:rPr>
              <w:t>2006/42/EG / PED</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TBD</w:t>
            </w:r>
          </w:p>
        </w:tc>
      </w:tr>
      <w:tr>
        <w:tc>
          <w:tcPr>
            <w:tcW w:type="dxa" w:w="2551"/>
            <w:shd w:fill="F0F4F8" w:val="clear"/>
          </w:tcPr>
          <w:p>
            <w:r>
              <w:rPr>
                <w:sz w:val="16"/>
              </w:rPr>
              <w:t>Machine inspectie voor ingebruikname</w:t>
            </w:r>
          </w:p>
        </w:tc>
        <w:tc>
          <w:tcPr>
            <w:tcW w:type="dxa" w:w="1984"/>
            <w:shd w:fill="F0F4F8" w:val="clear"/>
          </w:tcPr>
          <w:p>
            <w:r>
              <w:rPr>
                <w:sz w:val="16"/>
              </w:rPr>
              <w:t>2006/42/EG</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Leverancier</w:t>
            </w:r>
          </w:p>
        </w:tc>
      </w:tr>
    </w:tbl>
    <w:p/>
    <w:p>
      <w:pPr>
        <w:pStyle w:val="Heading2"/>
      </w:pPr>
      <w:r>
        <w:t>3.8 Transport</w:t>
      </w:r>
    </w:p>
    <w:p>
      <w:r>
        <w:t>(1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ADR 2025 compliant vervoer gevaarlijke stoffen geregeld</w:t>
            </w:r>
          </w:p>
        </w:tc>
        <w:tc>
          <w:tcPr>
            <w:tcW w:type="dxa" w:w="1984"/>
          </w:tcPr>
          <w:p>
            <w:r>
              <w:rPr>
                <w:sz w:val="16"/>
              </w:rPr>
              <w:t>ADR 2025 (verplicht per 1 juli 2025)</w:t>
            </w:r>
          </w:p>
        </w:tc>
        <w:tc>
          <w:tcPr>
            <w:tcW w:type="dxa" w:w="3402"/>
          </w:tcPr>
          <w:p>
            <w:r>
              <w:rPr>
                <w:sz w:val="16"/>
              </w:rPr>
              <w:t>Het vervoer van H₂SO₄ (UN 1830, klasse 8), HCl (UN 1789, klasse 8), en vanadiumverbindingen moet conform ADR 2025 worden geregeld. Dit omvat: goedgekeurde verpakking/containers, VEVI-documenten, veiligheidsadviseur aangesteld, en chauffeurs in het bezit van ADR-certificaat. Voor nieuwe ADR 2025-wijzigingen: natrium-ion batterijen en elektrische voertuigen in klasse 9 [11].</w:t>
            </w:r>
          </w:p>
        </w:tc>
        <w:tc>
          <w:tcPr>
            <w:tcW w:type="dxa" w:w="1701"/>
          </w:tcPr>
          <w:p>
            <w:r>
              <w:rPr>
                <w:sz w:val="16"/>
              </w:rPr>
              <w:t>ADR-compliance aangetoond; veiligheidsadviseur aangesteld; alle vervoer gedocumenteerd</w:t>
            </w:r>
          </w:p>
        </w:tc>
        <w:tc>
          <w:tcPr>
            <w:tcW w:type="dxa" w:w="1417"/>
          </w:tcPr>
          <w:p>
            <w:r>
              <w:rPr>
                <w:sz w:val="16"/>
              </w:rPr>
              <w:t>ADR-compliance dossier + veiligheidsadviseursrapport</w:t>
            </w:r>
          </w:p>
        </w:tc>
        <w:tc>
          <w:tcPr>
            <w:tcW w:type="dxa" w:w="567"/>
          </w:tcPr>
          <w:p>
            <w:r>
              <w:rPr>
                <w:sz w:val="16"/>
              </w:rPr>
              <w:t>H</w:t>
            </w:r>
          </w:p>
        </w:tc>
        <w:tc>
          <w:tcPr>
            <w:tcW w:type="dxa" w:w="1417"/>
          </w:tcPr>
          <w:p>
            <w:r>
              <w:rPr>
                <w:sz w:val="16"/>
              </w:rPr>
              <w:t>HSEQ Manager</w:t>
            </w:r>
          </w:p>
        </w:tc>
      </w:tr>
    </w:tbl>
    <w:p/>
    <w:p>
      <w:pPr>
        <w:pStyle w:val="Heading2"/>
      </w:pPr>
      <w:r>
        <w:t>3.9 Elektrische Veiligheid</w:t>
      </w:r>
    </w:p>
    <w:p>
      <w:r>
        <w:t>(14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Elektrische installatie conform NEN 1010:2020+C1:2024</w:t>
            </w:r>
          </w:p>
        </w:tc>
        <w:tc>
          <w:tcPr>
            <w:tcW w:type="dxa" w:w="1984"/>
          </w:tcPr>
          <w:p>
            <w:r>
              <w:rPr>
                <w:sz w:val="16"/>
              </w:rPr>
              <w:t>NEN 1010:2020+C1:2024</w:t>
            </w:r>
          </w:p>
        </w:tc>
        <w:tc>
          <w:tcPr>
            <w:tcW w:type="dxa" w:w="3402"/>
          </w:tcPr>
          <w:p>
            <w:r>
              <w:rPr>
                <w:sz w:val="16"/>
              </w:rPr>
              <w:t>De elektrische installatie moet conform NEN 1010 worden ontworpen: aarding (TN-S systeem), aardlekschakelaars (30 mA voor stopcontacten, 300 mA voor verlichting), overbelastingsbeveiliging, en kortsluitbeveiliging. In ATEX-zones moet de installatie Ex-proof zijn (verhoogde veiligheid, drukbestendige behuizing, of intrinsiek veilig) [12].</w:t>
            </w:r>
          </w:p>
        </w:tc>
        <w:tc>
          <w:tcPr>
            <w:tcW w:type="dxa" w:w="1701"/>
          </w:tcPr>
          <w:p>
            <w:r>
              <w:rPr>
                <w:sz w:val="16"/>
              </w:rPr>
              <w:t>Installatie conform NEN 1010; aarding TN-S; Ex-proof in ATEX-zones; keuring gepland</w:t>
            </w:r>
          </w:p>
        </w:tc>
        <w:tc>
          <w:tcPr>
            <w:tcW w:type="dxa" w:w="1417"/>
          </w:tcPr>
          <w:p>
            <w:r>
              <w:rPr>
                <w:sz w:val="16"/>
              </w:rPr>
              <w:t>Elektrisch ontwerp + NEN 1010 conformiteitsverklaring</w:t>
            </w:r>
          </w:p>
        </w:tc>
        <w:tc>
          <w:tcPr>
            <w:tcW w:type="dxa" w:w="567"/>
          </w:tcPr>
          <w:p>
            <w:r>
              <w:rPr>
                <w:sz w:val="16"/>
              </w:rPr>
              <w:t>H</w:t>
            </w:r>
          </w:p>
        </w:tc>
        <w:tc>
          <w:tcPr>
            <w:tcW w:type="dxa" w:w="1417"/>
          </w:tcPr>
          <w:p>
            <w:r>
              <w:rPr>
                <w:sz w:val="16"/>
              </w:rPr>
              <w:t>Elektrotechnisch Installateur</w:t>
            </w:r>
          </w:p>
        </w:tc>
      </w:tr>
      <w:tr>
        <w:tc>
          <w:tcPr>
            <w:tcW w:type="dxa" w:w="2551"/>
            <w:shd w:fill="F0F4F8" w:val="clear"/>
          </w:tcPr>
          <w:p>
            <w:r>
              <w:rPr>
                <w:sz w:val="16"/>
              </w:rPr>
              <w:t>Tijdelijke elektrische installatie veilig conform NEN 1010</w:t>
            </w:r>
          </w:p>
        </w:tc>
        <w:tc>
          <w:tcPr>
            <w:tcW w:type="dxa" w:w="1984"/>
            <w:shd w:fill="F0F4F8" w:val="clear"/>
          </w:tcPr>
          <w:p>
            <w:r>
              <w:rPr>
                <w:sz w:val="16"/>
              </w:rPr>
              <w:t>NEN 1010:2020+C1:2024 §7</w:t>
            </w:r>
          </w:p>
        </w:tc>
        <w:tc>
          <w:tcPr>
            <w:tcW w:type="dxa" w:w="3402"/>
            <w:shd w:fill="F0F4F8" w:val="clear"/>
          </w:tcPr>
          <w:p>
            <w:r>
              <w:rPr>
                <w:sz w:val="16"/>
              </w:rPr>
              <w:t>Tijdelijke elektrische installaties (bouwlift, verlichting, gereedschap) moeten conform NEN 1010 zijn uitgevoerd: aardlekschakelaars (30 mA), geaarde stopcontacten, kabels beschermd tegen mechanische beschadiging, en waterdichte verbindingen (IP44 minimaal). Keuring vóór ingebruikname en maandelijkse visuele controle [12].</w:t>
            </w:r>
          </w:p>
        </w:tc>
        <w:tc>
          <w:tcPr>
            <w:tcW w:type="dxa" w:w="1701"/>
            <w:shd w:fill="F0F4F8" w:val="clear"/>
          </w:tcPr>
          <w:p>
            <w:r>
              <w:rPr>
                <w:sz w:val="16"/>
              </w:rPr>
              <w:t>Tijdelijke installatie gekeurd; aardlekschakelaars 30 mA; kabels beschermd; maandelijkse controle</w:t>
            </w:r>
          </w:p>
        </w:tc>
        <w:tc>
          <w:tcPr>
            <w:tcW w:type="dxa" w:w="1417"/>
            <w:shd w:fill="F0F4F8" w:val="clear"/>
          </w:tcPr>
          <w:p>
            <w:r>
              <w:rPr>
                <w:sz w:val="16"/>
              </w:rPr>
              <w:t>Keuringsrapport tijdelijke installatie</w:t>
            </w:r>
          </w:p>
        </w:tc>
        <w:tc>
          <w:tcPr>
            <w:tcW w:type="dxa" w:w="567"/>
            <w:shd w:fill="F0F4F8" w:val="clear"/>
          </w:tcPr>
          <w:p>
            <w:r>
              <w:rPr>
                <w:sz w:val="16"/>
              </w:rPr>
              <w:t>M</w:t>
            </w:r>
          </w:p>
        </w:tc>
        <w:tc>
          <w:tcPr>
            <w:tcW w:type="dxa" w:w="1417"/>
            <w:shd w:fill="F0F4F8" w:val="clear"/>
          </w:tcPr>
          <w:p>
            <w:r>
              <w:rPr>
                <w:sz w:val="16"/>
              </w:rPr>
              <w:t>Elektrotechnisch Installateur</w:t>
            </w:r>
          </w:p>
        </w:tc>
      </w:tr>
      <w:tr>
        <w:tc>
          <w:tcPr>
            <w:tcW w:type="dxa" w:w="2551"/>
          </w:tcPr>
          <w:p>
            <w:r>
              <w:rPr>
                <w:sz w:val="16"/>
              </w:rPr>
              <w:t>Ex-bescherming elektrische apparatuur in ATEX-zones geverifieerd</w:t>
            </w:r>
          </w:p>
        </w:tc>
        <w:tc>
          <w:tcPr>
            <w:tcW w:type="dxa" w:w="1984"/>
          </w:tcPr>
          <w:p>
            <w:r>
              <w:rPr>
                <w:sz w:val="16"/>
              </w:rPr>
              <w:t>ATEX 2014/34/EU, NEN-EN 60079</w:t>
            </w:r>
          </w:p>
        </w:tc>
        <w:tc>
          <w:tcPr>
            <w:tcW w:type="dxa" w:w="3402"/>
          </w:tcPr>
          <w:p>
            <w:r>
              <w:rPr>
                <w:sz w:val="16"/>
              </w:rPr>
              <w:t>Alle elektrische apparatuur in ATEX-zones moet: (1) het juiste Ex-markering hebben (zone 0/20: Ex ia, zone 1/21: Ex ib/e/d/p, zone 2/22: Ex nA/nC), (2) installatie conform NEN-EN 60079-14, (3) verbindingen gasdicht, (4) aarding intact. Inspectie door Ex-gekwalificeerd persoon vereist [8].</w:t>
            </w:r>
          </w:p>
        </w:tc>
        <w:tc>
          <w:tcPr>
            <w:tcW w:type="dxa" w:w="1701"/>
          </w:tcPr>
          <w:p>
            <w:r>
              <w:rPr>
                <w:sz w:val="16"/>
              </w:rPr>
              <w:t>100% Ex-apparatuur geverifieerd; installatie conform NEN-EN 60079-14; Ex-gecertificeerd persoon goedgekeurd</w:t>
            </w:r>
          </w:p>
        </w:tc>
        <w:tc>
          <w:tcPr>
            <w:tcW w:type="dxa" w:w="1417"/>
          </w:tcPr>
          <w:p>
            <w:r>
              <w:rPr>
                <w:sz w:val="16"/>
              </w:rPr>
              <w:t>Ex-inspectierapport</w:t>
            </w:r>
          </w:p>
        </w:tc>
        <w:tc>
          <w:tcPr>
            <w:tcW w:type="dxa" w:w="567"/>
          </w:tcPr>
          <w:p>
            <w:r>
              <w:rPr>
                <w:sz w:val="16"/>
              </w:rPr>
              <w:t>H</w:t>
            </w:r>
          </w:p>
        </w:tc>
        <w:tc>
          <w:tcPr>
            <w:tcW w:type="dxa" w:w="1417"/>
          </w:tcPr>
          <w:p>
            <w:r>
              <w:rPr>
                <w:sz w:val="16"/>
              </w:rPr>
              <w:t>Ex-Inspecteur</w:t>
            </w:r>
          </w:p>
        </w:tc>
      </w:tr>
      <w:tr>
        <w:tc>
          <w:tcPr>
            <w:tcW w:type="dxa" w:w="2551"/>
            <w:shd w:fill="F0F4F8" w:val="clear"/>
          </w:tcPr>
          <w:p>
            <w:r>
              <w:rPr>
                <w:sz w:val="16"/>
              </w:rPr>
              <w:t>Periodieke keuring elektrische installatie</w:t>
            </w:r>
          </w:p>
        </w:tc>
        <w:tc>
          <w:tcPr>
            <w:tcW w:type="dxa" w:w="1984"/>
            <w:shd w:fill="F0F4F8" w:val="clear"/>
          </w:tcPr>
          <w:p>
            <w:r>
              <w:rPr>
                <w:sz w:val="16"/>
              </w:rPr>
              <w:t>NEN 1010:2020+C1:2024, NEN 3140</w:t>
            </w:r>
          </w:p>
        </w:tc>
        <w:tc>
          <w:tcPr>
            <w:tcW w:type="dxa" w:w="3402"/>
            <w:shd w:fill="F0F4F8" w:val="clear"/>
          </w:tcPr>
          <w:p>
            <w:r>
              <w:rPr>
                <w:sz w:val="16"/>
              </w:rPr>
              <w:t>De elektrische installatie moet periodiek worden gekeurd conform NEN 3140: vaste installatie elke 5 jaar (of vaker bij zware omstandigheden), verplaatsbare middelen jaarlijks. Keuring omvat: aarding, isolatieweerstand, aardlekschakelaars (werking), en thermografie (hot spots). Keuringsrapport met bevindingen en hersteltermijnen [12].</w:t>
            </w:r>
          </w:p>
        </w:tc>
        <w:tc>
          <w:tcPr>
            <w:tcW w:type="dxa" w:w="1701"/>
            <w:shd w:fill="F0F4F8" w:val="clear"/>
          </w:tcPr>
          <w:p>
            <w:r>
              <w:rPr>
                <w:sz w:val="16"/>
              </w:rPr>
              <w:t>Keuringsschema conform NEN 3140; alle keuringen uitgevoerd; bevindingen hersteld</w:t>
            </w:r>
          </w:p>
        </w:tc>
        <w:tc>
          <w:tcPr>
            <w:tcW w:type="dxa" w:w="1417"/>
            <w:shd w:fill="F0F4F8" w:val="clear"/>
          </w:tcPr>
          <w:p>
            <w:r>
              <w:rPr>
                <w:sz w:val="16"/>
              </w:rPr>
              <w:t>Keuringsrapporten NEN 3140</w:t>
            </w:r>
          </w:p>
        </w:tc>
        <w:tc>
          <w:tcPr>
            <w:tcW w:type="dxa" w:w="567"/>
            <w:shd w:fill="F0F4F8" w:val="clear"/>
          </w:tcPr>
          <w:p>
            <w:r>
              <w:rPr>
                <w:sz w:val="16"/>
              </w:rPr>
              <w:t>M</w:t>
            </w:r>
          </w:p>
        </w:tc>
        <w:tc>
          <w:tcPr>
            <w:tcW w:type="dxa" w:w="1417"/>
            <w:shd w:fill="F0F4F8" w:val="clear"/>
          </w:tcPr>
          <w:p>
            <w:r>
              <w:rPr>
                <w:sz w:val="16"/>
              </w:rPr>
              <w:t>Elektrotechnisch Installateur</w:t>
            </w:r>
          </w:p>
        </w:tc>
      </w:tr>
      <w:tr>
        <w:tc>
          <w:tcPr>
            <w:tcW w:type="dxa" w:w="2551"/>
          </w:tcPr>
          <w:p>
            <w:r>
              <w:rPr>
                <w:sz w:val="16"/>
              </w:rPr>
              <w:t>NEN 1010:2020+C1:2024 laagspanning</w:t>
            </w:r>
          </w:p>
        </w:tc>
        <w:tc>
          <w:tcPr>
            <w:tcW w:type="dxa" w:w="1984"/>
          </w:tcPr>
          <w:p>
            <w:r>
              <w:rPr>
                <w:sz w:val="16"/>
              </w:rPr>
              <w:t>NEN 1010:2020+C1:2024</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TBD</w:t>
            </w:r>
          </w:p>
        </w:tc>
      </w:tr>
      <w:tr>
        <w:tc>
          <w:tcPr>
            <w:tcW w:type="dxa" w:w="2551"/>
            <w:shd w:fill="F0F4F8" w:val="clear"/>
          </w:tcPr>
          <w:p>
            <w:r>
              <w:rPr>
                <w:sz w:val="16"/>
              </w:rPr>
              <w:t>NEN-EN 60204-1 machines</w:t>
            </w:r>
          </w:p>
        </w:tc>
        <w:tc>
          <w:tcPr>
            <w:tcW w:type="dxa" w:w="1984"/>
            <w:shd w:fill="F0F4F8" w:val="clear"/>
          </w:tcPr>
          <w:p>
            <w:r>
              <w:rPr>
                <w:sz w:val="16"/>
              </w:rPr>
              <w:t>NEN-EN 60204-1</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TBD</w:t>
            </w:r>
          </w:p>
        </w:tc>
      </w:tr>
      <w:tr>
        <w:tc>
          <w:tcPr>
            <w:tcW w:type="dxa" w:w="2551"/>
          </w:tcPr>
          <w:p>
            <w:r>
              <w:rPr>
                <w:sz w:val="16"/>
              </w:rPr>
              <w:t>Hoogspanning (indien van toepassing)</w:t>
            </w:r>
          </w:p>
        </w:tc>
        <w:tc>
          <w:tcPr>
            <w:tcW w:type="dxa" w:w="1984"/>
          </w:tcPr>
          <w:p>
            <w:r>
              <w:rPr>
                <w:sz w:val="16"/>
              </w:rPr>
              <w:t>NEN 1010:2020+C1:2024</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M</w:t>
            </w:r>
          </w:p>
        </w:tc>
        <w:tc>
          <w:tcPr>
            <w:tcW w:type="dxa" w:w="1417"/>
          </w:tcPr>
          <w:p>
            <w:r>
              <w:rPr>
                <w:sz w:val="16"/>
              </w:rPr>
              <w:t>TBD</w:t>
            </w:r>
          </w:p>
        </w:tc>
      </w:tr>
      <w:tr>
        <w:tc>
          <w:tcPr>
            <w:tcW w:type="dxa" w:w="2551"/>
            <w:shd w:fill="F0F4F8" w:val="clear"/>
          </w:tcPr>
          <w:p>
            <w:r>
              <w:rPr>
                <w:sz w:val="16"/>
              </w:rPr>
              <w:t>Aardingssysteem</w:t>
            </w:r>
          </w:p>
        </w:tc>
        <w:tc>
          <w:tcPr>
            <w:tcW w:type="dxa" w:w="1984"/>
            <w:shd w:fill="F0F4F8" w:val="clear"/>
          </w:tcPr>
          <w:p>
            <w:r>
              <w:rPr>
                <w:sz w:val="16"/>
              </w:rPr>
              <w:t>NEN 1010:2020+C1:2024</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TBD</w:t>
            </w:r>
          </w:p>
        </w:tc>
      </w:tr>
      <w:tr>
        <w:tc>
          <w:tcPr>
            <w:tcW w:type="dxa" w:w="2551"/>
          </w:tcPr>
          <w:p>
            <w:r>
              <w:rPr>
                <w:sz w:val="16"/>
              </w:rPr>
              <w:t>Bliksembeveiliging NEN-EN 62305</w:t>
            </w:r>
          </w:p>
        </w:tc>
        <w:tc>
          <w:tcPr>
            <w:tcW w:type="dxa" w:w="1984"/>
          </w:tcPr>
          <w:p>
            <w:r>
              <w:rPr>
                <w:sz w:val="16"/>
              </w:rPr>
              <w:t>NEN-EN 62305</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M</w:t>
            </w:r>
          </w:p>
        </w:tc>
        <w:tc>
          <w:tcPr>
            <w:tcW w:type="dxa" w:w="1417"/>
          </w:tcPr>
          <w:p>
            <w:r>
              <w:rPr>
                <w:sz w:val="16"/>
              </w:rPr>
              <w:t>TBD</w:t>
            </w:r>
          </w:p>
        </w:tc>
      </w:tr>
      <w:tr>
        <w:tc>
          <w:tcPr>
            <w:tcW w:type="dxa" w:w="2551"/>
            <w:shd w:fill="F0F4F8" w:val="clear"/>
          </w:tcPr>
          <w:p>
            <w:r>
              <w:rPr>
                <w:sz w:val="16"/>
              </w:rPr>
              <w:t>Overspanningsbeveiliging</w:t>
            </w:r>
          </w:p>
        </w:tc>
        <w:tc>
          <w:tcPr>
            <w:tcW w:type="dxa" w:w="1984"/>
            <w:shd w:fill="F0F4F8" w:val="clear"/>
          </w:tcPr>
          <w:p>
            <w:r>
              <w:rPr>
                <w:sz w:val="16"/>
              </w:rPr>
              <w:t>NEN-EN 62305</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M</w:t>
            </w:r>
          </w:p>
        </w:tc>
        <w:tc>
          <w:tcPr>
            <w:tcW w:type="dxa" w:w="1417"/>
            <w:shd w:fill="F0F4F8" w:val="clear"/>
          </w:tcPr>
          <w:p>
            <w:r>
              <w:rPr>
                <w:sz w:val="16"/>
              </w:rPr>
              <w:t>TBD</w:t>
            </w:r>
          </w:p>
        </w:tc>
      </w:tr>
      <w:tr>
        <w:tc>
          <w:tcPr>
            <w:tcW w:type="dxa" w:w="2551"/>
          </w:tcPr>
          <w:p>
            <w:r>
              <w:rPr>
                <w:sz w:val="16"/>
              </w:rPr>
              <w:t>EMC-compliance</w:t>
            </w:r>
          </w:p>
        </w:tc>
        <w:tc>
          <w:tcPr>
            <w:tcW w:type="dxa" w:w="1984"/>
          </w:tcPr>
          <w:p>
            <w:r>
              <w:rPr>
                <w:sz w:val="16"/>
              </w:rPr>
              <w:t>EMC-richtlijn</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L</w:t>
            </w:r>
          </w:p>
        </w:tc>
        <w:tc>
          <w:tcPr>
            <w:tcW w:type="dxa" w:w="1417"/>
          </w:tcPr>
          <w:p>
            <w:r>
              <w:rPr>
                <w:sz w:val="16"/>
              </w:rPr>
              <w:t>TBD</w:t>
            </w:r>
          </w:p>
        </w:tc>
      </w:tr>
      <w:tr>
        <w:tc>
          <w:tcPr>
            <w:tcW w:type="dxa" w:w="2551"/>
            <w:shd w:fill="F0F4F8" w:val="clear"/>
          </w:tcPr>
          <w:p>
            <w:r>
              <w:rPr>
                <w:sz w:val="16"/>
              </w:rPr>
              <w:t>Noodstroomvoorziening</w:t>
            </w:r>
          </w:p>
        </w:tc>
        <w:tc>
          <w:tcPr>
            <w:tcW w:type="dxa" w:w="1984"/>
            <w:shd w:fill="F0F4F8" w:val="clear"/>
          </w:tcPr>
          <w:p>
            <w:r>
              <w:rPr>
                <w:sz w:val="16"/>
              </w:rPr>
              <w:t>Bouwbesluit / Best practice</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TBD</w:t>
            </w:r>
          </w:p>
        </w:tc>
      </w:tr>
      <w:tr>
        <w:tc>
          <w:tcPr>
            <w:tcW w:type="dxa" w:w="2551"/>
          </w:tcPr>
          <w:p>
            <w:r>
              <w:rPr>
                <w:sz w:val="16"/>
              </w:rPr>
              <w:t>Tijdelijke stroomvoorziening gekeurd</w:t>
            </w:r>
          </w:p>
        </w:tc>
        <w:tc>
          <w:tcPr>
            <w:tcW w:type="dxa" w:w="1984"/>
          </w:tcPr>
          <w:p>
            <w:r>
              <w:rPr>
                <w:sz w:val="16"/>
              </w:rPr>
              <w:t>NEN 1010:2020+C1:2024</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Installateur</w:t>
            </w:r>
          </w:p>
        </w:tc>
      </w:tr>
      <w:tr>
        <w:tc>
          <w:tcPr>
            <w:tcW w:type="dxa" w:w="2551"/>
            <w:shd w:fill="F0F4F8" w:val="clear"/>
          </w:tcPr>
          <w:p>
            <w:r>
              <w:rPr>
                <w:sz w:val="16"/>
              </w:rPr>
              <w:t>Thermografie inspectie schakelkasten</w:t>
            </w:r>
          </w:p>
        </w:tc>
        <w:tc>
          <w:tcPr>
            <w:tcW w:type="dxa" w:w="1984"/>
            <w:shd w:fill="F0F4F8" w:val="clear"/>
          </w:tcPr>
          <w:p>
            <w:r>
              <w:rPr>
                <w:sz w:val="16"/>
              </w:rPr>
              <w:t>NEN 1010:2020+C1:2024</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M</w:t>
            </w:r>
          </w:p>
        </w:tc>
        <w:tc>
          <w:tcPr>
            <w:tcW w:type="dxa" w:w="1417"/>
            <w:shd w:fill="F0F4F8" w:val="clear"/>
          </w:tcPr>
          <w:p>
            <w:r>
              <w:rPr>
                <w:sz w:val="16"/>
              </w:rPr>
              <w:t>Installateur</w:t>
            </w:r>
          </w:p>
        </w:tc>
      </w:tr>
    </w:tbl>
    <w:p/>
    <w:p>
      <w:pPr>
        <w:pStyle w:val="Heading2"/>
      </w:pPr>
      <w:r>
        <w:t>3.10 Seveso-regeling 2024</w:t>
      </w:r>
    </w:p>
    <w:p>
      <w:r>
        <w:t>(3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Seveso-regeling 2024 van toepassing bepaald</w:t>
            </w:r>
          </w:p>
        </w:tc>
        <w:tc>
          <w:tcPr>
            <w:tcW w:type="dxa" w:w="1984"/>
          </w:tcPr>
          <w:p>
            <w:r>
              <w:rPr>
                <w:sz w:val="16"/>
              </w:rPr>
              <w:t>Seveso-regeling 2024</w:t>
            </w:r>
          </w:p>
        </w:tc>
        <w:tc>
          <w:tcPr>
            <w:tcW w:type="dxa" w:w="3402"/>
          </w:tcPr>
          <w:p>
            <w:r>
              <w:rPr>
                <w:sz w:val="16"/>
              </w:rPr>
              <w:t>Bepaal of de pilot plant onder de Seveso-regeling 2024 (voorheen BRZO) valt op basis van de hoeveelheden gevaarlijke stoffen: H₂SO₄ (drempelwaarde 100 ton voor categorie 1), HCl, en vanadiumverbindingen. Indien van toepassing: Veiligheidsrapport (VR) of Notitie Beheersing Risico's (NBR) vereist, evenals een intern en extern noodplan. De Seveso-regeling is in werking getreden per 2024 [7].</w:t>
            </w:r>
          </w:p>
        </w:tc>
        <w:tc>
          <w:tcPr>
            <w:tcW w:type="dxa" w:w="1701"/>
          </w:tcPr>
          <w:p>
            <w:r>
              <w:rPr>
                <w:sz w:val="16"/>
              </w:rPr>
              <w:t>Seveso-applicability bepaald; indien van toepassing: VR/NBR ingediend; noodplan compleet</w:t>
            </w:r>
          </w:p>
        </w:tc>
        <w:tc>
          <w:tcPr>
            <w:tcW w:type="dxa" w:w="1417"/>
          </w:tcPr>
          <w:p>
            <w:r>
              <w:rPr>
                <w:sz w:val="16"/>
              </w:rPr>
              <w:t>Seveso-applicability assessment + VR/NBR (indien van toepassing)</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Noodplan intern en extern getest</w:t>
            </w:r>
          </w:p>
        </w:tc>
        <w:tc>
          <w:tcPr>
            <w:tcW w:type="dxa" w:w="1984"/>
            <w:shd w:fill="F0F4F8" w:val="clear"/>
          </w:tcPr>
          <w:p>
            <w:r>
              <w:rPr>
                <w:sz w:val="16"/>
              </w:rPr>
              <w:t>Seveso-regeling 2024</w:t>
            </w:r>
          </w:p>
        </w:tc>
        <w:tc>
          <w:tcPr>
            <w:tcW w:type="dxa" w:w="3402"/>
            <w:shd w:fill="F0F4F8" w:val="clear"/>
          </w:tcPr>
          <w:p>
            <w:r>
              <w:rPr>
                <w:sz w:val="16"/>
              </w:rPr>
              <w:t>Indien Seveso van toepassing: het interne en externe noodplan moeten zijn getest middels een tabletop-oefening (minimaal) of een live-oefening (aanbevolen). Scenario: zuurlek met letsel. Evaluatie: responstijd, communicatie, evacuatie, en blus/opvang. Bevindingen verwerken in plan-update [7].</w:t>
            </w:r>
          </w:p>
        </w:tc>
        <w:tc>
          <w:tcPr>
            <w:tcW w:type="dxa" w:w="1701"/>
            <w:shd w:fill="F0F4F8" w:val="clear"/>
          </w:tcPr>
          <w:p>
            <w:r>
              <w:rPr>
                <w:sz w:val="16"/>
              </w:rPr>
              <w:t>Noodplan getest; evaluatierapport beschikbaar; bevindingen verwerkt</w:t>
            </w:r>
          </w:p>
        </w:tc>
        <w:tc>
          <w:tcPr>
            <w:tcW w:type="dxa" w:w="1417"/>
            <w:shd w:fill="F0F4F8" w:val="clear"/>
          </w:tcPr>
          <w:p>
            <w:r>
              <w:rPr>
                <w:sz w:val="16"/>
              </w:rPr>
              <w:t>Noodplan oefenrapport + evaluatie</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MVR/VR up-to-date en periodiek herzien</w:t>
            </w:r>
          </w:p>
        </w:tc>
        <w:tc>
          <w:tcPr>
            <w:tcW w:type="dxa" w:w="1984"/>
          </w:tcPr>
          <w:p>
            <w:r>
              <w:rPr>
                <w:sz w:val="16"/>
              </w:rPr>
              <w:t>Seveso-regeling 2024</w:t>
            </w:r>
          </w:p>
        </w:tc>
        <w:tc>
          <w:tcPr>
            <w:tcW w:type="dxa" w:w="3402"/>
          </w:tcPr>
          <w:p>
            <w:r>
              <w:rPr>
                <w:sz w:val="16"/>
              </w:rPr>
              <w:t>Indien Seveso van toepassing: het Milieuzorgsysteem (MVR) of Veiligheidsrapport (VR) moet periodiek worden herzien (minimaal elke 5 jaar of bij significante wijzigingen). De herziening toetst of alle maatregelen nog actueel en effectief zijn. Bij wijzigingen in het proces (nieuwe stoffen, andere apparatuur) moet een wijzigingsnotitie worden opgesteld [7].</w:t>
            </w:r>
          </w:p>
        </w:tc>
        <w:tc>
          <w:tcPr>
            <w:tcW w:type="dxa" w:w="1701"/>
          </w:tcPr>
          <w:p>
            <w:r>
              <w:rPr>
                <w:sz w:val="16"/>
              </w:rPr>
              <w:t>MVR/VR herzien &lt; 5 jaar; wijzigingsnotities bij proceswijzigingen</w:t>
            </w:r>
          </w:p>
        </w:tc>
        <w:tc>
          <w:tcPr>
            <w:tcW w:type="dxa" w:w="1417"/>
          </w:tcPr>
          <w:p>
            <w:r>
              <w:rPr>
                <w:sz w:val="16"/>
              </w:rPr>
              <w:t>Herzieningsrapport MVR/VR</w:t>
            </w:r>
          </w:p>
        </w:tc>
        <w:tc>
          <w:tcPr>
            <w:tcW w:type="dxa" w:w="567"/>
          </w:tcPr>
          <w:p>
            <w:r>
              <w:rPr>
                <w:sz w:val="16"/>
              </w:rPr>
              <w:t>H</w:t>
            </w:r>
          </w:p>
        </w:tc>
        <w:tc>
          <w:tcPr>
            <w:tcW w:type="dxa" w:w="1417"/>
          </w:tcPr>
          <w:p>
            <w:r>
              <w:rPr>
                <w:sz w:val="16"/>
              </w:rPr>
              <w:t>HSEQ Manager</w:t>
            </w:r>
          </w:p>
        </w:tc>
      </w:tr>
    </w:tbl>
    <w:p/>
    <w:p>
      <w:pPr>
        <w:pStyle w:val="Heading2"/>
      </w:pPr>
      <w:r>
        <w:t>3.11 Documentatie &amp; Kwaliteitsborging</w:t>
      </w:r>
    </w:p>
    <w:p>
      <w:r>
        <w:t>(13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Document Management Systeem (DMS) geïmplementeerd</w:t>
            </w:r>
          </w:p>
        </w:tc>
        <w:tc>
          <w:tcPr>
            <w:tcW w:type="dxa" w:w="1984"/>
          </w:tcPr>
          <w:p>
            <w:r>
              <w:rPr>
                <w:sz w:val="16"/>
              </w:rPr>
              <w:t>ISO 9001, MASTER_SOP §7</w:t>
            </w:r>
          </w:p>
        </w:tc>
        <w:tc>
          <w:tcPr>
            <w:tcW w:type="dxa" w:w="3402"/>
          </w:tcPr>
          <w:p>
            <w:r>
              <w:rPr>
                <w:sz w:val="16"/>
              </w:rPr>
              <w:t>Een DMS moet vóór de bouwfase operationeel zijn. Vereisten: versiebeheer (semantic versioning), goedkeuringsmatrix (opsteller → reviewer → goedkeurder), distributielijsten, archief (oud → nieuw), en toegangsbeheer. Alle projectdocumenten (tekeningen, berekeningen, procedures, keuringsrapporten) moeten in het DMS worden beheerd. Het DMS moet voldoen aan ISO 9001 eisen voor documentbeheer [12].</w:t>
            </w:r>
          </w:p>
        </w:tc>
        <w:tc>
          <w:tcPr>
            <w:tcW w:type="dxa" w:w="1701"/>
          </w:tcPr>
          <w:p>
            <w:r>
              <w:rPr>
                <w:sz w:val="16"/>
              </w:rPr>
              <w:t>DMS operationeel; versiebeheer actief; goedkeuringsmatrix functioneel; alle documenten opgenomen</w:t>
            </w:r>
          </w:p>
        </w:tc>
        <w:tc>
          <w:tcPr>
            <w:tcW w:type="dxa" w:w="1417"/>
          </w:tcPr>
          <w:p>
            <w:r>
              <w:rPr>
                <w:sz w:val="16"/>
              </w:rPr>
              <w:t>DMS procedure + goedkeuringsmatrix + user-acceptatie test</w:t>
            </w:r>
          </w:p>
        </w:tc>
        <w:tc>
          <w:tcPr>
            <w:tcW w:type="dxa" w:w="567"/>
          </w:tcPr>
          <w:p>
            <w:r>
              <w:rPr>
                <w:sz w:val="16"/>
              </w:rPr>
              <w:t>H</w:t>
            </w:r>
          </w:p>
        </w:tc>
        <w:tc>
          <w:tcPr>
            <w:tcW w:type="dxa" w:w="1417"/>
          </w:tcPr>
          <w:p>
            <w:r>
              <w:rPr>
                <w:sz w:val="16"/>
              </w:rPr>
              <w:t>Project Manager</w:t>
            </w:r>
          </w:p>
        </w:tc>
      </w:tr>
      <w:tr>
        <w:tc>
          <w:tcPr>
            <w:tcW w:type="dxa" w:w="2551"/>
            <w:shd w:fill="F0F4F8" w:val="clear"/>
          </w:tcPr>
          <w:p>
            <w:r>
              <w:rPr>
                <w:sz w:val="16"/>
              </w:rPr>
              <w:t>Alle documenten voorzien van versiebeheer en classificatie</w:t>
            </w:r>
          </w:p>
        </w:tc>
        <w:tc>
          <w:tcPr>
            <w:tcW w:type="dxa" w:w="1984"/>
            <w:shd w:fill="F0F4F8" w:val="clear"/>
          </w:tcPr>
          <w:p>
            <w:r>
              <w:rPr>
                <w:sz w:val="16"/>
              </w:rPr>
              <w:t>MASTER_SOP §7, ISO 9001 §7.5</w:t>
            </w:r>
          </w:p>
        </w:tc>
        <w:tc>
          <w:tcPr>
            <w:tcW w:type="dxa" w:w="3402"/>
            <w:shd w:fill="F0F4F8" w:val="clear"/>
          </w:tcPr>
          <w:p>
            <w:r>
              <w:rPr>
                <w:sz w:val="16"/>
              </w:rPr>
              <w:t>Elk document moet bevatten: versienummer (MAJOR.MINOR.PATCH), status (Concept/Review/Goedgekeurd/Vervallen), auteur, reviewer, goedkeurder, en datum. Classificatie: Vertrouwelijk/Intern/Openbaar. Documenten mogen NOOIT worden overschreven — oude versies gaan naar archief. Template: JvG huisstijl met logo, footer, documentheader [12].</w:t>
            </w:r>
          </w:p>
        </w:tc>
        <w:tc>
          <w:tcPr>
            <w:tcW w:type="dxa" w:w="1701"/>
            <w:shd w:fill="F0F4F8" w:val="clear"/>
          </w:tcPr>
          <w:p>
            <w:r>
              <w:rPr>
                <w:sz w:val="16"/>
              </w:rPr>
              <w:t>100% van documenten voorzien van metadata; geen overschrijvingen; archief actief</w:t>
            </w:r>
          </w:p>
        </w:tc>
        <w:tc>
          <w:tcPr>
            <w:tcW w:type="dxa" w:w="1417"/>
            <w:shd w:fill="F0F4F8" w:val="clear"/>
          </w:tcPr>
          <w:p>
            <w:r>
              <w:rPr>
                <w:sz w:val="16"/>
              </w:rPr>
              <w:t>Documentenregister + template-bibliotheek</w:t>
            </w:r>
          </w:p>
        </w:tc>
        <w:tc>
          <w:tcPr>
            <w:tcW w:type="dxa" w:w="567"/>
            <w:shd w:fill="F0F4F8" w:val="clear"/>
          </w:tcPr>
          <w:p>
            <w:r>
              <w:rPr>
                <w:sz w:val="16"/>
              </w:rPr>
              <w:t>H</w:t>
            </w:r>
          </w:p>
        </w:tc>
        <w:tc>
          <w:tcPr>
            <w:tcW w:type="dxa" w:w="1417"/>
            <w:shd w:fill="F0F4F8" w:val="clear"/>
          </w:tcPr>
          <w:p>
            <w:r>
              <w:rPr>
                <w:sz w:val="16"/>
              </w:rPr>
              <w:t>Project Manager</w:t>
            </w:r>
          </w:p>
        </w:tc>
      </w:tr>
      <w:tr>
        <w:tc>
          <w:tcPr>
            <w:tcW w:type="dxa" w:w="2551"/>
          </w:tcPr>
          <w:p>
            <w:r>
              <w:rPr>
                <w:sz w:val="16"/>
              </w:rPr>
              <w:t>Bouwlogboek bijgehouden (dagelijks)</w:t>
            </w:r>
          </w:p>
        </w:tc>
        <w:tc>
          <w:tcPr>
            <w:tcW w:type="dxa" w:w="1984"/>
          </w:tcPr>
          <w:p>
            <w:r>
              <w:rPr>
                <w:sz w:val="16"/>
              </w:rPr>
              <w:t>Best practice, ISO 9001</w:t>
            </w:r>
          </w:p>
        </w:tc>
        <w:tc>
          <w:tcPr>
            <w:tcW w:type="dxa" w:w="3402"/>
          </w:tcPr>
          <w:p>
            <w:r>
              <w:rPr>
                <w:sz w:val="16"/>
              </w:rPr>
              <w:t>Het bouwlogboek registreert dagelijks: weercondities, uitgevoerde werkzaamheden, incidenten/near misses, aanwezige aannemers, en afwijkingen van het plan. Het logboek is het primaire spoor van de bouwfase en wordt gebruikt bij eventuele geschillen of Claims. Digitaal aanbevolen (tablet) [12].</w:t>
            </w:r>
          </w:p>
        </w:tc>
        <w:tc>
          <w:tcPr>
            <w:tcW w:type="dxa" w:w="1701"/>
          </w:tcPr>
          <w:p>
            <w:r>
              <w:rPr>
                <w:sz w:val="16"/>
              </w:rPr>
              <w:t>Bouwlogboek dagelijks bijgehouden; alle incidenten geregistreerd; digitaal beschikbaar</w:t>
            </w:r>
          </w:p>
        </w:tc>
        <w:tc>
          <w:tcPr>
            <w:tcW w:type="dxa" w:w="1417"/>
          </w:tcPr>
          <w:p>
            <w:r>
              <w:rPr>
                <w:sz w:val="16"/>
              </w:rPr>
              <w:t>Digitaal bouwlogboek</w:t>
            </w:r>
          </w:p>
        </w:tc>
        <w:tc>
          <w:tcPr>
            <w:tcW w:type="dxa" w:w="567"/>
          </w:tcPr>
          <w:p>
            <w:r>
              <w:rPr>
                <w:sz w:val="16"/>
              </w:rPr>
              <w:t>M</w:t>
            </w:r>
          </w:p>
        </w:tc>
        <w:tc>
          <w:tcPr>
            <w:tcW w:type="dxa" w:w="1417"/>
          </w:tcPr>
          <w:p>
            <w:r>
              <w:rPr>
                <w:sz w:val="16"/>
              </w:rPr>
              <w:t>Project Manager</w:t>
            </w:r>
          </w:p>
        </w:tc>
      </w:tr>
      <w:tr>
        <w:tc>
          <w:tcPr>
            <w:tcW w:type="dxa" w:w="2551"/>
            <w:shd w:fill="F0F4F8" w:val="clear"/>
          </w:tcPr>
          <w:p>
            <w:r>
              <w:rPr>
                <w:sz w:val="16"/>
              </w:rPr>
              <w:t>Inspectierapporten gearchiveerd in DMS</w:t>
            </w:r>
          </w:p>
        </w:tc>
        <w:tc>
          <w:tcPr>
            <w:tcW w:type="dxa" w:w="1984"/>
            <w:shd w:fill="F0F4F8" w:val="clear"/>
          </w:tcPr>
          <w:p>
            <w:r>
              <w:rPr>
                <w:sz w:val="16"/>
              </w:rPr>
              <w:t>ISO 9001, MASTER_SOP §7</w:t>
            </w:r>
          </w:p>
        </w:tc>
        <w:tc>
          <w:tcPr>
            <w:tcW w:type="dxa" w:w="3402"/>
            <w:shd w:fill="F0F4F8" w:val="clear"/>
          </w:tcPr>
          <w:p>
            <w:r>
              <w:rPr>
                <w:sz w:val="16"/>
              </w:rPr>
              <w:t>Alle inspecties tijdens de bouwfase (beton, staal, lassen, coating) moeten worden vastgelegd in rapporten en gearchiveerd in het DMS. Elke inspectie moet bevatten: datum, inspector, resultaat (GO/NO-GO), afwijkingen, en foto's. Niet-goedgekeurde werkzaamheden moeten worden hersteld vóór voortgang [12].</w:t>
            </w:r>
          </w:p>
        </w:tc>
        <w:tc>
          <w:tcPr>
            <w:tcW w:type="dxa" w:w="1701"/>
            <w:shd w:fill="F0F4F8" w:val="clear"/>
          </w:tcPr>
          <w:p>
            <w:r>
              <w:rPr>
                <w:sz w:val="16"/>
              </w:rPr>
              <w:t>100% inspectierapporten gearchiveerd; afwijkingen opgelost vóór voortgang</w:t>
            </w:r>
          </w:p>
        </w:tc>
        <w:tc>
          <w:tcPr>
            <w:tcW w:type="dxa" w:w="1417"/>
            <w:shd w:fill="F0F4F8" w:val="clear"/>
          </w:tcPr>
          <w:p>
            <w:r>
              <w:rPr>
                <w:sz w:val="16"/>
              </w:rPr>
              <w:t>Inspectierapporten archief in DMS</w:t>
            </w:r>
          </w:p>
        </w:tc>
        <w:tc>
          <w:tcPr>
            <w:tcW w:type="dxa" w:w="567"/>
            <w:shd w:fill="F0F4F8" w:val="clear"/>
          </w:tcPr>
          <w:p>
            <w:r>
              <w:rPr>
                <w:sz w:val="16"/>
              </w:rPr>
              <w:t>M</w:t>
            </w:r>
          </w:p>
        </w:tc>
        <w:tc>
          <w:tcPr>
            <w:tcW w:type="dxa" w:w="1417"/>
            <w:shd w:fill="F0F4F8" w:val="clear"/>
          </w:tcPr>
          <w:p>
            <w:r>
              <w:rPr>
                <w:sz w:val="16"/>
              </w:rPr>
              <w:t>QC Inspector</w:t>
            </w:r>
          </w:p>
        </w:tc>
      </w:tr>
      <w:tr>
        <w:tc>
          <w:tcPr>
            <w:tcW w:type="dxa" w:w="2551"/>
          </w:tcPr>
          <w:p>
            <w:r>
              <w:rPr>
                <w:sz w:val="16"/>
              </w:rPr>
              <w:t>As-built documentatie compleet (tekeningen, certificaten)</w:t>
            </w:r>
          </w:p>
        </w:tc>
        <w:tc>
          <w:tcPr>
            <w:tcW w:type="dxa" w:w="1984"/>
          </w:tcPr>
          <w:p>
            <w:r>
              <w:rPr>
                <w:sz w:val="16"/>
              </w:rPr>
              <w:t>ISO 9001, MASTER_SOP §7</w:t>
            </w:r>
          </w:p>
        </w:tc>
        <w:tc>
          <w:tcPr>
            <w:tcW w:type="dxa" w:w="3402"/>
          </w:tcPr>
          <w:p>
            <w:r>
              <w:rPr>
                <w:sz w:val="16"/>
              </w:rPr>
              <w:t>Na installatie moeten alle tekeningen worden bijgewerkt naar as-built status: P&amp;ID's, isometrische tekeningen, elektrotechnische schema's, en instrumentatie-diagrammen. Ook alle fabriekscertificaten (mill certs), lascertificaten, en keuringsrapporten moeten compleet zijn en in het DMS zijn gearchiveerd [12].</w:t>
            </w:r>
          </w:p>
        </w:tc>
        <w:tc>
          <w:tcPr>
            <w:tcW w:type="dxa" w:w="1701"/>
          </w:tcPr>
          <w:p>
            <w:r>
              <w:rPr>
                <w:sz w:val="16"/>
              </w:rPr>
              <w:t>100% as-built tekeningen bijgewerkt; alle certificaten gearchiveerd in DMS</w:t>
            </w:r>
          </w:p>
        </w:tc>
        <w:tc>
          <w:tcPr>
            <w:tcW w:type="dxa" w:w="1417"/>
          </w:tcPr>
          <w:p>
            <w:r>
              <w:rPr>
                <w:sz w:val="16"/>
              </w:rPr>
              <w:t>As-built documentenset + DMS archief overzicht</w:t>
            </w:r>
          </w:p>
        </w:tc>
        <w:tc>
          <w:tcPr>
            <w:tcW w:type="dxa" w:w="567"/>
          </w:tcPr>
          <w:p>
            <w:r>
              <w:rPr>
                <w:sz w:val="16"/>
              </w:rPr>
              <w:t>H</w:t>
            </w:r>
          </w:p>
        </w:tc>
        <w:tc>
          <w:tcPr>
            <w:tcW w:type="dxa" w:w="1417"/>
          </w:tcPr>
          <w:p>
            <w:r>
              <w:rPr>
                <w:sz w:val="16"/>
              </w:rPr>
              <w:t>Project Engineer</w:t>
            </w:r>
          </w:p>
        </w:tc>
      </w:tr>
      <w:tr>
        <w:tc>
          <w:tcPr>
            <w:tcW w:type="dxa" w:w="2551"/>
            <w:shd w:fill="F0F4F8" w:val="clear"/>
          </w:tcPr>
          <w:p>
            <w:r>
              <w:rPr>
                <w:sz w:val="16"/>
              </w:rPr>
              <w:t>Opleveringsdossier compleet (alle documenten, certificaten, rapporten)</w:t>
            </w:r>
          </w:p>
        </w:tc>
        <w:tc>
          <w:tcPr>
            <w:tcW w:type="dxa" w:w="1984"/>
            <w:shd w:fill="F0F4F8" w:val="clear"/>
          </w:tcPr>
          <w:p>
            <w:r>
              <w:rPr>
                <w:sz w:val="16"/>
              </w:rPr>
              <w:t>ISO 9001, MASTER_SOP §7</w:t>
            </w:r>
          </w:p>
        </w:tc>
        <w:tc>
          <w:tcPr>
            <w:tcW w:type="dxa" w:w="3402"/>
            <w:shd w:fill="F0F4F8" w:val="clear"/>
          </w:tcPr>
          <w:p>
            <w:r>
              <w:rPr>
                <w:sz w:val="16"/>
              </w:rPr>
              <w:t>Het opleveringsdossier bevat: (1) alle as-built tekeningen, (2) alle keurings- en testrapporten, (3) fabriekscertificaten (mill certs), (4) CE-verklaringen, (5) bedienings- en onderhoudshandleidingen, (6) HAZOP/LOPA-rapporten, (7) trainingdocumentatie, (8) vergunningen. Het dossier moet compleet zijn vóór formele oplevering [12].</w:t>
            </w:r>
          </w:p>
        </w:tc>
        <w:tc>
          <w:tcPr>
            <w:tcW w:type="dxa" w:w="1701"/>
            <w:shd w:fill="F0F4F8" w:val="clear"/>
          </w:tcPr>
          <w:p>
            <w:r>
              <w:rPr>
                <w:sz w:val="16"/>
              </w:rPr>
              <w:t>Opleveringsdossier 100% compleet; gecontroleerd door Project Manager</w:t>
            </w:r>
          </w:p>
        </w:tc>
        <w:tc>
          <w:tcPr>
            <w:tcW w:type="dxa" w:w="1417"/>
            <w:shd w:fill="F0F4F8" w:val="clear"/>
          </w:tcPr>
          <w:p>
            <w:r>
              <w:rPr>
                <w:sz w:val="16"/>
              </w:rPr>
              <w:t>Opleveringsdossier (compleet in DMS)</w:t>
            </w:r>
          </w:p>
        </w:tc>
        <w:tc>
          <w:tcPr>
            <w:tcW w:type="dxa" w:w="567"/>
            <w:shd w:fill="F0F4F8" w:val="clear"/>
          </w:tcPr>
          <w:p>
            <w:r>
              <w:rPr>
                <w:sz w:val="16"/>
              </w:rPr>
              <w:t>H</w:t>
            </w:r>
          </w:p>
        </w:tc>
        <w:tc>
          <w:tcPr>
            <w:tcW w:type="dxa" w:w="1417"/>
            <w:shd w:fill="F0F4F8" w:val="clear"/>
          </w:tcPr>
          <w:p>
            <w:r>
              <w:rPr>
                <w:sz w:val="16"/>
              </w:rPr>
              <w:t>Project Manager</w:t>
            </w:r>
          </w:p>
        </w:tc>
      </w:tr>
      <w:tr>
        <w:tc>
          <w:tcPr>
            <w:tcW w:type="dxa" w:w="2551"/>
          </w:tcPr>
          <w:p>
            <w:r>
              <w:rPr>
                <w:sz w:val="16"/>
              </w:rPr>
              <w:t>DMS actueel en compleet: alle documenten up-to-date</w:t>
            </w:r>
          </w:p>
        </w:tc>
        <w:tc>
          <w:tcPr>
            <w:tcW w:type="dxa" w:w="1984"/>
          </w:tcPr>
          <w:p>
            <w:r>
              <w:rPr>
                <w:sz w:val="16"/>
              </w:rPr>
              <w:t>ISO 9001, MASTER_SOP §7</w:t>
            </w:r>
          </w:p>
        </w:tc>
        <w:tc>
          <w:tcPr>
            <w:tcW w:type="dxa" w:w="3402"/>
          </w:tcPr>
          <w:p>
            <w:r>
              <w:rPr>
                <w:sz w:val="16"/>
              </w:rPr>
              <w:t>Het Document Management Systeem moet actueel blijven: (1) procedures jaarlijks herzien, (2) nieuwe documenten direct toegevoegd, (3) verouderde documenten naar archief, (4) distributielijsten up-to-date. Jaarlijkse audit op DMS-compleetheid. Minimaal: alle operationele procedures, keuringsrapporten, en vergunningen zijn actueel [12].</w:t>
            </w:r>
          </w:p>
        </w:tc>
        <w:tc>
          <w:tcPr>
            <w:tcW w:type="dxa" w:w="1701"/>
          </w:tcPr>
          <w:p>
            <w:r>
              <w:rPr>
                <w:sz w:val="16"/>
              </w:rPr>
              <w:t>DMS jaarlijkse audit OK; alle procedures herzien; 0 verouderde documenten in gebruik</w:t>
            </w:r>
          </w:p>
        </w:tc>
        <w:tc>
          <w:tcPr>
            <w:tcW w:type="dxa" w:w="1417"/>
          </w:tcPr>
          <w:p>
            <w:r>
              <w:rPr>
                <w:sz w:val="16"/>
              </w:rPr>
              <w:t>DMS audit rapport</w:t>
            </w:r>
          </w:p>
        </w:tc>
        <w:tc>
          <w:tcPr>
            <w:tcW w:type="dxa" w:w="567"/>
          </w:tcPr>
          <w:p>
            <w:r>
              <w:rPr>
                <w:sz w:val="16"/>
              </w:rPr>
              <w:t>H</w:t>
            </w:r>
          </w:p>
        </w:tc>
        <w:tc>
          <w:tcPr>
            <w:tcW w:type="dxa" w:w="1417"/>
          </w:tcPr>
          <w:p>
            <w:r>
              <w:rPr>
                <w:sz w:val="16"/>
              </w:rPr>
              <w:t>Project Manager</w:t>
            </w:r>
          </w:p>
        </w:tc>
      </w:tr>
      <w:tr>
        <w:tc>
          <w:tcPr>
            <w:tcW w:type="dxa" w:w="2551"/>
            <w:shd w:fill="F0F4F8" w:val="clear"/>
          </w:tcPr>
          <w:p>
            <w:r>
              <w:rPr>
                <w:sz w:val="16"/>
              </w:rPr>
              <w:t>Project Quality Plan opgesteld</w:t>
            </w:r>
          </w:p>
        </w:tc>
        <w:tc>
          <w:tcPr>
            <w:tcW w:type="dxa" w:w="1984"/>
            <w:shd w:fill="F0F4F8" w:val="clear"/>
          </w:tcPr>
          <w:p>
            <w:r>
              <w:rPr>
                <w:sz w:val="16"/>
              </w:rPr>
              <w:t>ISO 9001</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M</w:t>
            </w:r>
          </w:p>
        </w:tc>
        <w:tc>
          <w:tcPr>
            <w:tcW w:type="dxa" w:w="1417"/>
            <w:shd w:fill="F0F4F8" w:val="clear"/>
          </w:tcPr>
          <w:p>
            <w:r>
              <w:rPr>
                <w:sz w:val="16"/>
              </w:rPr>
              <w:t>QA Manager</w:t>
            </w:r>
          </w:p>
        </w:tc>
      </w:tr>
      <w:tr>
        <w:tc>
          <w:tcPr>
            <w:tcW w:type="dxa" w:w="2551"/>
          </w:tcPr>
          <w:p>
            <w:r>
              <w:rPr>
                <w:sz w:val="16"/>
              </w:rPr>
              <w:t>Design Basis Memorandum vastgesteld</w:t>
            </w:r>
          </w:p>
        </w:tc>
        <w:tc>
          <w:tcPr>
            <w:tcW w:type="dxa" w:w="1984"/>
          </w:tcPr>
          <w:p>
            <w:r>
              <w:rPr>
                <w:sz w:val="16"/>
              </w:rPr>
              <w:t>Best practice</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H</w:t>
            </w:r>
          </w:p>
        </w:tc>
        <w:tc>
          <w:tcPr>
            <w:tcW w:type="dxa" w:w="1417"/>
          </w:tcPr>
          <w:p>
            <w:r>
              <w:rPr>
                <w:sz w:val="16"/>
              </w:rPr>
              <w:t>Project Manager</w:t>
            </w:r>
          </w:p>
        </w:tc>
      </w:tr>
      <w:tr>
        <w:tc>
          <w:tcPr>
            <w:tcW w:type="dxa" w:w="2551"/>
            <w:shd w:fill="F0F4F8" w:val="clear"/>
          </w:tcPr>
          <w:p>
            <w:r>
              <w:rPr>
                <w:sz w:val="16"/>
              </w:rPr>
              <w:t>Oplevering P&amp;ID's (as-built) gedigitaliseerd</w:t>
            </w:r>
          </w:p>
        </w:tc>
        <w:tc>
          <w:tcPr>
            <w:tcW w:type="dxa" w:w="1984"/>
            <w:shd w:fill="F0F4F8" w:val="clear"/>
          </w:tcPr>
          <w:p>
            <w:r>
              <w:rPr>
                <w:sz w:val="16"/>
              </w:rPr>
              <w:t>Best practice</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H</w:t>
            </w:r>
          </w:p>
        </w:tc>
        <w:tc>
          <w:tcPr>
            <w:tcW w:type="dxa" w:w="1417"/>
            <w:shd w:fill="F0F4F8" w:val="clear"/>
          </w:tcPr>
          <w:p>
            <w:r>
              <w:rPr>
                <w:sz w:val="16"/>
              </w:rPr>
              <w:t>Engineering</w:t>
            </w:r>
          </w:p>
        </w:tc>
      </w:tr>
      <w:tr>
        <w:tc>
          <w:tcPr>
            <w:tcW w:type="dxa" w:w="2551"/>
          </w:tcPr>
          <w:p>
            <w:r>
              <w:rPr>
                <w:sz w:val="16"/>
              </w:rPr>
              <w:t>Software backup SCADA/DCS</w:t>
            </w:r>
          </w:p>
        </w:tc>
        <w:tc>
          <w:tcPr>
            <w:tcW w:type="dxa" w:w="1984"/>
          </w:tcPr>
          <w:p>
            <w:r>
              <w:rPr>
                <w:sz w:val="16"/>
              </w:rPr>
              <w:t>Best practice</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M</w:t>
            </w:r>
          </w:p>
        </w:tc>
        <w:tc>
          <w:tcPr>
            <w:tcW w:type="dxa" w:w="1417"/>
          </w:tcPr>
          <w:p>
            <w:r>
              <w:rPr>
                <w:sz w:val="16"/>
              </w:rPr>
              <w:t>Automation</w:t>
            </w:r>
          </w:p>
        </w:tc>
      </w:tr>
      <w:tr>
        <w:tc>
          <w:tcPr>
            <w:tcW w:type="dxa" w:w="2551"/>
            <w:shd w:fill="F0F4F8" w:val="clear"/>
          </w:tcPr>
          <w:p>
            <w:r>
              <w:rPr>
                <w:sz w:val="16"/>
              </w:rPr>
              <w:t>Jaarlijks onderhoudsschema bijgewerkt</w:t>
            </w:r>
          </w:p>
        </w:tc>
        <w:tc>
          <w:tcPr>
            <w:tcW w:type="dxa" w:w="1984"/>
            <w:shd w:fill="F0F4F8" w:val="clear"/>
          </w:tcPr>
          <w:p>
            <w:r>
              <w:rPr>
                <w:sz w:val="16"/>
              </w:rPr>
              <w:t>Arbobesluit 7.1</w:t>
            </w:r>
          </w:p>
        </w:tc>
        <w:tc>
          <w:tcPr>
            <w:tcW w:type="dxa" w:w="3402"/>
            <w:shd w:fill="F0F4F8" w:val="clear"/>
          </w:tcPr>
          <w:p>
            <w:r>
              <w:rPr>
                <w:sz w:val="16"/>
              </w:rPr>
            </w:r>
          </w:p>
        </w:tc>
        <w:tc>
          <w:tcPr>
            <w:tcW w:type="dxa" w:w="1701"/>
            <w:shd w:fill="F0F4F8" w:val="clear"/>
          </w:tcPr>
          <w:p>
            <w:r>
              <w:rPr>
                <w:sz w:val="16"/>
              </w:rPr>
            </w:r>
          </w:p>
        </w:tc>
        <w:tc>
          <w:tcPr>
            <w:tcW w:type="dxa" w:w="1417"/>
            <w:shd w:fill="F0F4F8" w:val="clear"/>
          </w:tcPr>
          <w:p>
            <w:r>
              <w:rPr>
                <w:sz w:val="16"/>
              </w:rPr>
            </w:r>
          </w:p>
        </w:tc>
        <w:tc>
          <w:tcPr>
            <w:tcW w:type="dxa" w:w="567"/>
            <w:shd w:fill="F0F4F8" w:val="clear"/>
          </w:tcPr>
          <w:p>
            <w:r>
              <w:rPr>
                <w:sz w:val="16"/>
              </w:rPr>
              <w:t>M</w:t>
            </w:r>
          </w:p>
        </w:tc>
        <w:tc>
          <w:tcPr>
            <w:tcW w:type="dxa" w:w="1417"/>
            <w:shd w:fill="F0F4F8" w:val="clear"/>
          </w:tcPr>
          <w:p>
            <w:r>
              <w:rPr>
                <w:sz w:val="16"/>
              </w:rPr>
              <w:t>Onderhoud</w:t>
            </w:r>
          </w:p>
        </w:tc>
      </w:tr>
      <w:tr>
        <w:tc>
          <w:tcPr>
            <w:tcW w:type="dxa" w:w="2551"/>
          </w:tcPr>
          <w:p>
            <w:r>
              <w:rPr>
                <w:sz w:val="16"/>
              </w:rPr>
              <w:t>Bouwdagboek bijgehouden</w:t>
            </w:r>
          </w:p>
        </w:tc>
        <w:tc>
          <w:tcPr>
            <w:tcW w:type="dxa" w:w="1984"/>
          </w:tcPr>
          <w:p>
            <w:r>
              <w:rPr>
                <w:sz w:val="16"/>
              </w:rPr>
              <w:t>Besluit Bouwwerken Leefomgeving (Bbl)</w:t>
            </w:r>
          </w:p>
        </w:tc>
        <w:tc>
          <w:tcPr>
            <w:tcW w:type="dxa" w:w="3402"/>
          </w:tcPr>
          <w:p>
            <w:r>
              <w:rPr>
                <w:sz w:val="16"/>
              </w:rPr>
            </w:r>
          </w:p>
        </w:tc>
        <w:tc>
          <w:tcPr>
            <w:tcW w:type="dxa" w:w="1701"/>
          </w:tcPr>
          <w:p>
            <w:r>
              <w:rPr>
                <w:sz w:val="16"/>
              </w:rPr>
            </w:r>
          </w:p>
        </w:tc>
        <w:tc>
          <w:tcPr>
            <w:tcW w:type="dxa" w:w="1417"/>
          </w:tcPr>
          <w:p>
            <w:r>
              <w:rPr>
                <w:sz w:val="16"/>
              </w:rPr>
            </w:r>
          </w:p>
        </w:tc>
        <w:tc>
          <w:tcPr>
            <w:tcW w:type="dxa" w:w="567"/>
          </w:tcPr>
          <w:p>
            <w:r>
              <w:rPr>
                <w:sz w:val="16"/>
              </w:rPr>
              <w:t>M</w:t>
            </w:r>
          </w:p>
        </w:tc>
        <w:tc>
          <w:tcPr>
            <w:tcW w:type="dxa" w:w="1417"/>
          </w:tcPr>
          <w:p>
            <w:r>
              <w:rPr>
                <w:sz w:val="16"/>
              </w:rPr>
              <w:t>Bouwleiding</w:t>
            </w:r>
          </w:p>
        </w:tc>
      </w:tr>
    </w:tbl>
    <w:p/>
    <w:p>
      <w:pPr>
        <w:pStyle w:val="Heading2"/>
      </w:pPr>
      <w:r>
        <w:t>3.12 OT Cybersecurity (NIEUW)</w:t>
      </w:r>
    </w:p>
    <w:p>
      <w:r>
        <w:t>(13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ICS/SCADA systeemarchitectuur conform IEC 62443 ontworpen</w:t>
            </w:r>
          </w:p>
        </w:tc>
        <w:tc>
          <w:tcPr>
            <w:tcW w:type="dxa" w:w="1984"/>
          </w:tcPr>
          <w:p>
            <w:r>
              <w:rPr>
                <w:sz w:val="16"/>
              </w:rPr>
              <w:t>IEC 62443-1-1, IEC 62443-3-3</w:t>
            </w:r>
          </w:p>
        </w:tc>
        <w:tc>
          <w:tcPr>
            <w:tcW w:type="dxa" w:w="3402"/>
          </w:tcPr>
          <w:p>
            <w:r>
              <w:rPr>
                <w:sz w:val="16"/>
              </w:rPr>
              <w:t>De Industrial Control Systems architectuur moet conform IEC 62443 worden ontworpen met duidelijke scheiding tussen OT (DCS/SCADA/PLC's) en IT (bedrijfsnetwerk). De architectuur omvat: een DMZ (Demilitarized Zone) voor datadeling, firewall tussen OT en IT, en geïsoleerde netwerkzones voor verschillende procesdelen. Security Levels (SL 1-4) moeten per zone worden bepaald op basis van risicoanalyse [13].</w:t>
            </w:r>
          </w:p>
        </w:tc>
        <w:tc>
          <w:tcPr>
            <w:tcW w:type="dxa" w:w="1701"/>
          </w:tcPr>
          <w:p>
            <w:r>
              <w:rPr>
                <w:sz w:val="16"/>
              </w:rPr>
              <w:t>Netwerkarchitectuur met minimaal 3 zones (OT, DMZ, IT); SL bepaald per zone; DMZ geïmplementeerd</w:t>
            </w:r>
          </w:p>
        </w:tc>
        <w:tc>
          <w:tcPr>
            <w:tcW w:type="dxa" w:w="1417"/>
          </w:tcPr>
          <w:p>
            <w:r>
              <w:rPr>
                <w:sz w:val="16"/>
              </w:rPr>
              <w:t>Netwerkarchitectuurdocument + zone/conduit diagram</w:t>
            </w:r>
          </w:p>
        </w:tc>
        <w:tc>
          <w:tcPr>
            <w:tcW w:type="dxa" w:w="567"/>
          </w:tcPr>
          <w:p>
            <w:r>
              <w:rPr>
                <w:sz w:val="16"/>
              </w:rPr>
              <w:t>H</w:t>
            </w:r>
          </w:p>
        </w:tc>
        <w:tc>
          <w:tcPr>
            <w:tcW w:type="dxa" w:w="1417"/>
          </w:tcPr>
          <w:p>
            <w:r>
              <w:rPr>
                <w:sz w:val="16"/>
              </w:rPr>
              <w:t>Cybersecurity Manager</w:t>
            </w:r>
          </w:p>
        </w:tc>
      </w:tr>
      <w:tr>
        <w:tc>
          <w:tcPr>
            <w:tcW w:type="dxa" w:w="2551"/>
            <w:shd w:fill="F0F4F8" w:val="clear"/>
          </w:tcPr>
          <w:p>
            <w:r>
              <w:rPr>
                <w:sz w:val="16"/>
              </w:rPr>
              <w:t>Netwerksegmentatie OT/IT met DMZ en firewall architectuur</w:t>
            </w:r>
          </w:p>
        </w:tc>
        <w:tc>
          <w:tcPr>
            <w:tcW w:type="dxa" w:w="1984"/>
            <w:shd w:fill="F0F4F8" w:val="clear"/>
          </w:tcPr>
          <w:p>
            <w:r>
              <w:rPr>
                <w:sz w:val="16"/>
              </w:rPr>
              <w:t>IEC 62443-3-3</w:t>
            </w:r>
          </w:p>
        </w:tc>
        <w:tc>
          <w:tcPr>
            <w:tcW w:type="dxa" w:w="3402"/>
            <w:shd w:fill="F0F4F8" w:val="clear"/>
          </w:tcPr>
          <w:p>
            <w:r>
              <w:rPr>
                <w:sz w:val="16"/>
              </w:rPr>
              <w:t>De netwerksegmentatie moet fysiek en logisch worden gescheiden: OT-netwerk (procescontrole) op een apart VLAN/subnet, DMZ voor Historian/OPC-UA gateway, en IT-netwerk voor ERP/office. Firewalls moeten tussen elke zone worden geplaatst met whitelisting-beleid (deny-all-default). Remote access uitsluitend via bastion host met MFA [13].</w:t>
            </w:r>
          </w:p>
        </w:tc>
        <w:tc>
          <w:tcPr>
            <w:tcW w:type="dxa" w:w="1701"/>
            <w:shd w:fill="F0F4F8" w:val="clear"/>
          </w:tcPr>
          <w:p>
            <w:r>
              <w:rPr>
                <w:sz w:val="16"/>
              </w:rPr>
              <w:t>Fysieke/logische scheiding OT/IT; deny-all-default firewall; remote access via bastion host + MFA</w:t>
            </w:r>
          </w:p>
        </w:tc>
        <w:tc>
          <w:tcPr>
            <w:tcW w:type="dxa" w:w="1417"/>
            <w:shd w:fill="F0F4F8" w:val="clear"/>
          </w:tcPr>
          <w:p>
            <w:r>
              <w:rPr>
                <w:sz w:val="16"/>
              </w:rPr>
              <w:t>Firewall rule matrix + netwerktopologie</w:t>
            </w:r>
          </w:p>
        </w:tc>
        <w:tc>
          <w:tcPr>
            <w:tcW w:type="dxa" w:w="567"/>
            <w:shd w:fill="F0F4F8" w:val="clear"/>
          </w:tcPr>
          <w:p>
            <w:r>
              <w:rPr>
                <w:sz w:val="16"/>
              </w:rPr>
              <w:t>H</w:t>
            </w:r>
          </w:p>
        </w:tc>
        <w:tc>
          <w:tcPr>
            <w:tcW w:type="dxa" w:w="1417"/>
            <w:shd w:fill="F0F4F8" w:val="clear"/>
          </w:tcPr>
          <w:p>
            <w:r>
              <w:rPr>
                <w:sz w:val="16"/>
              </w:rPr>
              <w:t>Cybersecurity Manager</w:t>
            </w:r>
          </w:p>
        </w:tc>
      </w:tr>
      <w:tr>
        <w:tc>
          <w:tcPr>
            <w:tcW w:type="dxa" w:w="2551"/>
          </w:tcPr>
          <w:p>
            <w:r>
              <w:rPr>
                <w:sz w:val="16"/>
              </w:rPr>
              <w:t>Security Levels (SL 1-4) bepaald per zone en conduit</w:t>
            </w:r>
          </w:p>
        </w:tc>
        <w:tc>
          <w:tcPr>
            <w:tcW w:type="dxa" w:w="1984"/>
          </w:tcPr>
          <w:p>
            <w:r>
              <w:rPr>
                <w:sz w:val="16"/>
              </w:rPr>
              <w:t>IEC 62443-3-3</w:t>
            </w:r>
          </w:p>
        </w:tc>
        <w:tc>
          <w:tcPr>
            <w:tcW w:type="dxa" w:w="3402"/>
          </w:tcPr>
          <w:p>
            <w:r>
              <w:rPr>
                <w:sz w:val="16"/>
              </w:rPr>
              <w:t>Per zone (bijv. reactor-controle, opslag-monitoring, utilities) moet het vereiste Security Level (SL-T) worden bepaald. SL 1 = bescherming tegen casual violation, SL 2 = hacking met eenvoudige middelen, SL 3 = geavanceerde aanvallen, SL 4 = staat-actors. Voor de pilot plant geldt minimum SL 2 voor alle OT-zones, SL 3 voor kritieke veiligheidssystemen (ESD/SIS) [13].</w:t>
            </w:r>
          </w:p>
        </w:tc>
        <w:tc>
          <w:tcPr>
            <w:tcW w:type="dxa" w:w="1701"/>
          </w:tcPr>
          <w:p>
            <w:r>
              <w:rPr>
                <w:sz w:val="16"/>
              </w:rPr>
              <w:t>SL-T bepaald per zone; minimaal SL 2; SL 3 voor ESD/SIS zones</w:t>
            </w:r>
          </w:p>
        </w:tc>
        <w:tc>
          <w:tcPr>
            <w:tcW w:type="dxa" w:w="1417"/>
          </w:tcPr>
          <w:p>
            <w:r>
              <w:rPr>
                <w:sz w:val="16"/>
              </w:rPr>
              <w:t>Security Level assessment rapport</w:t>
            </w:r>
          </w:p>
        </w:tc>
        <w:tc>
          <w:tcPr>
            <w:tcW w:type="dxa" w:w="567"/>
          </w:tcPr>
          <w:p>
            <w:r>
              <w:rPr>
                <w:sz w:val="16"/>
              </w:rPr>
              <w:t>H</w:t>
            </w:r>
          </w:p>
        </w:tc>
        <w:tc>
          <w:tcPr>
            <w:tcW w:type="dxa" w:w="1417"/>
          </w:tcPr>
          <w:p>
            <w:r>
              <w:rPr>
                <w:sz w:val="16"/>
              </w:rPr>
              <w:t>Cybersecurity Manager</w:t>
            </w:r>
          </w:p>
        </w:tc>
      </w:tr>
      <w:tr>
        <w:tc>
          <w:tcPr>
            <w:tcW w:type="dxa" w:w="2551"/>
            <w:shd w:fill="F0F4F8" w:val="clear"/>
          </w:tcPr>
          <w:p>
            <w:r>
              <w:rPr>
                <w:sz w:val="16"/>
              </w:rPr>
              <w:t>Patch management strategie voor OT systemen vastgelegd</w:t>
            </w:r>
          </w:p>
        </w:tc>
        <w:tc>
          <w:tcPr>
            <w:tcW w:type="dxa" w:w="1984"/>
            <w:shd w:fill="F0F4F8" w:val="clear"/>
          </w:tcPr>
          <w:p>
            <w:r>
              <w:rPr>
                <w:sz w:val="16"/>
              </w:rPr>
              <w:t>ISA/IEC 62443-2-3</w:t>
            </w:r>
          </w:p>
        </w:tc>
        <w:tc>
          <w:tcPr>
            <w:tcW w:type="dxa" w:w="3402"/>
            <w:shd w:fill="F0F4F8" w:val="clear"/>
          </w:tcPr>
          <w:p>
            <w:r>
              <w:rPr>
                <w:sz w:val="16"/>
              </w:rPr>
              <w:t>OT systemen kunnen niet zomaar worden gepatcht tijdens productie. De patch management strategie moet definiëren: patch-vensters (geplande stilstand), test-omgeving voor patches, classificatie (critical/high/medium), en rollback-procedure. Critical patches binnen 14 dagen, high binnen 30 dagen, medium binnen 90 dagen. Documentatie van alle patches en hun status [13].</w:t>
            </w:r>
          </w:p>
        </w:tc>
        <w:tc>
          <w:tcPr>
            <w:tcW w:type="dxa" w:w="1701"/>
            <w:shd w:fill="F0F4F8" w:val="clear"/>
          </w:tcPr>
          <w:p>
            <w:r>
              <w:rPr>
                <w:sz w:val="16"/>
              </w:rPr>
              <w:t>Patch management procedure goedgekeurd; test-omgeving beschikbaar; SLA's gedefinieerd</w:t>
            </w:r>
          </w:p>
        </w:tc>
        <w:tc>
          <w:tcPr>
            <w:tcW w:type="dxa" w:w="1417"/>
            <w:shd w:fill="F0F4F8" w:val="clear"/>
          </w:tcPr>
          <w:p>
            <w:r>
              <w:rPr>
                <w:sz w:val="16"/>
              </w:rPr>
              <w:t>Patch management procedure</w:t>
            </w:r>
          </w:p>
        </w:tc>
        <w:tc>
          <w:tcPr>
            <w:tcW w:type="dxa" w:w="567"/>
            <w:shd w:fill="F0F4F8" w:val="clear"/>
          </w:tcPr>
          <w:p>
            <w:r>
              <w:rPr>
                <w:sz w:val="16"/>
              </w:rPr>
              <w:t>M</w:t>
            </w:r>
          </w:p>
        </w:tc>
        <w:tc>
          <w:tcPr>
            <w:tcW w:type="dxa" w:w="1417"/>
            <w:shd w:fill="F0F4F8" w:val="clear"/>
          </w:tcPr>
          <w:p>
            <w:r>
              <w:rPr>
                <w:sz w:val="16"/>
              </w:rPr>
              <w:t>Cybersecurity Manager</w:t>
            </w:r>
          </w:p>
        </w:tc>
      </w:tr>
      <w:tr>
        <w:tc>
          <w:tcPr>
            <w:tcW w:type="dxa" w:w="2551"/>
          </w:tcPr>
          <w:p>
            <w:r>
              <w:rPr>
                <w:sz w:val="16"/>
              </w:rPr>
              <w:t>Remote access beveiliging (VPN, MFA, bastion host)</w:t>
            </w:r>
          </w:p>
        </w:tc>
        <w:tc>
          <w:tcPr>
            <w:tcW w:type="dxa" w:w="1984"/>
          </w:tcPr>
          <w:p>
            <w:r>
              <w:rPr>
                <w:sz w:val="16"/>
              </w:rPr>
              <w:t>IEC 62443, NIS2 (EU) 2022/2555</w:t>
            </w:r>
          </w:p>
        </w:tc>
        <w:tc>
          <w:tcPr>
            <w:tcW w:type="dxa" w:w="3402"/>
          </w:tcPr>
          <w:p>
            <w:r>
              <w:rPr>
                <w:sz w:val="16"/>
              </w:rPr>
              <w:t>Toegang tot het OT-netwerk van buitenaf (leveranciers, remote support) moet uitsluitend via een bastion host met: encrypted VPN-tunnel (IPSec of WireGuard), multi-factor authenticatie (MFA), session recording, en time-limited access tokens. Directe RDP/SSH naar PLC's of SCADA-servers is verboden. Alle sessies moeten worden gelogd [13][19].</w:t>
            </w:r>
          </w:p>
        </w:tc>
        <w:tc>
          <w:tcPr>
            <w:tcW w:type="dxa" w:w="1701"/>
          </w:tcPr>
          <w:p>
            <w:r>
              <w:rPr>
                <w:sz w:val="16"/>
              </w:rPr>
              <w:t>Bastion host operationeel; MFA verplicht; session recording actief; directe RDP/SSH geblokkeerd</w:t>
            </w:r>
          </w:p>
        </w:tc>
        <w:tc>
          <w:tcPr>
            <w:tcW w:type="dxa" w:w="1417"/>
          </w:tcPr>
          <w:p>
            <w:r>
              <w:rPr>
                <w:sz w:val="16"/>
              </w:rPr>
              <w:t>Remote access policy + architectuurdocument</w:t>
            </w:r>
          </w:p>
        </w:tc>
        <w:tc>
          <w:tcPr>
            <w:tcW w:type="dxa" w:w="567"/>
          </w:tcPr>
          <w:p>
            <w:r>
              <w:rPr>
                <w:sz w:val="16"/>
              </w:rPr>
              <w:t>H</w:t>
            </w:r>
          </w:p>
        </w:tc>
        <w:tc>
          <w:tcPr>
            <w:tcW w:type="dxa" w:w="1417"/>
          </w:tcPr>
          <w:p>
            <w:r>
              <w:rPr>
                <w:sz w:val="16"/>
              </w:rPr>
              <w:t>Cybersecurity Manager</w:t>
            </w:r>
          </w:p>
        </w:tc>
      </w:tr>
      <w:tr>
        <w:tc>
          <w:tcPr>
            <w:tcW w:type="dxa" w:w="2551"/>
            <w:shd w:fill="F0F4F8" w:val="clear"/>
          </w:tcPr>
          <w:p>
            <w:r>
              <w:rPr>
                <w:sz w:val="16"/>
              </w:rPr>
              <w:t>Backup en disaster recovery plan voor DCS/SCADA</w:t>
            </w:r>
          </w:p>
        </w:tc>
        <w:tc>
          <w:tcPr>
            <w:tcW w:type="dxa" w:w="1984"/>
            <w:shd w:fill="F0F4F8" w:val="clear"/>
          </w:tcPr>
          <w:p>
            <w:r>
              <w:rPr>
                <w:sz w:val="16"/>
              </w:rPr>
              <w:t>IEC 62443, ISO 22301</w:t>
            </w:r>
          </w:p>
        </w:tc>
        <w:tc>
          <w:tcPr>
            <w:tcW w:type="dxa" w:w="3402"/>
            <w:shd w:fill="F0F4F8" w:val="clear"/>
          </w:tcPr>
          <w:p>
            <w:r>
              <w:rPr>
                <w:sz w:val="16"/>
              </w:rPr>
              <w:t>Het DR-plan moet dekken: DCS-configuratie, SCADA-databases, PLC-programma's, HMI-schermen en historian-data. Backups: dagelijks incrementeel, wekelijks volledig, offline opslag (air-gapped). RTO (Recovery Time Objective) &lt; 4 uur voor kritieke systemen, RPO (Recovery Point Objective) &lt; 1 uur. Jaarlijkse DR-test verplicht [13].</w:t>
            </w:r>
          </w:p>
        </w:tc>
        <w:tc>
          <w:tcPr>
            <w:tcW w:type="dxa" w:w="1701"/>
            <w:shd w:fill="F0F4F8" w:val="clear"/>
          </w:tcPr>
          <w:p>
            <w:r>
              <w:rPr>
                <w:sz w:val="16"/>
              </w:rPr>
              <w:t>DR-plan goedgekeurd; RTO &lt; 4 uur; RPO &lt; 1 uur; offline backup; jaarlijkse test gepland</w:t>
            </w:r>
          </w:p>
        </w:tc>
        <w:tc>
          <w:tcPr>
            <w:tcW w:type="dxa" w:w="1417"/>
            <w:shd w:fill="F0F4F8" w:val="clear"/>
          </w:tcPr>
          <w:p>
            <w:r>
              <w:rPr>
                <w:sz w:val="16"/>
              </w:rPr>
              <w:t>DR-plan + backup schema + testverslag</w:t>
            </w:r>
          </w:p>
        </w:tc>
        <w:tc>
          <w:tcPr>
            <w:tcW w:type="dxa" w:w="567"/>
            <w:shd w:fill="F0F4F8" w:val="clear"/>
          </w:tcPr>
          <w:p>
            <w:r>
              <w:rPr>
                <w:sz w:val="16"/>
              </w:rPr>
              <w:t>H</w:t>
            </w:r>
          </w:p>
        </w:tc>
        <w:tc>
          <w:tcPr>
            <w:tcW w:type="dxa" w:w="1417"/>
            <w:shd w:fill="F0F4F8" w:val="clear"/>
          </w:tcPr>
          <w:p>
            <w:r>
              <w:rPr>
                <w:sz w:val="16"/>
              </w:rPr>
              <w:t>Cybersecurity Manager</w:t>
            </w:r>
          </w:p>
        </w:tc>
      </w:tr>
      <w:tr>
        <w:tc>
          <w:tcPr>
            <w:tcW w:type="dxa" w:w="2551"/>
          </w:tcPr>
          <w:p>
            <w:r>
              <w:rPr>
                <w:sz w:val="16"/>
              </w:rPr>
              <w:t>Cybersecurity incident response plan opgesteld</w:t>
            </w:r>
          </w:p>
        </w:tc>
        <w:tc>
          <w:tcPr>
            <w:tcW w:type="dxa" w:w="1984"/>
          </w:tcPr>
          <w:p>
            <w:r>
              <w:rPr>
                <w:sz w:val="16"/>
              </w:rPr>
              <w:t>NIS2 (EU) 2022/2555, IEC 62443</w:t>
            </w:r>
          </w:p>
        </w:tc>
        <w:tc>
          <w:tcPr>
            <w:tcW w:type="dxa" w:w="3402"/>
          </w:tcPr>
          <w:p>
            <w:r>
              <w:rPr>
                <w:sz w:val="16"/>
              </w:rPr>
              <w:t>Het incident response plan moet scenario's dekken: ransomware, unauthorized access, DDoS, en supply chain aanval. Het plan bevat: escalatie-procedure (detection → triage → containment → eradication → recovery), communicatieplan (intern + extern), en contactpersonen (NCSC, CERT-NL). Voor NIS2-essentiële entiteiten is melding binnen 24 uur verplicht [19].</w:t>
            </w:r>
          </w:p>
        </w:tc>
        <w:tc>
          <w:tcPr>
            <w:tcW w:type="dxa" w:w="1701"/>
          </w:tcPr>
          <w:p>
            <w:r>
              <w:rPr>
                <w:sz w:val="16"/>
              </w:rPr>
              <w:t>IR-plan goedgekeurd; NCSC/CERT-NL contacten beschikbaar; tabletop-oefening gepland</w:t>
            </w:r>
          </w:p>
        </w:tc>
        <w:tc>
          <w:tcPr>
            <w:tcW w:type="dxa" w:w="1417"/>
          </w:tcPr>
          <w:p>
            <w:r>
              <w:rPr>
                <w:sz w:val="16"/>
              </w:rPr>
              <w:t>Incident response plan + contactenlijst</w:t>
            </w:r>
          </w:p>
        </w:tc>
        <w:tc>
          <w:tcPr>
            <w:tcW w:type="dxa" w:w="567"/>
          </w:tcPr>
          <w:p>
            <w:r>
              <w:rPr>
                <w:sz w:val="16"/>
              </w:rPr>
              <w:t>H</w:t>
            </w:r>
          </w:p>
        </w:tc>
        <w:tc>
          <w:tcPr>
            <w:tcW w:type="dxa" w:w="1417"/>
          </w:tcPr>
          <w:p>
            <w:r>
              <w:rPr>
                <w:sz w:val="16"/>
              </w:rPr>
              <w:t>Cybersecurity Manager</w:t>
            </w:r>
          </w:p>
        </w:tc>
      </w:tr>
      <w:tr>
        <w:tc>
          <w:tcPr>
            <w:tcW w:type="dxa" w:w="2551"/>
            <w:shd w:fill="F0F4F8" w:val="clear"/>
          </w:tcPr>
          <w:p>
            <w:r>
              <w:rPr>
                <w:sz w:val="16"/>
              </w:rPr>
              <w:t>NIS2 compliance assessment uitgevoerd</w:t>
            </w:r>
          </w:p>
        </w:tc>
        <w:tc>
          <w:tcPr>
            <w:tcW w:type="dxa" w:w="1984"/>
            <w:shd w:fill="F0F4F8" w:val="clear"/>
          </w:tcPr>
          <w:p>
            <w:r>
              <w:rPr>
                <w:sz w:val="16"/>
              </w:rPr>
              <w:t>NIS2 Richtlijn (EU) 2022/2555</w:t>
            </w:r>
          </w:p>
        </w:tc>
        <w:tc>
          <w:tcPr>
            <w:tcW w:type="dxa" w:w="3402"/>
            <w:shd w:fill="F0F4F8" w:val="clear"/>
          </w:tcPr>
          <w:p>
            <w:r>
              <w:rPr>
                <w:sz w:val="16"/>
              </w:rPr>
              <w:t>Bepaal of Phoenix Metals onder NIS2 valt als essentiële entiteit (chemische industrie &gt; 500 werknemers of &gt; €150M omzet). Indien van toepassing: verplichte maatregelen incl. risicoanalyse, beveiligingsbeleid, supply chain security, en meldingsplicht incidenten. Non-compliance kan leiden tot boetes tot €10M of 2% wereldwijde omzet [19].</w:t>
            </w:r>
          </w:p>
        </w:tc>
        <w:tc>
          <w:tcPr>
            <w:tcW w:type="dxa" w:w="1701"/>
            <w:shd w:fill="F0F4F8" w:val="clear"/>
          </w:tcPr>
          <w:p>
            <w:r>
              <w:rPr>
                <w:sz w:val="16"/>
              </w:rPr>
              <w:t>NIS2-appicability bepaald; compliance-gaps geïdentificeerd; herstelplan beschikbaar</w:t>
            </w:r>
          </w:p>
        </w:tc>
        <w:tc>
          <w:tcPr>
            <w:tcW w:type="dxa" w:w="1417"/>
            <w:shd w:fill="F0F4F8" w:val="clear"/>
          </w:tcPr>
          <w:p>
            <w:r>
              <w:rPr>
                <w:sz w:val="16"/>
              </w:rPr>
              <w:t>NIS2 compliance assessment rapport</w:t>
            </w:r>
          </w:p>
        </w:tc>
        <w:tc>
          <w:tcPr>
            <w:tcW w:type="dxa" w:w="567"/>
            <w:shd w:fill="F0F4F8" w:val="clear"/>
          </w:tcPr>
          <w:p>
            <w:r>
              <w:rPr>
                <w:sz w:val="16"/>
              </w:rPr>
              <w:t>M</w:t>
            </w:r>
          </w:p>
        </w:tc>
        <w:tc>
          <w:tcPr>
            <w:tcW w:type="dxa" w:w="1417"/>
            <w:shd w:fill="F0F4F8" w:val="clear"/>
          </w:tcPr>
          <w:p>
            <w:r>
              <w:rPr>
                <w:sz w:val="16"/>
              </w:rPr>
              <w:t>Cybersecurity Manager</w:t>
            </w:r>
          </w:p>
        </w:tc>
      </w:tr>
      <w:tr>
        <w:tc>
          <w:tcPr>
            <w:tcW w:type="dxa" w:w="2551"/>
          </w:tcPr>
          <w:p>
            <w:r>
              <w:rPr>
                <w:sz w:val="16"/>
              </w:rPr>
              <w:t>IDS/IPS voor OT netwerk geïnstalleerd en getest</w:t>
            </w:r>
          </w:p>
        </w:tc>
        <w:tc>
          <w:tcPr>
            <w:tcW w:type="dxa" w:w="1984"/>
          </w:tcPr>
          <w:p>
            <w:r>
              <w:rPr>
                <w:sz w:val="16"/>
              </w:rPr>
              <w:t>IEC 62443-3-3</w:t>
            </w:r>
          </w:p>
        </w:tc>
        <w:tc>
          <w:tcPr>
            <w:tcW w:type="dxa" w:w="3402"/>
          </w:tcPr>
          <w:p>
            <w:r>
              <w:rPr>
                <w:sz w:val="16"/>
              </w:rPr>
              <w:t>Een Intrusion Detection System (IDS) specifiek voor OT-netwerken (bijv. Claroty, Nozomi, of Dragos) moet worden geïnstalleerd. Het IDS monitort OT-verkeer op anomalieën (onbekende apparaten, ongebruikelijke communicatie, protocol-afwijkingen). Na installatie: baseline-periode van 2 weken om normaal verkeer te leren, daarna alert-mode [13].</w:t>
            </w:r>
          </w:p>
        </w:tc>
        <w:tc>
          <w:tcPr>
            <w:tcW w:type="dxa" w:w="1701"/>
          </w:tcPr>
          <w:p>
            <w:r>
              <w:rPr>
                <w:sz w:val="16"/>
              </w:rPr>
              <w:t>IDS operationeel; baseline voltooid; alert-mode actief; geen false positives &gt; 5/dag</w:t>
            </w:r>
          </w:p>
        </w:tc>
        <w:tc>
          <w:tcPr>
            <w:tcW w:type="dxa" w:w="1417"/>
          </w:tcPr>
          <w:p>
            <w:r>
              <w:rPr>
                <w:sz w:val="16"/>
              </w:rPr>
              <w:t>IDS configuratierapport + baseline rapport</w:t>
            </w:r>
          </w:p>
        </w:tc>
        <w:tc>
          <w:tcPr>
            <w:tcW w:type="dxa" w:w="567"/>
          </w:tcPr>
          <w:p>
            <w:r>
              <w:rPr>
                <w:sz w:val="16"/>
              </w:rPr>
              <w:t>H</w:t>
            </w:r>
          </w:p>
        </w:tc>
        <w:tc>
          <w:tcPr>
            <w:tcW w:type="dxa" w:w="1417"/>
          </w:tcPr>
          <w:p>
            <w:r>
              <w:rPr>
                <w:sz w:val="16"/>
              </w:rPr>
              <w:t>Cybersecurity Manager</w:t>
            </w:r>
          </w:p>
        </w:tc>
      </w:tr>
      <w:tr>
        <w:tc>
          <w:tcPr>
            <w:tcW w:type="dxa" w:w="2551"/>
            <w:shd w:fill="F0F4F8" w:val="clear"/>
          </w:tcPr>
          <w:p>
            <w:r>
              <w:rPr>
                <w:sz w:val="16"/>
              </w:rPr>
              <w:t>Firewall rules OT/IT geconfigureerd en getest</w:t>
            </w:r>
          </w:p>
        </w:tc>
        <w:tc>
          <w:tcPr>
            <w:tcW w:type="dxa" w:w="1984"/>
            <w:shd w:fill="F0F4F8" w:val="clear"/>
          </w:tcPr>
          <w:p>
            <w:r>
              <w:rPr>
                <w:sz w:val="16"/>
              </w:rPr>
              <w:t>IEC 62443-3-3</w:t>
            </w:r>
          </w:p>
        </w:tc>
        <w:tc>
          <w:tcPr>
            <w:tcW w:type="dxa" w:w="3402"/>
            <w:shd w:fill="F0F4F8" w:val="clear"/>
          </w:tcPr>
          <w:p>
            <w:r>
              <w:rPr>
                <w:sz w:val="16"/>
              </w:rPr>
              <w:t>Alle firewall rules moeten whitelisting zijn (deny-all-default). Per rule: source IP, destination IP, protocol, port, en direction. Testing: (1) toegestaan verkeer gaat door, (2) geblokkeerd verkeer wordt gelogd, (3) logging werkt. Rules moeten gedocumenteerd zijn en maandelijks worden geauditeerd [13].</w:t>
            </w:r>
          </w:p>
        </w:tc>
        <w:tc>
          <w:tcPr>
            <w:tcW w:type="dxa" w:w="1701"/>
            <w:shd w:fill="F0F4F8" w:val="clear"/>
          </w:tcPr>
          <w:p>
            <w:r>
              <w:rPr>
                <w:sz w:val="16"/>
              </w:rPr>
              <w:t>Firewall rules geconfigureerd; deny-all-default; getest; gedocumenteerd</w:t>
            </w:r>
          </w:p>
        </w:tc>
        <w:tc>
          <w:tcPr>
            <w:tcW w:type="dxa" w:w="1417"/>
            <w:shd w:fill="F0F4F8" w:val="clear"/>
          </w:tcPr>
          <w:p>
            <w:r>
              <w:rPr>
                <w:sz w:val="16"/>
              </w:rPr>
              <w:t>Firewall rule matrix + testrapport</w:t>
            </w:r>
          </w:p>
        </w:tc>
        <w:tc>
          <w:tcPr>
            <w:tcW w:type="dxa" w:w="567"/>
            <w:shd w:fill="F0F4F8" w:val="clear"/>
          </w:tcPr>
          <w:p>
            <w:r>
              <w:rPr>
                <w:sz w:val="16"/>
              </w:rPr>
              <w:t>H</w:t>
            </w:r>
          </w:p>
        </w:tc>
        <w:tc>
          <w:tcPr>
            <w:tcW w:type="dxa" w:w="1417"/>
            <w:shd w:fill="F0F4F8" w:val="clear"/>
          </w:tcPr>
          <w:p>
            <w:r>
              <w:rPr>
                <w:sz w:val="16"/>
              </w:rPr>
              <w:t>Cybersecurity Manager</w:t>
            </w:r>
          </w:p>
        </w:tc>
      </w:tr>
      <w:tr>
        <w:tc>
          <w:tcPr>
            <w:tcW w:type="dxa" w:w="2551"/>
          </w:tcPr>
          <w:p>
            <w:r>
              <w:rPr>
                <w:sz w:val="16"/>
              </w:rPr>
              <w:t>PEN-test OT netwerk uitgevoerd</w:t>
            </w:r>
          </w:p>
        </w:tc>
        <w:tc>
          <w:tcPr>
            <w:tcW w:type="dxa" w:w="1984"/>
          </w:tcPr>
          <w:p>
            <w:r>
              <w:rPr>
                <w:sz w:val="16"/>
              </w:rPr>
              <w:t>IEC 62443, NIS2 (EU) 2022/2555</w:t>
            </w:r>
          </w:p>
        </w:tc>
        <w:tc>
          <w:tcPr>
            <w:tcW w:type="dxa" w:w="3402"/>
          </w:tcPr>
          <w:p>
            <w:r>
              <w:rPr>
                <w:sz w:val="16"/>
              </w:rPr>
              <w:t>Een penetratie-test op het OT-netwerk moet worden uitgevoerd door een onafhankelijke partij. De test omvat: netwerkscanning, vulnerability assessment, en (indien akkoord) exploitatie-pogingen. Resultaat: bevindingen-rapport met classificatie (critical/high/medium/low) en hersteladvies. Critical/high bevindingen MOETEN worden opgelost vóór productie-start [13][19].</w:t>
            </w:r>
          </w:p>
        </w:tc>
        <w:tc>
          <w:tcPr>
            <w:tcW w:type="dxa" w:w="1701"/>
          </w:tcPr>
          <w:p>
            <w:r>
              <w:rPr>
                <w:sz w:val="16"/>
              </w:rPr>
              <w:t>PEN-test voltooid; critical/high bevindingen opgelost; rapport beschikbaar</w:t>
            </w:r>
          </w:p>
        </w:tc>
        <w:tc>
          <w:tcPr>
            <w:tcW w:type="dxa" w:w="1417"/>
          </w:tcPr>
          <w:p>
            <w:r>
              <w:rPr>
                <w:sz w:val="16"/>
              </w:rPr>
              <w:t>PEN-test rapport + herstelbewijzen</w:t>
            </w:r>
          </w:p>
        </w:tc>
        <w:tc>
          <w:tcPr>
            <w:tcW w:type="dxa" w:w="567"/>
          </w:tcPr>
          <w:p>
            <w:r>
              <w:rPr>
                <w:sz w:val="16"/>
              </w:rPr>
              <w:t>H</w:t>
            </w:r>
          </w:p>
        </w:tc>
        <w:tc>
          <w:tcPr>
            <w:tcW w:type="dxa" w:w="1417"/>
          </w:tcPr>
          <w:p>
            <w:r>
              <w:rPr>
                <w:sz w:val="16"/>
              </w:rPr>
              <w:t>Cybersecurity Manager</w:t>
            </w:r>
          </w:p>
        </w:tc>
      </w:tr>
      <w:tr>
        <w:tc>
          <w:tcPr>
            <w:tcW w:type="dxa" w:w="2551"/>
            <w:shd w:fill="F0F4F8" w:val="clear"/>
          </w:tcPr>
          <w:p>
            <w:r>
              <w:rPr>
                <w:sz w:val="16"/>
              </w:rPr>
              <w:t>PEN-test jaarlijks uitgevoerd</w:t>
            </w:r>
          </w:p>
        </w:tc>
        <w:tc>
          <w:tcPr>
            <w:tcW w:type="dxa" w:w="1984"/>
            <w:shd w:fill="F0F4F8" w:val="clear"/>
          </w:tcPr>
          <w:p>
            <w:r>
              <w:rPr>
                <w:sz w:val="16"/>
              </w:rPr>
              <w:t>IEC 62443, NIS2 (EU) 2022/2555</w:t>
            </w:r>
          </w:p>
        </w:tc>
        <w:tc>
          <w:tcPr>
            <w:tcW w:type="dxa" w:w="3402"/>
            <w:shd w:fill="F0F4F8" w:val="clear"/>
          </w:tcPr>
          <w:p>
            <w:r>
              <w:rPr>
                <w:sz w:val="16"/>
              </w:rPr>
              <w:t>Jaarlijkse penetratie-test op het OT-netwerk is verplicht. De test wordt uitgevoerd door een onafhankelijke partij en omvat: vulnerability scan, configuratie-audit, en (indien akkoord) gecontroleerde exploitatie. Bevindingen worden geclassificeerd en opgelost conform SLA (critical: 14 dagen, high: 30 dagen). Resultaten worden gerapporteerd aan management [13][19].</w:t>
            </w:r>
          </w:p>
        </w:tc>
        <w:tc>
          <w:tcPr>
            <w:tcW w:type="dxa" w:w="1701"/>
            <w:shd w:fill="F0F4F8" w:val="clear"/>
          </w:tcPr>
          <w:p>
            <w:r>
              <w:rPr>
                <w:sz w:val="16"/>
              </w:rPr>
              <w:t>Jaarlijkse PEN-test voltooid; critical/high opgelost; rapport beschikbaar</w:t>
            </w:r>
          </w:p>
        </w:tc>
        <w:tc>
          <w:tcPr>
            <w:tcW w:type="dxa" w:w="1417"/>
            <w:shd w:fill="F0F4F8" w:val="clear"/>
          </w:tcPr>
          <w:p>
            <w:r>
              <w:rPr>
                <w:sz w:val="16"/>
              </w:rPr>
              <w:t>PEN-test rapport + herstellog</w:t>
            </w:r>
          </w:p>
        </w:tc>
        <w:tc>
          <w:tcPr>
            <w:tcW w:type="dxa" w:w="567"/>
            <w:shd w:fill="F0F4F8" w:val="clear"/>
          </w:tcPr>
          <w:p>
            <w:r>
              <w:rPr>
                <w:sz w:val="16"/>
              </w:rPr>
              <w:t>M</w:t>
            </w:r>
          </w:p>
        </w:tc>
        <w:tc>
          <w:tcPr>
            <w:tcW w:type="dxa" w:w="1417"/>
            <w:shd w:fill="F0F4F8" w:val="clear"/>
          </w:tcPr>
          <w:p>
            <w:r>
              <w:rPr>
                <w:sz w:val="16"/>
              </w:rPr>
              <w:t>Cybersecurity Manager</w:t>
            </w:r>
          </w:p>
        </w:tc>
      </w:tr>
      <w:tr>
        <w:tc>
          <w:tcPr>
            <w:tcW w:type="dxa" w:w="2551"/>
          </w:tcPr>
          <w:p>
            <w:r>
              <w:rPr>
                <w:sz w:val="16"/>
              </w:rPr>
              <w:t>Patch management actief: maandelijks patch-cycle</w:t>
            </w:r>
          </w:p>
        </w:tc>
        <w:tc>
          <w:tcPr>
            <w:tcW w:type="dxa" w:w="1984"/>
          </w:tcPr>
          <w:p>
            <w:r>
              <w:rPr>
                <w:sz w:val="16"/>
              </w:rPr>
              <w:t>ISA/IEC 62443-2-3</w:t>
            </w:r>
          </w:p>
        </w:tc>
        <w:tc>
          <w:tcPr>
            <w:tcW w:type="dxa" w:w="3402"/>
          </w:tcPr>
          <w:p>
            <w:r>
              <w:rPr>
                <w:sz w:val="16"/>
              </w:rPr>
              <w:t>Maandelijks worden beschikbare patches geëvalueerd voor OT-systemen. Critical patches binnen 14 dagen, high binnen 30 dagen. Patches worden eerst getest in test-omgeving alvorens productie-OT. Rollback-procedure beschikbaar. Patch-log wordt bijgehouden met status per systeem [13].</w:t>
            </w:r>
          </w:p>
        </w:tc>
        <w:tc>
          <w:tcPr>
            <w:tcW w:type="dxa" w:w="1701"/>
          </w:tcPr>
          <w:p>
            <w:r>
              <w:rPr>
                <w:sz w:val="16"/>
              </w:rPr>
              <w:t>Maandelijkse patch-cycle actief; critical &lt; 14 dagen; test-omgeving gebruikt; log bijgewerkt</w:t>
            </w:r>
          </w:p>
        </w:tc>
        <w:tc>
          <w:tcPr>
            <w:tcW w:type="dxa" w:w="1417"/>
          </w:tcPr>
          <w:p>
            <w:r>
              <w:rPr>
                <w:sz w:val="16"/>
              </w:rPr>
              <w:t>Patch management log</w:t>
            </w:r>
          </w:p>
        </w:tc>
        <w:tc>
          <w:tcPr>
            <w:tcW w:type="dxa" w:w="567"/>
          </w:tcPr>
          <w:p>
            <w:r>
              <w:rPr>
                <w:sz w:val="16"/>
              </w:rPr>
              <w:t>M</w:t>
            </w:r>
          </w:p>
        </w:tc>
        <w:tc>
          <w:tcPr>
            <w:tcW w:type="dxa" w:w="1417"/>
          </w:tcPr>
          <w:p>
            <w:r>
              <w:rPr>
                <w:sz w:val="16"/>
              </w:rPr>
              <w:t>Cybersecurity Manager</w:t>
            </w:r>
          </w:p>
        </w:tc>
      </w:tr>
    </w:tbl>
    <w:p/>
    <w:p>
      <w:pPr>
        <w:pStyle w:val="Heading2"/>
      </w:pPr>
      <w:r>
        <w:t>3.13 Human Factors (NIEUW)</w:t>
      </w:r>
    </w:p>
    <w:p>
      <w:r>
        <w:t>(10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Control Room design conform NEN-EN-ISO 11064</w:t>
            </w:r>
          </w:p>
        </w:tc>
        <w:tc>
          <w:tcPr>
            <w:tcW w:type="dxa" w:w="1984"/>
          </w:tcPr>
          <w:p>
            <w:r>
              <w:rPr>
                <w:sz w:val="16"/>
              </w:rPr>
              <w:t>NEN-EN-ISO 11064-1 t/m 7</w:t>
            </w:r>
          </w:p>
        </w:tc>
        <w:tc>
          <w:tcPr>
            <w:tcW w:type="dxa" w:w="3402"/>
          </w:tcPr>
          <w:p>
            <w:r>
              <w:rPr>
                <w:sz w:val="16"/>
              </w:rPr>
              <w:t>De controlekamer moet conform ISO 11064 worden ontworpen: voldoende werkruimte per operator (minimaal 6 m²), line-of-sight naar kritieke beeldschermen, ergonomische werkplekken (verstelbare stoelen, monitor-arms), en adequate verlichting (300-500 lux, anti-glare). De lay-out moet ondersteunen dat operators overzicht behouden op het proces [14].</w:t>
            </w:r>
          </w:p>
        </w:tc>
        <w:tc>
          <w:tcPr>
            <w:tcW w:type="dxa" w:w="1701"/>
          </w:tcPr>
          <w:p>
            <w:r>
              <w:rPr>
                <w:sz w:val="16"/>
              </w:rPr>
              <w:t>Controlekamer voldoet aan ISO 11064; per operator ≥ 6 m²; verlichting 300-500 lux</w:t>
            </w:r>
          </w:p>
        </w:tc>
        <w:tc>
          <w:tcPr>
            <w:tcW w:type="dxa" w:w="1417"/>
          </w:tcPr>
          <w:p>
            <w:r>
              <w:rPr>
                <w:sz w:val="16"/>
              </w:rPr>
              <w:t>Control Room ontwerp + ergonomisch rapport</w:t>
            </w:r>
          </w:p>
        </w:tc>
        <w:tc>
          <w:tcPr>
            <w:tcW w:type="dxa" w:w="567"/>
          </w:tcPr>
          <w:p>
            <w:r>
              <w:rPr>
                <w:sz w:val="16"/>
              </w:rPr>
              <w:t>H</w:t>
            </w:r>
          </w:p>
        </w:tc>
        <w:tc>
          <w:tcPr>
            <w:tcW w:type="dxa" w:w="1417"/>
          </w:tcPr>
          <w:p>
            <w:r>
              <w:rPr>
                <w:sz w:val="16"/>
              </w:rPr>
              <w:t>Project Engineer</w:t>
            </w:r>
          </w:p>
        </w:tc>
      </w:tr>
      <w:tr>
        <w:tc>
          <w:tcPr>
            <w:tcW w:type="dxa" w:w="2551"/>
            <w:shd w:fill="F0F4F8" w:val="clear"/>
          </w:tcPr>
          <w:p>
            <w:r>
              <w:rPr>
                <w:sz w:val="16"/>
              </w:rPr>
              <w:t>Alarm Management strategie conform ISA-18.2 / IEC 62682</w:t>
            </w:r>
          </w:p>
        </w:tc>
        <w:tc>
          <w:tcPr>
            <w:tcW w:type="dxa" w:w="1984"/>
            <w:shd w:fill="F0F4F8" w:val="clear"/>
          </w:tcPr>
          <w:p>
            <w:r>
              <w:rPr>
                <w:sz w:val="16"/>
              </w:rPr>
              <w:t>ISA-18.2 / IEC 62682</w:t>
            </w:r>
          </w:p>
        </w:tc>
        <w:tc>
          <w:tcPr>
            <w:tcW w:type="dxa" w:w="3402"/>
            <w:shd w:fill="F0F4F8" w:val="clear"/>
          </w:tcPr>
          <w:p>
            <w:r>
              <w:rPr>
                <w:sz w:val="16"/>
              </w:rPr>
              <w:t>Het alarm management systeem moet alarm-flooding voorkomen (maximaal 10 alarmen per uur per operator als streefwaarde, conform EEMUA 191). Alle alarmen moeten worden gerationaliseerd: type (proces-, veiligheids-, systeemalarm), prioriteit (hoog/midden/laag), setpoint, en responsprocedure. Dead-band en shelving-beleid moeten zijn gedefinieerd [15][16].</w:t>
            </w:r>
          </w:p>
        </w:tc>
        <w:tc>
          <w:tcPr>
            <w:tcW w:type="dxa" w:w="1701"/>
            <w:shd w:fill="F0F4F8" w:val="clear"/>
          </w:tcPr>
          <w:p>
            <w:r>
              <w:rPr>
                <w:sz w:val="16"/>
              </w:rPr>
              <w:t>Alarm rationalisatie compleet; &lt; 10 alarmen/uur/operator; alle alarmen gecategoriseerd</w:t>
            </w:r>
          </w:p>
        </w:tc>
        <w:tc>
          <w:tcPr>
            <w:tcW w:type="dxa" w:w="1417"/>
            <w:shd w:fill="F0F4F8" w:val="clear"/>
          </w:tcPr>
          <w:p>
            <w:r>
              <w:rPr>
                <w:sz w:val="16"/>
              </w:rPr>
              <w:t>Alarm rationalisatie rapport + alarm database</w:t>
            </w:r>
          </w:p>
        </w:tc>
        <w:tc>
          <w:tcPr>
            <w:tcW w:type="dxa" w:w="567"/>
            <w:shd w:fill="F0F4F8" w:val="clear"/>
          </w:tcPr>
          <w:p>
            <w:r>
              <w:rPr>
                <w:sz w:val="16"/>
              </w:rPr>
              <w:t>H</w:t>
            </w:r>
          </w:p>
        </w:tc>
        <w:tc>
          <w:tcPr>
            <w:tcW w:type="dxa" w:w="1417"/>
            <w:shd w:fill="F0F4F8" w:val="clear"/>
          </w:tcPr>
          <w:p>
            <w:r>
              <w:rPr>
                <w:sz w:val="16"/>
              </w:rPr>
              <w:t>Proces Engineer</w:t>
            </w:r>
          </w:p>
        </w:tc>
      </w:tr>
      <w:tr>
        <w:tc>
          <w:tcPr>
            <w:tcW w:type="dxa" w:w="2551"/>
          </w:tcPr>
          <w:p>
            <w:r>
              <w:rPr>
                <w:sz w:val="16"/>
              </w:rPr>
              <w:t>HMI design conform EEMUA 201 / ISA-101 (High Performance HMI)</w:t>
            </w:r>
          </w:p>
        </w:tc>
        <w:tc>
          <w:tcPr>
            <w:tcW w:type="dxa" w:w="1984"/>
          </w:tcPr>
          <w:p>
            <w:r>
              <w:rPr>
                <w:sz w:val="16"/>
              </w:rPr>
              <w:t>EEMUA 201, ISA-101</w:t>
            </w:r>
          </w:p>
        </w:tc>
        <w:tc>
          <w:tcPr>
            <w:tcW w:type="dxa" w:w="3402"/>
          </w:tcPr>
          <w:p>
            <w:r>
              <w:rPr>
                <w:sz w:val="16"/>
              </w:rPr>
              <w:t>De Human Machine Interface moet conform High Performance HMI-principes worden ontworpen: grijze achtergronden (geen felle kleuren behalve voor alarmen), analoge indicatoren (balken/trends in plaats van alleen digitale waarden), en consistente kleurcodering (rood = alarm, geel = waarschuwing, groen = normaal). Situational awareness is het doel — de operator moet in één oogopslag de processtatus kunnen beoordelen [17][18].</w:t>
            </w:r>
          </w:p>
        </w:tc>
        <w:tc>
          <w:tcPr>
            <w:tcW w:type="dxa" w:w="1701"/>
          </w:tcPr>
          <w:p>
            <w:r>
              <w:rPr>
                <w:sz w:val="16"/>
              </w:rPr>
              <w:t>HMI conform EEMUA 201/ISA-101; High Performance principes; kleurcodering consistent</w:t>
            </w:r>
          </w:p>
        </w:tc>
        <w:tc>
          <w:tcPr>
            <w:tcW w:type="dxa" w:w="1417"/>
          </w:tcPr>
          <w:p>
            <w:r>
              <w:rPr>
                <w:sz w:val="16"/>
              </w:rPr>
              <w:t>HMI style guide + mock-up schermen</w:t>
            </w:r>
          </w:p>
        </w:tc>
        <w:tc>
          <w:tcPr>
            <w:tcW w:type="dxa" w:w="567"/>
          </w:tcPr>
          <w:p>
            <w:r>
              <w:rPr>
                <w:sz w:val="16"/>
              </w:rPr>
              <w:t>H</w:t>
            </w:r>
          </w:p>
        </w:tc>
        <w:tc>
          <w:tcPr>
            <w:tcW w:type="dxa" w:w="1417"/>
          </w:tcPr>
          <w:p>
            <w:r>
              <w:rPr>
                <w:sz w:val="16"/>
              </w:rPr>
              <w:t>Proces Engineer</w:t>
            </w:r>
          </w:p>
        </w:tc>
      </w:tr>
      <w:tr>
        <w:tc>
          <w:tcPr>
            <w:tcW w:type="dxa" w:w="2551"/>
            <w:shd w:fill="F0F4F8" w:val="clear"/>
          </w:tcPr>
          <w:p>
            <w:r>
              <w:rPr>
                <w:sz w:val="16"/>
              </w:rPr>
              <w:t>Operator workload analyse uitgevoerd</w:t>
            </w:r>
          </w:p>
        </w:tc>
        <w:tc>
          <w:tcPr>
            <w:tcW w:type="dxa" w:w="1984"/>
            <w:shd w:fill="F0F4F8" w:val="clear"/>
          </w:tcPr>
          <w:p>
            <w:r>
              <w:rPr>
                <w:sz w:val="16"/>
              </w:rPr>
              <w:t>ISO 11064-4, EEMUA 201</w:t>
            </w:r>
          </w:p>
        </w:tc>
        <w:tc>
          <w:tcPr>
            <w:tcW w:type="dxa" w:w="3402"/>
            <w:shd w:fill="F0F4F8" w:val="clear"/>
          </w:tcPr>
          <w:p>
            <w:r>
              <w:rPr>
                <w:sz w:val="16"/>
              </w:rPr>
              <w:t>De workload analyse toetst of operators tijdens normale en upset-condities het proces kunnen overzien. Methode: task analysis per scenario (normaal, start-up, shutdown, noodsituatie). Resultaat: aantal taken per operator, cognitieve belasting, en tijdsdruk. Indien &gt; 70% belasting: herverdeling of automatisering vereist [14].</w:t>
            </w:r>
          </w:p>
        </w:tc>
        <w:tc>
          <w:tcPr>
            <w:tcW w:type="dxa" w:w="1701"/>
            <w:shd w:fill="F0F4F8" w:val="clear"/>
          </w:tcPr>
          <w:p>
            <w:r>
              <w:rPr>
                <w:sz w:val="16"/>
              </w:rPr>
              <w:t>Workload &lt; 70% per operator in alle scenario's; bij overschrijding: mitigatie gedefinieerd</w:t>
            </w:r>
          </w:p>
        </w:tc>
        <w:tc>
          <w:tcPr>
            <w:tcW w:type="dxa" w:w="1417"/>
            <w:shd w:fill="F0F4F8" w:val="clear"/>
          </w:tcPr>
          <w:p>
            <w:r>
              <w:rPr>
                <w:sz w:val="16"/>
              </w:rPr>
              <w:t>Workload analyse rapport</w:t>
            </w:r>
          </w:p>
        </w:tc>
        <w:tc>
          <w:tcPr>
            <w:tcW w:type="dxa" w:w="567"/>
            <w:shd w:fill="F0F4F8" w:val="clear"/>
          </w:tcPr>
          <w:p>
            <w:r>
              <w:rPr>
                <w:sz w:val="16"/>
              </w:rPr>
              <w:t>M</w:t>
            </w:r>
          </w:p>
        </w:tc>
        <w:tc>
          <w:tcPr>
            <w:tcW w:type="dxa" w:w="1417"/>
            <w:shd w:fill="F0F4F8" w:val="clear"/>
          </w:tcPr>
          <w:p>
            <w:r>
              <w:rPr>
                <w:sz w:val="16"/>
              </w:rPr>
              <w:t>Proces Engineer</w:t>
            </w:r>
          </w:p>
        </w:tc>
      </w:tr>
      <w:tr>
        <w:tc>
          <w:tcPr>
            <w:tcW w:type="dxa" w:w="2551"/>
          </w:tcPr>
          <w:p>
            <w:r>
              <w:rPr>
                <w:sz w:val="16"/>
              </w:rPr>
              <w:t>Fatigue management programma opgesteld</w:t>
            </w:r>
          </w:p>
        </w:tc>
        <w:tc>
          <w:tcPr>
            <w:tcW w:type="dxa" w:w="1984"/>
          </w:tcPr>
          <w:p>
            <w:r>
              <w:rPr>
                <w:sz w:val="16"/>
              </w:rPr>
              <w:t>Arbowet, Arbobesluit, Best practice</w:t>
            </w:r>
          </w:p>
        </w:tc>
        <w:tc>
          <w:tcPr>
            <w:tcW w:type="dxa" w:w="3402"/>
          </w:tcPr>
          <w:p>
            <w:r>
              <w:rPr>
                <w:sz w:val="16"/>
              </w:rPr>
              <w:t>Het fatigue management programma moet: rusttijden conform Arbowet (minimaal 11 uur onafgebroken rust per 24 uur), maximum dienstduur (12 uur inclusief overwerk), en nachtdienst-beperkingen definiëren. Voor de pilot plant (24/7 operationeel) is een rotatieschema vereist met voldoende hersteltijd. Training over vermoeidheidsrisico's is verplicht [1].</w:t>
            </w:r>
          </w:p>
        </w:tc>
        <w:tc>
          <w:tcPr>
            <w:tcW w:type="dxa" w:w="1701"/>
          </w:tcPr>
          <w:p>
            <w:r>
              <w:rPr>
                <w:sz w:val="16"/>
              </w:rPr>
              <w:t>Fatigue management programma goedgekeurd; rotatieschema conform Arbowet; training gepland</w:t>
            </w:r>
          </w:p>
        </w:tc>
        <w:tc>
          <w:tcPr>
            <w:tcW w:type="dxa" w:w="1417"/>
          </w:tcPr>
          <w:p>
            <w:r>
              <w:rPr>
                <w:sz w:val="16"/>
              </w:rPr>
              <w:t>Fatigue management procedure + rotatieschema</w:t>
            </w:r>
          </w:p>
        </w:tc>
        <w:tc>
          <w:tcPr>
            <w:tcW w:type="dxa" w:w="567"/>
          </w:tcPr>
          <w:p>
            <w:r>
              <w:rPr>
                <w:sz w:val="16"/>
              </w:rPr>
              <w:t>M</w:t>
            </w:r>
          </w:p>
        </w:tc>
        <w:tc>
          <w:tcPr>
            <w:tcW w:type="dxa" w:w="1417"/>
          </w:tcPr>
          <w:p>
            <w:r>
              <w:rPr>
                <w:sz w:val="16"/>
              </w:rPr>
              <w:t>Plant Manager</w:t>
            </w:r>
          </w:p>
        </w:tc>
      </w:tr>
      <w:tr>
        <w:tc>
          <w:tcPr>
            <w:tcW w:type="dxa" w:w="2551"/>
            <w:shd w:fill="F0F4F8" w:val="clear"/>
          </w:tcPr>
          <w:p>
            <w:r>
              <w:rPr>
                <w:sz w:val="16"/>
              </w:rPr>
              <w:t>Alarm rationalisatie voltooid en in DCS geladen</w:t>
            </w:r>
          </w:p>
        </w:tc>
        <w:tc>
          <w:tcPr>
            <w:tcW w:type="dxa" w:w="1984"/>
            <w:shd w:fill="F0F4F8" w:val="clear"/>
          </w:tcPr>
          <w:p>
            <w:r>
              <w:rPr>
                <w:sz w:val="16"/>
              </w:rPr>
              <w:t>ISA-18.2 / IEC 62682</w:t>
            </w:r>
          </w:p>
        </w:tc>
        <w:tc>
          <w:tcPr>
            <w:tcW w:type="dxa" w:w="3402"/>
            <w:shd w:fill="F0F4F8" w:val="clear"/>
          </w:tcPr>
          <w:p>
            <w:r>
              <w:rPr>
                <w:sz w:val="16"/>
              </w:rPr>
              <w:t>Alle alarmen uit het ontwerp moeten zijn gerationaliseerd en in het DCS zijn geladen met: prioriteit (hoog/midden/laag), setpoint, dead-band, en shelving-policy. Na laden: test door alle alarmen eenmaal te triggeren en verifiëren dat het juiste alarm op het juiste scherm verschijnt met juiste prioriteit [15].</w:t>
            </w:r>
          </w:p>
        </w:tc>
        <w:tc>
          <w:tcPr>
            <w:tcW w:type="dxa" w:w="1701"/>
            <w:shd w:fill="F0F4F8" w:val="clear"/>
          </w:tcPr>
          <w:p>
            <w:r>
              <w:rPr>
                <w:sz w:val="16"/>
              </w:rPr>
              <w:t>Alle alarmen geladen en getest; rationalisatie document bijgewerkt</w:t>
            </w:r>
          </w:p>
        </w:tc>
        <w:tc>
          <w:tcPr>
            <w:tcW w:type="dxa" w:w="1417"/>
            <w:shd w:fill="F0F4F8" w:val="clear"/>
          </w:tcPr>
          <w:p>
            <w:r>
              <w:rPr>
                <w:sz w:val="16"/>
              </w:rPr>
              <w:t>Alarm database (in DCS) + rationalisatie rapport</w:t>
            </w:r>
          </w:p>
        </w:tc>
        <w:tc>
          <w:tcPr>
            <w:tcW w:type="dxa" w:w="567"/>
            <w:shd w:fill="F0F4F8" w:val="clear"/>
          </w:tcPr>
          <w:p>
            <w:r>
              <w:rPr>
                <w:sz w:val="16"/>
              </w:rPr>
              <w:t>H</w:t>
            </w:r>
          </w:p>
        </w:tc>
        <w:tc>
          <w:tcPr>
            <w:tcW w:type="dxa" w:w="1417"/>
            <w:shd w:fill="F0F4F8" w:val="clear"/>
          </w:tcPr>
          <w:p>
            <w:r>
              <w:rPr>
                <w:sz w:val="16"/>
              </w:rPr>
              <w:t>Proces Engineer</w:t>
            </w:r>
          </w:p>
        </w:tc>
      </w:tr>
      <w:tr>
        <w:tc>
          <w:tcPr>
            <w:tcW w:type="dxa" w:w="2551"/>
          </w:tcPr>
          <w:p>
            <w:r>
              <w:rPr>
                <w:sz w:val="16"/>
              </w:rPr>
              <w:t>HMI schermen getest met operators (cognitive walkthrough)</w:t>
            </w:r>
          </w:p>
        </w:tc>
        <w:tc>
          <w:tcPr>
            <w:tcW w:type="dxa" w:w="1984"/>
          </w:tcPr>
          <w:p>
            <w:r>
              <w:rPr>
                <w:sz w:val="16"/>
              </w:rPr>
              <w:t>ISA-101, EEMUA 201</w:t>
            </w:r>
          </w:p>
        </w:tc>
        <w:tc>
          <w:tcPr>
            <w:tcW w:type="dxa" w:w="3402"/>
          </w:tcPr>
          <w:p>
            <w:r>
              <w:rPr>
                <w:sz w:val="16"/>
              </w:rPr>
              <w:t>Operators lopen alle HMI-schermen door en beoordelen: (1) is de informatie duidelijk?, (2) zijn kleuren consistent?, (3) zijn trends leesbaar?, (4) is de navigatie intuïtief?. Bevindingen worden vastgelegd en verwerkt vóór hot commissioning. Minimaal 3 operators deelnemen aan de walkthrough [17][18].</w:t>
            </w:r>
          </w:p>
        </w:tc>
        <w:tc>
          <w:tcPr>
            <w:tcW w:type="dxa" w:w="1701"/>
          </w:tcPr>
          <w:p>
            <w:r>
              <w:rPr>
                <w:sz w:val="16"/>
              </w:rPr>
              <w:t>Cognitive walkthrough voltooid met ≥ 3 operators; bevindingen verwerkt</w:t>
            </w:r>
          </w:p>
        </w:tc>
        <w:tc>
          <w:tcPr>
            <w:tcW w:type="dxa" w:w="1417"/>
          </w:tcPr>
          <w:p>
            <w:r>
              <w:rPr>
                <w:sz w:val="16"/>
              </w:rPr>
              <w:t>Cognitive walkthrough rapport + verbeteracties</w:t>
            </w:r>
          </w:p>
        </w:tc>
        <w:tc>
          <w:tcPr>
            <w:tcW w:type="dxa" w:w="567"/>
          </w:tcPr>
          <w:p>
            <w:r>
              <w:rPr>
                <w:sz w:val="16"/>
              </w:rPr>
              <w:t>M</w:t>
            </w:r>
          </w:p>
        </w:tc>
        <w:tc>
          <w:tcPr>
            <w:tcW w:type="dxa" w:w="1417"/>
          </w:tcPr>
          <w:p>
            <w:r>
              <w:rPr>
                <w:sz w:val="16"/>
              </w:rPr>
              <w:t>Proces Engineer</w:t>
            </w:r>
          </w:p>
        </w:tc>
      </w:tr>
      <w:tr>
        <w:tc>
          <w:tcPr>
            <w:tcW w:type="dxa" w:w="2551"/>
            <w:shd w:fill="F0F4F8" w:val="clear"/>
          </w:tcPr>
          <w:p>
            <w:r>
              <w:rPr>
                <w:sz w:val="16"/>
              </w:rPr>
              <w:t>Cognitive walkthrough met operators voltooid</w:t>
            </w:r>
          </w:p>
        </w:tc>
        <w:tc>
          <w:tcPr>
            <w:tcW w:type="dxa" w:w="1984"/>
            <w:shd w:fill="F0F4F8" w:val="clear"/>
          </w:tcPr>
          <w:p>
            <w:r>
              <w:rPr>
                <w:sz w:val="16"/>
              </w:rPr>
              <w:t>ISO 11064-4, ISA-101</w:t>
            </w:r>
          </w:p>
        </w:tc>
        <w:tc>
          <w:tcPr>
            <w:tcW w:type="dxa" w:w="3402"/>
            <w:shd w:fill="F0F4F8" w:val="clear"/>
          </w:tcPr>
          <w:p>
            <w:r>
              <w:rPr>
                <w:sz w:val="16"/>
              </w:rPr>
              <w:t>Na installatie lopen operators alle procedures door (start-up, normal operation, shutdown, emergency) met de daadwerkelijke HMI en bedieningselementen. Beoordeeld wordt: begrijpelijkheid, volledigheid, en gebruiksvriendelijkheid. Minimaal 3 operators. Bevindingen leiden tot procedure-aanpassingen of HMI-wijzigingen [14][18].</w:t>
            </w:r>
          </w:p>
        </w:tc>
        <w:tc>
          <w:tcPr>
            <w:tcW w:type="dxa" w:w="1701"/>
            <w:shd w:fill="F0F4F8" w:val="clear"/>
          </w:tcPr>
          <w:p>
            <w:r>
              <w:rPr>
                <w:sz w:val="16"/>
              </w:rPr>
              <w:t>Cognitive walkthrough met ≥ 3 operators voltooid; bevindingen verwerkt</w:t>
            </w:r>
          </w:p>
        </w:tc>
        <w:tc>
          <w:tcPr>
            <w:tcW w:type="dxa" w:w="1417"/>
            <w:shd w:fill="F0F4F8" w:val="clear"/>
          </w:tcPr>
          <w:p>
            <w:r>
              <w:rPr>
                <w:sz w:val="16"/>
              </w:rPr>
              <w:t>Walkthrough rapport + verbeteracties</w:t>
            </w:r>
          </w:p>
        </w:tc>
        <w:tc>
          <w:tcPr>
            <w:tcW w:type="dxa" w:w="567"/>
            <w:shd w:fill="F0F4F8" w:val="clear"/>
          </w:tcPr>
          <w:p>
            <w:r>
              <w:rPr>
                <w:sz w:val="16"/>
              </w:rPr>
              <w:t>M</w:t>
            </w:r>
          </w:p>
        </w:tc>
        <w:tc>
          <w:tcPr>
            <w:tcW w:type="dxa" w:w="1417"/>
            <w:shd w:fill="F0F4F8" w:val="clear"/>
          </w:tcPr>
          <w:p>
            <w:r>
              <w:rPr>
                <w:sz w:val="16"/>
              </w:rPr>
              <w:t>Proces Engineer</w:t>
            </w:r>
          </w:p>
        </w:tc>
      </w:tr>
      <w:tr>
        <w:tc>
          <w:tcPr>
            <w:tcW w:type="dxa" w:w="2551"/>
          </w:tcPr>
          <w:p>
            <w:r>
              <w:rPr>
                <w:sz w:val="16"/>
              </w:rPr>
              <w:t>Operator training simulator (OTS) beschikbaar en gebruikt</w:t>
            </w:r>
          </w:p>
        </w:tc>
        <w:tc>
          <w:tcPr>
            <w:tcW w:type="dxa" w:w="1984"/>
          </w:tcPr>
          <w:p>
            <w:r>
              <w:rPr>
                <w:sz w:val="16"/>
              </w:rPr>
              <w:t>Best practice, ISA-101</w:t>
            </w:r>
          </w:p>
        </w:tc>
        <w:tc>
          <w:tcPr>
            <w:tcW w:type="dxa" w:w="3402"/>
          </w:tcPr>
          <w:p>
            <w:r>
              <w:rPr>
                <w:sz w:val="16"/>
              </w:rPr>
              <w:t>Een Operator Training Simulator (OTS) op basis van een dynamisch procesmodel stelt operators in staat om scenario's te oefenen zonder risico: start-up, shutdown, upset-condities, en noodsituaties. Nieuwe operators moeten minimaal 40 uur op de OTS trainen vóór ze zelfstandig mogen werken. Jaarlijkse herhalingstraining verplicht [18].</w:t>
            </w:r>
          </w:p>
        </w:tc>
        <w:tc>
          <w:tcPr>
            <w:tcW w:type="dxa" w:w="1701"/>
          </w:tcPr>
          <w:p>
            <w:r>
              <w:rPr>
                <w:sz w:val="16"/>
              </w:rPr>
              <w:t>OTS beschikbaar; nieuwe operators ≥ 40 uur getraind; jaarlijkse herhaling gepland</w:t>
            </w:r>
          </w:p>
        </w:tc>
        <w:tc>
          <w:tcPr>
            <w:tcW w:type="dxa" w:w="1417"/>
          </w:tcPr>
          <w:p>
            <w:r>
              <w:rPr>
                <w:sz w:val="16"/>
              </w:rPr>
              <w:t>OTS training log</w:t>
            </w:r>
          </w:p>
        </w:tc>
        <w:tc>
          <w:tcPr>
            <w:tcW w:type="dxa" w:w="567"/>
          </w:tcPr>
          <w:p>
            <w:r>
              <w:rPr>
                <w:sz w:val="16"/>
              </w:rPr>
              <w:t>L</w:t>
            </w:r>
          </w:p>
        </w:tc>
        <w:tc>
          <w:tcPr>
            <w:tcW w:type="dxa" w:w="1417"/>
          </w:tcPr>
          <w:p>
            <w:r>
              <w:rPr>
                <w:sz w:val="16"/>
              </w:rPr>
              <w:t>Training Manager</w:t>
            </w:r>
          </w:p>
        </w:tc>
      </w:tr>
      <w:tr>
        <w:tc>
          <w:tcPr>
            <w:tcW w:type="dxa" w:w="2551"/>
            <w:shd w:fill="F0F4F8" w:val="clear"/>
          </w:tcPr>
          <w:p>
            <w:r>
              <w:rPr>
                <w:sz w:val="16"/>
              </w:rPr>
              <w:t>Fatigue management: shift rooster en rusttijden geëvalueerd</w:t>
            </w:r>
          </w:p>
        </w:tc>
        <w:tc>
          <w:tcPr>
            <w:tcW w:type="dxa" w:w="1984"/>
            <w:shd w:fill="F0F4F8" w:val="clear"/>
          </w:tcPr>
          <w:p>
            <w:r>
              <w:rPr>
                <w:sz w:val="16"/>
              </w:rPr>
              <w:t>Arbowet, Arbobesluit</w:t>
            </w:r>
          </w:p>
        </w:tc>
        <w:tc>
          <w:tcPr>
            <w:tcW w:type="dxa" w:w="3402"/>
            <w:shd w:fill="F0F4F8" w:val="clear"/>
          </w:tcPr>
          <w:p>
            <w:r>
              <w:rPr>
                <w:sz w:val="16"/>
              </w:rPr>
              <w:t>Het shift rooster moet jaarlijks worden geëvalueerd op vermoeidheidsrisico's. Bij signalen van vermoeidheid moet het rooster worden bijgesteld. Registratie van gewerkte uren is verplicht.</w:t>
            </w:r>
          </w:p>
        </w:tc>
        <w:tc>
          <w:tcPr>
            <w:tcW w:type="dxa" w:w="1701"/>
            <w:shd w:fill="F0F4F8" w:val="clear"/>
          </w:tcPr>
          <w:p>
            <w:r>
              <w:rPr>
                <w:sz w:val="16"/>
              </w:rPr>
              <w:t>Jaarlijkse evaluatie shift rooster; rustijden conform Arbowet</w:t>
            </w:r>
          </w:p>
        </w:tc>
        <w:tc>
          <w:tcPr>
            <w:tcW w:type="dxa" w:w="1417"/>
            <w:shd w:fill="F0F4F8" w:val="clear"/>
          </w:tcPr>
          <w:p>
            <w:r>
              <w:rPr>
                <w:sz w:val="16"/>
              </w:rPr>
              <w:t>Shift rooster evaluatie rapport</w:t>
            </w:r>
          </w:p>
        </w:tc>
        <w:tc>
          <w:tcPr>
            <w:tcW w:type="dxa" w:w="567"/>
            <w:shd w:fill="F0F4F8" w:val="clear"/>
          </w:tcPr>
          <w:p>
            <w:r>
              <w:rPr>
                <w:sz w:val="16"/>
              </w:rPr>
              <w:t>M</w:t>
            </w:r>
          </w:p>
        </w:tc>
        <w:tc>
          <w:tcPr>
            <w:tcW w:type="dxa" w:w="1417"/>
            <w:shd w:fill="F0F4F8" w:val="clear"/>
          </w:tcPr>
          <w:p>
            <w:r>
              <w:rPr>
                <w:sz w:val="16"/>
              </w:rPr>
              <w:t>Plant Manager</w:t>
            </w:r>
          </w:p>
        </w:tc>
      </w:tr>
    </w:tbl>
    <w:p/>
    <w:p>
      <w:pPr>
        <w:pStyle w:val="Heading2"/>
      </w:pPr>
      <w:r>
        <w:t>3.14 Contractor &amp; PtW Management (NIEUW)</w:t>
      </w:r>
    </w:p>
    <w:p>
      <w:r>
        <w:t>(7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Digitaal Permit to Work (PtW) systeem geïmplementeerd</w:t>
            </w:r>
          </w:p>
        </w:tc>
        <w:tc>
          <w:tcPr>
            <w:tcW w:type="dxa" w:w="1984"/>
          </w:tcPr>
          <w:p>
            <w:r>
              <w:rPr>
                <w:sz w:val="16"/>
              </w:rPr>
              <w:t>Best practice, Arbobesluit art. 2.42</w:t>
            </w:r>
          </w:p>
        </w:tc>
        <w:tc>
          <w:tcPr>
            <w:tcW w:type="dxa" w:w="3402"/>
          </w:tcPr>
          <w:p>
            <w:r>
              <w:rPr>
                <w:sz w:val="16"/>
              </w:rPr>
              <w:t>Het digitale PtW systeem moet de volgende vergunningstypen dekken: Hot Work (branden, lassen, slijpen — met verplichte gasmeting &lt; 10% LEL), Confined Space (bemande wachtpost, gasmeting, reddingsplan), Excavation (kabel/leidingdetectie vooraf), Electrical (LOTO verplicht), Height (&gt; 2,5 m), en General. Elke vergunning moet: aanvrager → approver → close-out trail hebben. Real-time dashboard voor openstaande vergunningen [24].</w:t>
            </w:r>
          </w:p>
        </w:tc>
        <w:tc>
          <w:tcPr>
            <w:tcW w:type="dxa" w:w="1701"/>
          </w:tcPr>
          <w:p>
            <w:r>
              <w:rPr>
                <w:sz w:val="16"/>
              </w:rPr>
              <w:t>PtW systeem operationeel; alle vergunningstypen beschikbaar; real-time dashboard actief</w:t>
            </w:r>
          </w:p>
        </w:tc>
        <w:tc>
          <w:tcPr>
            <w:tcW w:type="dxa" w:w="1417"/>
          </w:tcPr>
          <w:p>
            <w:r>
              <w:rPr>
                <w:sz w:val="16"/>
              </w:rPr>
              <w:t>PtW systeem configuratie + gebruikershandleiding</w:t>
            </w:r>
          </w:p>
        </w:tc>
        <w:tc>
          <w:tcPr>
            <w:tcW w:type="dxa" w:w="567"/>
          </w:tcPr>
          <w:p>
            <w:r>
              <w:rPr>
                <w:sz w:val="16"/>
              </w:rPr>
              <w:t>H</w:t>
            </w:r>
          </w:p>
        </w:tc>
        <w:tc>
          <w:tcPr>
            <w:tcW w:type="dxa" w:w="1417"/>
          </w:tcPr>
          <w:p>
            <w:r>
              <w:rPr>
                <w:sz w:val="16"/>
              </w:rPr>
              <w:t>Contractor Manager</w:t>
            </w:r>
          </w:p>
        </w:tc>
      </w:tr>
      <w:tr>
        <w:tc>
          <w:tcPr>
            <w:tcW w:type="dxa" w:w="2551"/>
            <w:shd w:fill="F0F4F8" w:val="clear"/>
          </w:tcPr>
          <w:p>
            <w:r>
              <w:rPr>
                <w:sz w:val="16"/>
              </w:rPr>
              <w:t>TRA (Task Risk Analysis) verplicht voor kritieke werkzaamheden</w:t>
            </w:r>
          </w:p>
        </w:tc>
        <w:tc>
          <w:tcPr>
            <w:tcW w:type="dxa" w:w="1984"/>
            <w:shd w:fill="F0F4F8" w:val="clear"/>
          </w:tcPr>
          <w:p>
            <w:r>
              <w:rPr>
                <w:sz w:val="16"/>
              </w:rPr>
              <w:t>Arbobesluit art. 5, VCA**</w:t>
            </w:r>
          </w:p>
        </w:tc>
        <w:tc>
          <w:tcPr>
            <w:tcW w:type="dxa" w:w="3402"/>
            <w:shd w:fill="F0F4F8" w:val="clear"/>
          </w:tcPr>
          <w:p>
            <w:r>
              <w:rPr>
                <w:sz w:val="16"/>
              </w:rPr>
              <w:t>Elke kritieke werkzaamheid (hot work, confined space, hijsen, graafwerk) moet vooraf worden voorzien van een TRA. De TRA identificeert: gevaren → risico's → beheersmaatregelen → rest risico. De TRA moet door de uitvoerders worden ondertekend en moet op de werkplek aanwezig zijn. Minimum: taakomschrijving, gevareninventarisatie, maatregelen, en PBM-vereisten [24].</w:t>
            </w:r>
          </w:p>
        </w:tc>
        <w:tc>
          <w:tcPr>
            <w:tcW w:type="dxa" w:w="1701"/>
            <w:shd w:fill="F0F4F8" w:val="clear"/>
          </w:tcPr>
          <w:p>
            <w:r>
              <w:rPr>
                <w:sz w:val="16"/>
              </w:rPr>
              <w:t>TRA verplicht bij alle kritieke werkzaamheden; 100% compliance; ondertekend door uitvoerders</w:t>
            </w:r>
          </w:p>
        </w:tc>
        <w:tc>
          <w:tcPr>
            <w:tcW w:type="dxa" w:w="1417"/>
            <w:shd w:fill="F0F4F8" w:val="clear"/>
          </w:tcPr>
          <w:p>
            <w:r>
              <w:rPr>
                <w:sz w:val="16"/>
              </w:rPr>
              <w:t>TRA formulier + steekproefsaudit resultaten</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LMRA (Last Minute Risk Analysis) verplicht bij start elke shift</w:t>
            </w:r>
          </w:p>
        </w:tc>
        <w:tc>
          <w:tcPr>
            <w:tcW w:type="dxa" w:w="1984"/>
          </w:tcPr>
          <w:p>
            <w:r>
              <w:rPr>
                <w:sz w:val="16"/>
              </w:rPr>
              <w:t>Arbobesluit, VCA**</w:t>
            </w:r>
          </w:p>
        </w:tc>
        <w:tc>
          <w:tcPr>
            <w:tcW w:type="dxa" w:w="3402"/>
          </w:tcPr>
          <w:p>
            <w:r>
              <w:rPr>
                <w:sz w:val="16"/>
              </w:rPr>
              <w:t>De LMRA is een korte (5-10 minuten) risicoanalyse die aan het begin van elke shift door de uitvoerders zelf wordt gedaan. Checklist: (1) werkplek schoon en veilig, (2) gereedschap gekeurd, (3) PBM's correct, (4) afzettingen aanwezig, (5)wijzigingen t.o.v. gisteren? De LMRA moet schriftelijk worden vastgelegd en bij de werkplek aanwezig zijn [24].</w:t>
            </w:r>
          </w:p>
        </w:tc>
        <w:tc>
          <w:tcPr>
            <w:tcW w:type="dxa" w:w="1701"/>
          </w:tcPr>
          <w:p>
            <w:r>
              <w:rPr>
                <w:sz w:val="16"/>
              </w:rPr>
              <w:t>LMRA 100% compliance bij alle shifts; schriftelijk vastgelegd; steekproef door HSEQ</w:t>
            </w:r>
          </w:p>
        </w:tc>
        <w:tc>
          <w:tcPr>
            <w:tcW w:type="dxa" w:w="1417"/>
          </w:tcPr>
          <w:p>
            <w:r>
              <w:rPr>
                <w:sz w:val="16"/>
              </w:rPr>
              <w:t>LMRA formulieren + auditresultaten</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Gatekeeper protocol voor aannemers (inductie, VCA-check)</w:t>
            </w:r>
          </w:p>
        </w:tc>
        <w:tc>
          <w:tcPr>
            <w:tcW w:type="dxa" w:w="1984"/>
            <w:shd w:fill="F0F4F8" w:val="clear"/>
          </w:tcPr>
          <w:p>
            <w:r>
              <w:rPr>
                <w:sz w:val="16"/>
              </w:rPr>
              <w:t>VCA**, Arbobesluit art. 2.42</w:t>
            </w:r>
          </w:p>
        </w:tc>
        <w:tc>
          <w:tcPr>
            <w:tcW w:type="dxa" w:w="3402"/>
            <w:shd w:fill="F0F4F8" w:val="clear"/>
          </w:tcPr>
          <w:p>
            <w:r>
              <w:rPr>
                <w:sz w:val="16"/>
              </w:rPr>
              <w:t>Elke aannemer die de bouwplaats betreedt moet: (1) VCA** certificaat overleggen, (2) bedrijfsinductie volgen (site-specifieke risico's: zuren, stof, hoogte), (3) taakinductie voor specifieke werkzaamheden, (4) medische geschiktheid aantonen. De gatekeeper (toezichthouder bij ingang) controleert dagelijks de papieren. Niet-gecertificeerde aannemers worden geweigerd [24].</w:t>
            </w:r>
          </w:p>
        </w:tc>
        <w:tc>
          <w:tcPr>
            <w:tcW w:type="dxa" w:w="1701"/>
            <w:shd w:fill="F0F4F8" w:val="clear"/>
          </w:tcPr>
          <w:p>
            <w:r>
              <w:rPr>
                <w:sz w:val="16"/>
              </w:rPr>
              <w:t>Gatekeeper protocol actief; 100% inductie; 0 niet-gecertificeerde aannemers op site</w:t>
            </w:r>
          </w:p>
        </w:tc>
        <w:tc>
          <w:tcPr>
            <w:tcW w:type="dxa" w:w="1417"/>
            <w:shd w:fill="F0F4F8" w:val="clear"/>
          </w:tcPr>
          <w:p>
            <w:r>
              <w:rPr>
                <w:sz w:val="16"/>
              </w:rPr>
              <w:t>Inductieregister + VCA-certificaten archief</w:t>
            </w:r>
          </w:p>
        </w:tc>
        <w:tc>
          <w:tcPr>
            <w:tcW w:type="dxa" w:w="567"/>
            <w:shd w:fill="F0F4F8" w:val="clear"/>
          </w:tcPr>
          <w:p>
            <w:r>
              <w:rPr>
                <w:sz w:val="16"/>
              </w:rPr>
              <w:t>H</w:t>
            </w:r>
          </w:p>
        </w:tc>
        <w:tc>
          <w:tcPr>
            <w:tcW w:type="dxa" w:w="1417"/>
            <w:shd w:fill="F0F4F8" w:val="clear"/>
          </w:tcPr>
          <w:p>
            <w:r>
              <w:rPr>
                <w:sz w:val="16"/>
              </w:rPr>
              <w:t>Contractor Manager</w:t>
            </w:r>
          </w:p>
        </w:tc>
      </w:tr>
      <w:tr>
        <w:tc>
          <w:tcPr>
            <w:tcW w:type="dxa" w:w="2551"/>
          </w:tcPr>
          <w:p>
            <w:r>
              <w:rPr>
                <w:sz w:val="16"/>
              </w:rPr>
              <w:t>SIMOPS (Simultane Operations) coördinatie protocol</w:t>
            </w:r>
          </w:p>
        </w:tc>
        <w:tc>
          <w:tcPr>
            <w:tcW w:type="dxa" w:w="1984"/>
          </w:tcPr>
          <w:p>
            <w:r>
              <w:rPr>
                <w:sz w:val="16"/>
              </w:rPr>
              <w:t>Best practice, VCA**</w:t>
            </w:r>
          </w:p>
        </w:tc>
        <w:tc>
          <w:tcPr>
            <w:tcW w:type="dxa" w:w="3402"/>
          </w:tcPr>
          <w:p>
            <w:r>
              <w:rPr>
                <w:sz w:val="16"/>
              </w:rPr>
              <w:t>Bij gelijktijdige werkzaamheden (bijv. hijsen boven terwijl op grondniveau gewerkt wordt) moet een SIMOPS-protocol actief zijn. Het protocol definieert: welke werkzaamheden gelijktijdig mogen plaatsvinden, welke niet (exclusion zones), en wie de coördinatie doet. SIMOPS moet dagelijks worden besproken in de toolbox meeting [24].</w:t>
            </w:r>
          </w:p>
        </w:tc>
        <w:tc>
          <w:tcPr>
            <w:tcW w:type="dxa" w:w="1701"/>
          </w:tcPr>
          <w:p>
            <w:r>
              <w:rPr>
                <w:sz w:val="16"/>
              </w:rPr>
              <w:t>SIMOPS protocol actief; exclusion zones gedefinieerd; dagelijks besproken in toolbox</w:t>
            </w:r>
          </w:p>
        </w:tc>
        <w:tc>
          <w:tcPr>
            <w:tcW w:type="dxa" w:w="1417"/>
          </w:tcPr>
          <w:p>
            <w:r>
              <w:rPr>
                <w:sz w:val="16"/>
              </w:rPr>
              <w:t>SIMOPS register + exclusion zone plattegrond</w:t>
            </w:r>
          </w:p>
        </w:tc>
        <w:tc>
          <w:tcPr>
            <w:tcW w:type="dxa" w:w="567"/>
          </w:tcPr>
          <w:p>
            <w:r>
              <w:rPr>
                <w:sz w:val="16"/>
              </w:rPr>
              <w:t>H</w:t>
            </w:r>
          </w:p>
        </w:tc>
        <w:tc>
          <w:tcPr>
            <w:tcW w:type="dxa" w:w="1417"/>
          </w:tcPr>
          <w:p>
            <w:r>
              <w:rPr>
                <w:sz w:val="16"/>
              </w:rPr>
              <w:t>Project Manager</w:t>
            </w:r>
          </w:p>
        </w:tc>
      </w:tr>
      <w:tr>
        <w:tc>
          <w:tcPr>
            <w:tcW w:type="dxa" w:w="2551"/>
            <w:shd w:fill="F0F4F8" w:val="clear"/>
          </w:tcPr>
          <w:p>
            <w:r>
              <w:rPr>
                <w:sz w:val="16"/>
              </w:rPr>
              <w:t>VCA** certificering verplicht voor alle aannemers</w:t>
            </w:r>
          </w:p>
        </w:tc>
        <w:tc>
          <w:tcPr>
            <w:tcW w:type="dxa" w:w="1984"/>
            <w:shd w:fill="F0F4F8" w:val="clear"/>
          </w:tcPr>
          <w:p>
            <w:r>
              <w:rPr>
                <w:sz w:val="16"/>
              </w:rPr>
              <w:t>VCA** 2017/6.0</w:t>
            </w:r>
          </w:p>
        </w:tc>
        <w:tc>
          <w:tcPr>
            <w:tcW w:type="dxa" w:w="3402"/>
            <w:shd w:fill="F0F4F8" w:val="clear"/>
          </w:tcPr>
          <w:p>
            <w:r>
              <w:rPr>
                <w:sz w:val="16"/>
              </w:rPr>
              <w:t>Alle aannemers op de bouwplaats moeten in het bezit zijn van een geldig VCA** certificaat (Veiligheid, Gezondheid en Milieu Checklist Aannemers). Dit geldt voor zowel het bedrijf als de individuele medewerkers. Het certificaat moet jaarlijks worden vernieuwd. De aannemer moet aantonen dat veiligheidsmanagement is ingebed in de organisatie [24].</w:t>
            </w:r>
          </w:p>
        </w:tc>
        <w:tc>
          <w:tcPr>
            <w:tcW w:type="dxa" w:w="1701"/>
            <w:shd w:fill="F0F4F8" w:val="clear"/>
          </w:tcPr>
          <w:p>
            <w:r>
              <w:rPr>
                <w:sz w:val="16"/>
              </w:rPr>
              <w:t>100% VCA** compliance; certificaten geverifieerd vóór aanvang werk</w:t>
            </w:r>
          </w:p>
        </w:tc>
        <w:tc>
          <w:tcPr>
            <w:tcW w:type="dxa" w:w="1417"/>
            <w:shd w:fill="F0F4F8" w:val="clear"/>
          </w:tcPr>
          <w:p>
            <w:r>
              <w:rPr>
                <w:sz w:val="16"/>
              </w:rPr>
              <w:t>VCA-certificaten bestand</w:t>
            </w:r>
          </w:p>
        </w:tc>
        <w:tc>
          <w:tcPr>
            <w:tcW w:type="dxa" w:w="567"/>
            <w:shd w:fill="F0F4F8" w:val="clear"/>
          </w:tcPr>
          <w:p>
            <w:r>
              <w:rPr>
                <w:sz w:val="16"/>
              </w:rPr>
              <w:t>H</w:t>
            </w:r>
          </w:p>
        </w:tc>
        <w:tc>
          <w:tcPr>
            <w:tcW w:type="dxa" w:w="1417"/>
            <w:shd w:fill="F0F4F8" w:val="clear"/>
          </w:tcPr>
          <w:p>
            <w:r>
              <w:rPr>
                <w:sz w:val="16"/>
              </w:rPr>
              <w:t>Contractor Manager</w:t>
            </w:r>
          </w:p>
        </w:tc>
      </w:tr>
      <w:tr>
        <w:tc>
          <w:tcPr>
            <w:tcW w:type="dxa" w:w="2551"/>
          </w:tcPr>
          <w:p>
            <w:r>
              <w:rPr>
                <w:sz w:val="16"/>
              </w:rPr>
              <w:t>Toolbox meetings dagelijks verplicht</w:t>
            </w:r>
          </w:p>
        </w:tc>
        <w:tc>
          <w:tcPr>
            <w:tcW w:type="dxa" w:w="1984"/>
          </w:tcPr>
          <w:p>
            <w:r>
              <w:rPr>
                <w:sz w:val="16"/>
              </w:rPr>
              <w:t>VCA**, Arbobesluit</w:t>
            </w:r>
          </w:p>
        </w:tc>
        <w:tc>
          <w:tcPr>
            <w:tcW w:type="dxa" w:w="3402"/>
          </w:tcPr>
          <w:p>
            <w:r>
              <w:rPr>
                <w:sz w:val="16"/>
              </w:rPr>
              <w:t>Elke werkdag begint met een toolbox meeting (10-15 minuten) met alle uitvoerders. Onderwerpen: werkzaamheden vandaag, risico's, maatregelen, wijzigingen t.o.v. plan, en incidenten van gisteren. De meeting wordt geleid door de uitvoerder/voorman en schriftelijk vastgelegd (aanwezigen, onderwerpen, afspraken) [24].</w:t>
            </w:r>
          </w:p>
        </w:tc>
        <w:tc>
          <w:tcPr>
            <w:tcW w:type="dxa" w:w="1701"/>
          </w:tcPr>
          <w:p>
            <w:r>
              <w:rPr>
                <w:sz w:val="16"/>
              </w:rPr>
              <w:t>Toolbox meetings 100% compliance; schriftelijk vastgelegd; alle uitvoerders aanwezig</w:t>
            </w:r>
          </w:p>
        </w:tc>
        <w:tc>
          <w:tcPr>
            <w:tcW w:type="dxa" w:w="1417"/>
          </w:tcPr>
          <w:p>
            <w:r>
              <w:rPr>
                <w:sz w:val="16"/>
              </w:rPr>
              <w:t>Toolbox registratieformulieren</w:t>
            </w:r>
          </w:p>
        </w:tc>
        <w:tc>
          <w:tcPr>
            <w:tcW w:type="dxa" w:w="567"/>
          </w:tcPr>
          <w:p>
            <w:r>
              <w:rPr>
                <w:sz w:val="16"/>
              </w:rPr>
              <w:t>H</w:t>
            </w:r>
          </w:p>
        </w:tc>
        <w:tc>
          <w:tcPr>
            <w:tcW w:type="dxa" w:w="1417"/>
          </w:tcPr>
          <w:p>
            <w:r>
              <w:rPr>
                <w:sz w:val="16"/>
              </w:rPr>
              <w:t>Contractor Manager</w:t>
            </w:r>
          </w:p>
        </w:tc>
      </w:tr>
    </w:tbl>
    <w:p/>
    <w:p>
      <w:pPr>
        <w:pStyle w:val="Heading2"/>
      </w:pPr>
      <w:r>
        <w:t>3.15 Pre-Commissioning</w:t>
      </w:r>
    </w:p>
    <w:p>
      <w:r>
        <w:t>(19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Loop checking: 100% instrumentatie verificatie</w:t>
            </w:r>
          </w:p>
        </w:tc>
        <w:tc>
          <w:tcPr>
            <w:tcW w:type="dxa" w:w="1984"/>
          </w:tcPr>
          <w:p>
            <w:r>
              <w:rPr>
                <w:sz w:val="16"/>
              </w:rPr>
              <w:t>IEC 61511:2024, ISA-5.1</w:t>
            </w:r>
          </w:p>
        </w:tc>
        <w:tc>
          <w:tcPr>
            <w:tcW w:type="dxa" w:w="3402"/>
          </w:tcPr>
          <w:p>
            <w:r>
              <w:rPr>
                <w:sz w:val="16"/>
              </w:rPr>
              <w:t>Loop checking verifieert dat elk instrument correct is aangesloten en communiceert met het DCS/SCADA-systeem. Per instrument wordt gecheckt: tag-nummer, signaal (4-20 mA, HART, Foundation Fieldbus), range, en alarm-setpoints. Resultaat: loop check sheet per instrument met GO/NO-GO. 100% dekking vereist — geen steekproef [21].</w:t>
            </w:r>
          </w:p>
        </w:tc>
        <w:tc>
          <w:tcPr>
            <w:tcW w:type="dxa" w:w="1701"/>
          </w:tcPr>
          <w:p>
            <w:r>
              <w:rPr>
                <w:sz w:val="16"/>
              </w:rPr>
              <w:t>100% instrumenten loop-checked; 0 open punten; alle signalen geverifieerd</w:t>
            </w:r>
          </w:p>
        </w:tc>
        <w:tc>
          <w:tcPr>
            <w:tcW w:type="dxa" w:w="1417"/>
          </w:tcPr>
          <w:p>
            <w:r>
              <w:rPr>
                <w:sz w:val="16"/>
              </w:rPr>
              <w:t>Loop check sheets per instrument</w:t>
            </w:r>
          </w:p>
        </w:tc>
        <w:tc>
          <w:tcPr>
            <w:tcW w:type="dxa" w:w="567"/>
          </w:tcPr>
          <w:p>
            <w:r>
              <w:rPr>
                <w:sz w:val="16"/>
              </w:rPr>
              <w:t>H</w:t>
            </w:r>
          </w:p>
        </w:tc>
        <w:tc>
          <w:tcPr>
            <w:tcW w:type="dxa" w:w="1417"/>
          </w:tcPr>
          <w:p>
            <w:r>
              <w:rPr>
                <w:sz w:val="16"/>
              </w:rPr>
              <w:t>Commissioning Lead</w:t>
            </w:r>
          </w:p>
        </w:tc>
      </w:tr>
      <w:tr>
        <w:tc>
          <w:tcPr>
            <w:tcW w:type="dxa" w:w="2551"/>
            <w:shd w:fill="F0F4F8" w:val="clear"/>
          </w:tcPr>
          <w:p>
            <w:r>
              <w:rPr>
                <w:sz w:val="16"/>
              </w:rPr>
              <w:t>Cable checking: I/O testing, continuïteit, isolatieweerstand</w:t>
            </w:r>
          </w:p>
        </w:tc>
        <w:tc>
          <w:tcPr>
            <w:tcW w:type="dxa" w:w="1984"/>
            <w:shd w:fill="F0F4F8" w:val="clear"/>
          </w:tcPr>
          <w:p>
            <w:r>
              <w:rPr>
                <w:sz w:val="16"/>
              </w:rPr>
              <w:t>NEN-EN 50174-2, Best practice</w:t>
            </w:r>
          </w:p>
        </w:tc>
        <w:tc>
          <w:tcPr>
            <w:tcW w:type="dxa" w:w="3402"/>
            <w:shd w:fill="F0F4F8" w:val="clear"/>
          </w:tcPr>
          <w:p>
            <w:r>
              <w:rPr>
                <w:sz w:val="16"/>
              </w:rPr>
              <w:t>Alle kabels worden getest op: continuïteit (geen breuk), isolatieweerstand (&gt; 1 MΩ per 100m), en correcte I/O-koppeling (signaal van veldinstrument naar DCS-kast). Kabelmarkering moet overeenkomen met kabelschema. Fotodocumentie van kabelgoten voor as-built [12].</w:t>
            </w:r>
          </w:p>
        </w:tc>
        <w:tc>
          <w:tcPr>
            <w:tcW w:type="dxa" w:w="1701"/>
            <w:shd w:fill="F0F4F8" w:val="clear"/>
          </w:tcPr>
          <w:p>
            <w:r>
              <w:rPr>
                <w:sz w:val="16"/>
              </w:rPr>
              <w:t>100% kabels getest; isolatie &gt; 1 MΩ; I/O-koppeling geverifieerd; markering correct</w:t>
            </w:r>
          </w:p>
        </w:tc>
        <w:tc>
          <w:tcPr>
            <w:tcW w:type="dxa" w:w="1417"/>
            <w:shd w:fill="F0F4F8" w:val="clear"/>
          </w:tcPr>
          <w:p>
            <w:r>
              <w:rPr>
                <w:sz w:val="16"/>
              </w:rPr>
              <w:t>Cable check rapporten</w:t>
            </w:r>
          </w:p>
        </w:tc>
        <w:tc>
          <w:tcPr>
            <w:tcW w:type="dxa" w:w="567"/>
            <w:shd w:fill="F0F4F8" w:val="clear"/>
          </w:tcPr>
          <w:p>
            <w:r>
              <w:rPr>
                <w:sz w:val="16"/>
              </w:rPr>
              <w:t>H</w:t>
            </w:r>
          </w:p>
        </w:tc>
        <w:tc>
          <w:tcPr>
            <w:tcW w:type="dxa" w:w="1417"/>
            <w:shd w:fill="F0F4F8" w:val="clear"/>
          </w:tcPr>
          <w:p>
            <w:r>
              <w:rPr>
                <w:sz w:val="16"/>
              </w:rPr>
              <w:t>Commissioning Lead</w:t>
            </w:r>
          </w:p>
        </w:tc>
      </w:tr>
      <w:tr>
        <w:tc>
          <w:tcPr>
            <w:tcW w:type="dxa" w:w="2551"/>
          </w:tcPr>
          <w:p>
            <w:r>
              <w:rPr>
                <w:sz w:val="16"/>
              </w:rPr>
              <w:t>Motor checks: draairichting, stroomopname, trillingen</w:t>
            </w:r>
          </w:p>
        </w:tc>
        <w:tc>
          <w:tcPr>
            <w:tcW w:type="dxa" w:w="1984"/>
          </w:tcPr>
          <w:p>
            <w:r>
              <w:rPr>
                <w:sz w:val="16"/>
              </w:rPr>
              <w:t>IEC 60034, NEN-EN 60034-1</w:t>
            </w:r>
          </w:p>
        </w:tc>
        <w:tc>
          <w:tcPr>
            <w:tcW w:type="dxa" w:w="3402"/>
          </w:tcPr>
          <w:p>
            <w:r>
              <w:rPr>
                <w:sz w:val="16"/>
              </w:rPr>
              <w:t>Elke elektromotor wordt individueel getest: (1) draairichting conform P&amp;ID (losgekoppeld van pomp), (2) stroomopname bij draaien (binnen nominale waarde ±5%), (3) trillingsmeting (&lt; 2,8 mm/s bij nominale snelheid), en (4) temperatuurstijging na 30 min draaien. Resultaat: motor test sheet per motor [12].</w:t>
            </w:r>
          </w:p>
        </w:tc>
        <w:tc>
          <w:tcPr>
            <w:tcW w:type="dxa" w:w="1701"/>
          </w:tcPr>
          <w:p>
            <w:r>
              <w:rPr>
                <w:sz w:val="16"/>
              </w:rPr>
              <w:t>Alle motoren getest; draairichting correct; stroom nominaal ±5%; trillingen &lt; 2,8 mm/s</w:t>
            </w:r>
          </w:p>
        </w:tc>
        <w:tc>
          <w:tcPr>
            <w:tcW w:type="dxa" w:w="1417"/>
          </w:tcPr>
          <w:p>
            <w:r>
              <w:rPr>
                <w:sz w:val="16"/>
              </w:rPr>
              <w:t>Motor test sheets</w:t>
            </w:r>
          </w:p>
        </w:tc>
        <w:tc>
          <w:tcPr>
            <w:tcW w:type="dxa" w:w="567"/>
          </w:tcPr>
          <w:p>
            <w:r>
              <w:rPr>
                <w:sz w:val="16"/>
              </w:rPr>
              <w:t>H</w:t>
            </w:r>
          </w:p>
        </w:tc>
        <w:tc>
          <w:tcPr>
            <w:tcW w:type="dxa" w:w="1417"/>
          </w:tcPr>
          <w:p>
            <w:r>
              <w:rPr>
                <w:sz w:val="16"/>
              </w:rPr>
              <w:t>Commissioning Lead</w:t>
            </w:r>
          </w:p>
        </w:tc>
      </w:tr>
      <w:tr>
        <w:tc>
          <w:tcPr>
            <w:tcW w:type="dxa" w:w="2551"/>
            <w:shd w:fill="F0F4F8" w:val="clear"/>
          </w:tcPr>
          <w:p>
            <w:r>
              <w:rPr>
                <w:sz w:val="16"/>
              </w:rPr>
              <w:t>Drukproeven: piping lekdichtheid conform PED</w:t>
            </w:r>
          </w:p>
        </w:tc>
        <w:tc>
          <w:tcPr>
            <w:tcW w:type="dxa" w:w="1984"/>
            <w:shd w:fill="F0F4F8" w:val="clear"/>
          </w:tcPr>
          <w:p>
            <w:r>
              <w:rPr>
                <w:sz w:val="16"/>
              </w:rPr>
              <w:t>PED 2014/68/EU, NEN-EN 13480-5</w:t>
            </w:r>
          </w:p>
        </w:tc>
        <w:tc>
          <w:tcPr>
            <w:tcW w:type="dxa" w:w="3402"/>
            <w:shd w:fill="F0F4F8" w:val="clear"/>
          </w:tcPr>
          <w:p>
            <w:r>
              <w:rPr>
                <w:sz w:val="16"/>
              </w:rPr>
              <w:t>Alle leidingen worden onderworpen aan een drukproef: hydrostatische test op 1,43 × ontwerpdruk (PED-eis) of 1,5 × ontwerpdruk (afhankelijk van norm). De proefduur is minimaal 30 minuten bij testdruk. Lekkages worden niet getolereerd. Testmedium: water (bij voorkeur) of lucht/stikstof (na risk assessment). Resultaat: drukproefcertificaat per leiding [9].</w:t>
            </w:r>
          </w:p>
        </w:tc>
        <w:tc>
          <w:tcPr>
            <w:tcW w:type="dxa" w:w="1701"/>
            <w:shd w:fill="F0F4F8" w:val="clear"/>
          </w:tcPr>
          <w:p>
            <w:r>
              <w:rPr>
                <w:sz w:val="16"/>
              </w:rPr>
              <w:t>Alle leidingen gedruktest; 0 lekkages; testdruk conform PED; certificaten beschikbaar</w:t>
            </w:r>
          </w:p>
        </w:tc>
        <w:tc>
          <w:tcPr>
            <w:tcW w:type="dxa" w:w="1417"/>
            <w:shd w:fill="F0F4F8" w:val="clear"/>
          </w:tcPr>
          <w:p>
            <w:r>
              <w:rPr>
                <w:sz w:val="16"/>
              </w:rPr>
              <w:t>Drukproefcertificaten per leiding</w:t>
            </w:r>
          </w:p>
        </w:tc>
        <w:tc>
          <w:tcPr>
            <w:tcW w:type="dxa" w:w="567"/>
            <w:shd w:fill="F0F4F8" w:val="clear"/>
          </w:tcPr>
          <w:p>
            <w:r>
              <w:rPr>
                <w:sz w:val="16"/>
              </w:rPr>
              <w:t>H</w:t>
            </w:r>
          </w:p>
        </w:tc>
        <w:tc>
          <w:tcPr>
            <w:tcW w:type="dxa" w:w="1417"/>
            <w:shd w:fill="F0F4F8" w:val="clear"/>
          </w:tcPr>
          <w:p>
            <w:r>
              <w:rPr>
                <w:sz w:val="16"/>
              </w:rPr>
              <w:t>Commissioning Lead</w:t>
            </w:r>
          </w:p>
        </w:tc>
      </w:tr>
      <w:tr>
        <w:tc>
          <w:tcPr>
            <w:tcW w:type="dxa" w:w="2551"/>
          </w:tcPr>
          <w:p>
            <w:r>
              <w:rPr>
                <w:sz w:val="16"/>
              </w:rPr>
              <w:t>NDT inspecties: radiografie, ultrasoon, penetrant</w:t>
            </w:r>
          </w:p>
        </w:tc>
        <w:tc>
          <w:tcPr>
            <w:tcW w:type="dxa" w:w="1984"/>
          </w:tcPr>
          <w:p>
            <w:r>
              <w:rPr>
                <w:sz w:val="16"/>
              </w:rPr>
              <w:t>ISO 17640, EN 571-1, NEN-EN 12668</w:t>
            </w:r>
          </w:p>
        </w:tc>
        <w:tc>
          <w:tcPr>
            <w:tcW w:type="dxa" w:w="3402"/>
          </w:tcPr>
          <w:p>
            <w:r>
              <w:rPr>
                <w:sz w:val="16"/>
              </w:rPr>
              <w:t>Alle lasverbindingen worden onderworpen aan NDT (Non-Destructive Testing): 100% radiografische inspectie (RT) voor leidingen in corrosieve dienst (zuur), 20% steekproef voor niet-kritieke leidingen, en penetrant testing (PT) voor oppervlaktedefecten. Acceptatiecriteria conform ASME B31.3 of equivalente norm. Alle bevindingen geregistreerd [9].</w:t>
            </w:r>
          </w:p>
        </w:tc>
        <w:tc>
          <w:tcPr>
            <w:tcW w:type="dxa" w:w="1701"/>
          </w:tcPr>
          <w:p>
            <w:r>
              <w:rPr>
                <w:sz w:val="16"/>
              </w:rPr>
              <w:t>100% RT voor kritieke lassen; 20% steekproef overige; alle defecten binnen acceptatiecriteria</w:t>
            </w:r>
          </w:p>
        </w:tc>
        <w:tc>
          <w:tcPr>
            <w:tcW w:type="dxa" w:w="1417"/>
          </w:tcPr>
          <w:p>
            <w:r>
              <w:rPr>
                <w:sz w:val="16"/>
              </w:rPr>
              <w:t>NDT-rapporten per las + overzichtstabel</w:t>
            </w:r>
          </w:p>
        </w:tc>
        <w:tc>
          <w:tcPr>
            <w:tcW w:type="dxa" w:w="567"/>
          </w:tcPr>
          <w:p>
            <w:r>
              <w:rPr>
                <w:sz w:val="16"/>
              </w:rPr>
              <w:t>H</w:t>
            </w:r>
          </w:p>
        </w:tc>
        <w:tc>
          <w:tcPr>
            <w:tcW w:type="dxa" w:w="1417"/>
          </w:tcPr>
          <w:p>
            <w:r>
              <w:rPr>
                <w:sz w:val="16"/>
              </w:rPr>
              <w:t>QC Inspector</w:t>
            </w:r>
          </w:p>
        </w:tc>
      </w:tr>
      <w:tr>
        <w:tc>
          <w:tcPr>
            <w:tcW w:type="dxa" w:w="2551"/>
            <w:shd w:fill="F0F4F8" w:val="clear"/>
          </w:tcPr>
          <w:p>
            <w:r>
              <w:rPr>
                <w:sz w:val="16"/>
              </w:rPr>
              <w:t>Water batching: lekdichtheid systeemloop met water</w:t>
            </w:r>
          </w:p>
        </w:tc>
        <w:tc>
          <w:tcPr>
            <w:tcW w:type="dxa" w:w="1984"/>
            <w:shd w:fill="F0F4F8" w:val="clear"/>
          </w:tcPr>
          <w:p>
            <w:r>
              <w:rPr>
                <w:sz w:val="16"/>
              </w:rPr>
              <w:t>Best practice, Commissioning procedure</w:t>
            </w:r>
          </w:p>
        </w:tc>
        <w:tc>
          <w:tcPr>
            <w:tcW w:type="dxa" w:w="3402"/>
            <w:shd w:fill="F0F4F8" w:val="clear"/>
          </w:tcPr>
          <w:p>
            <w:r>
              <w:rPr>
                <w:sz w:val="16"/>
              </w:rPr>
              <w:t>Het gehele leidingsysteem wordt gevuld met water en op pompdruk gebracht om lekdichtheid te verifiëren onder dynamische omstandigheden. Dit is aanvullend op de statische drukproef. Elk flens, klep en verbinding wordt visueel geïnspecteerd. Lekkages worden gerepareerd en opnieuw getest [21].</w:t>
            </w:r>
          </w:p>
        </w:tc>
        <w:tc>
          <w:tcPr>
            <w:tcW w:type="dxa" w:w="1701"/>
            <w:shd w:fill="F0F4F8" w:val="clear"/>
          </w:tcPr>
          <w:p>
            <w:r>
              <w:rPr>
                <w:sz w:val="16"/>
              </w:rPr>
              <w:t>Water batching voltooid; 0 lekkages bij bedrijfsdruk; alle flenzen geïnspecteerd</w:t>
            </w:r>
          </w:p>
        </w:tc>
        <w:tc>
          <w:tcPr>
            <w:tcW w:type="dxa" w:w="1417"/>
            <w:shd w:fill="F0F4F8" w:val="clear"/>
          </w:tcPr>
          <w:p>
            <w:r>
              <w:rPr>
                <w:sz w:val="16"/>
              </w:rPr>
              <w:t>Water batching rapport + punchlist</w:t>
            </w:r>
          </w:p>
        </w:tc>
        <w:tc>
          <w:tcPr>
            <w:tcW w:type="dxa" w:w="567"/>
            <w:shd w:fill="F0F4F8" w:val="clear"/>
          </w:tcPr>
          <w:p>
            <w:r>
              <w:rPr>
                <w:sz w:val="16"/>
              </w:rPr>
              <w:t>H</w:t>
            </w:r>
          </w:p>
        </w:tc>
        <w:tc>
          <w:tcPr>
            <w:tcW w:type="dxa" w:w="1417"/>
            <w:shd w:fill="F0F4F8" w:val="clear"/>
          </w:tcPr>
          <w:p>
            <w:r>
              <w:rPr>
                <w:sz w:val="16"/>
              </w:rPr>
              <w:t>Commissioning Lead</w:t>
            </w:r>
          </w:p>
        </w:tc>
      </w:tr>
      <w:tr>
        <w:tc>
          <w:tcPr>
            <w:tcW w:type="dxa" w:w="2551"/>
          </w:tcPr>
          <w:p>
            <w:r>
              <w:rPr>
                <w:sz w:val="16"/>
              </w:rPr>
              <w:t>Water run: flow/pressure/drukval test</w:t>
            </w:r>
          </w:p>
        </w:tc>
        <w:tc>
          <w:tcPr>
            <w:tcW w:type="dxa" w:w="1984"/>
          </w:tcPr>
          <w:p>
            <w:r>
              <w:rPr>
                <w:sz w:val="16"/>
              </w:rPr>
              <w:t>Best practice</w:t>
            </w:r>
          </w:p>
        </w:tc>
        <w:tc>
          <w:tcPr>
            <w:tcW w:type="dxa" w:w="3402"/>
          </w:tcPr>
          <w:p>
            <w:r>
              <w:rPr>
                <w:sz w:val="16"/>
              </w:rPr>
              <w:t>Na water batching wordt een extended water run uitgevoerd (4-8 uur) om de procescondities te simuleren: debieten, drukvallen over kolommen/filters, pompcurves, en level measurement. Afwijkingen t.o.v. ontwerp (&gt;10%) moeten worden onderzocht en gedocumenteerd [21].</w:t>
            </w:r>
          </w:p>
        </w:tc>
        <w:tc>
          <w:tcPr>
            <w:tcW w:type="dxa" w:w="1701"/>
          </w:tcPr>
          <w:p>
            <w:r>
              <w:rPr>
                <w:sz w:val="16"/>
              </w:rPr>
              <w:t>Water run 4-8 uur voltooid; flow/pressure binnen ±10% van ontwerp</w:t>
            </w:r>
          </w:p>
        </w:tc>
        <w:tc>
          <w:tcPr>
            <w:tcW w:type="dxa" w:w="1417"/>
          </w:tcPr>
          <w:p>
            <w:r>
              <w:rPr>
                <w:sz w:val="16"/>
              </w:rPr>
              <w:t>Water run rapport + prestatievergelijking</w:t>
            </w:r>
          </w:p>
        </w:tc>
        <w:tc>
          <w:tcPr>
            <w:tcW w:type="dxa" w:w="567"/>
          </w:tcPr>
          <w:p>
            <w:r>
              <w:rPr>
                <w:sz w:val="16"/>
              </w:rPr>
              <w:t>H</w:t>
            </w:r>
          </w:p>
        </w:tc>
        <w:tc>
          <w:tcPr>
            <w:tcW w:type="dxa" w:w="1417"/>
          </w:tcPr>
          <w:p>
            <w:r>
              <w:rPr>
                <w:sz w:val="16"/>
              </w:rPr>
              <w:t>Commissioning Lead</w:t>
            </w:r>
          </w:p>
        </w:tc>
      </w:tr>
      <w:tr>
        <w:tc>
          <w:tcPr>
            <w:tcW w:type="dxa" w:w="2551"/>
            <w:shd w:fill="F0F4F8" w:val="clear"/>
          </w:tcPr>
          <w:p>
            <w:r>
              <w:rPr>
                <w:sz w:val="16"/>
              </w:rPr>
              <w:t>Punchlist afronding: alle A-punten opgelost vóór chemical intro</w:t>
            </w:r>
          </w:p>
        </w:tc>
        <w:tc>
          <w:tcPr>
            <w:tcW w:type="dxa" w:w="1984"/>
            <w:shd w:fill="F0F4F8" w:val="clear"/>
          </w:tcPr>
          <w:p>
            <w:r>
              <w:rPr>
                <w:sz w:val="16"/>
              </w:rPr>
              <w:t>Best practice, PSSR protocol</w:t>
            </w:r>
          </w:p>
        </w:tc>
        <w:tc>
          <w:tcPr>
            <w:tcW w:type="dxa" w:w="3402"/>
            <w:shd w:fill="F0F4F8" w:val="clear"/>
          </w:tcPr>
          <w:p>
            <w:r>
              <w:rPr>
                <w:sz w:val="16"/>
              </w:rPr>
              <w:t>Na water batching/runs wordt de punchlist opgesteld: A-punten (kritiek — MOET vóór chemical intro zijn opgelost), B-punten (belangrijk — binnen 30 dagen), C-punten (cosmetisch — binnen 90 dagen). VOORDAT gevaarlijke chemicaliën worden geïntroduceerd, MOETEN alle A-punten zijn gesloten en ondertekend [21].</w:t>
            </w:r>
          </w:p>
        </w:tc>
        <w:tc>
          <w:tcPr>
            <w:tcW w:type="dxa" w:w="1701"/>
            <w:shd w:fill="F0F4F8" w:val="clear"/>
          </w:tcPr>
          <w:p>
            <w:r>
              <w:rPr>
                <w:sz w:val="16"/>
              </w:rPr>
              <w:t>Alle A-punten gesloten vóór chemical intro; B/C-punten voorzien van deadline</w:t>
            </w:r>
          </w:p>
        </w:tc>
        <w:tc>
          <w:tcPr>
            <w:tcW w:type="dxa" w:w="1417"/>
            <w:shd w:fill="F0F4F8" w:val="clear"/>
          </w:tcPr>
          <w:p>
            <w:r>
              <w:rPr>
                <w:sz w:val="16"/>
              </w:rPr>
              <w:t>Punchlist met status + sluitingsformulieren</w:t>
            </w:r>
          </w:p>
        </w:tc>
        <w:tc>
          <w:tcPr>
            <w:tcW w:type="dxa" w:w="567"/>
            <w:shd w:fill="F0F4F8" w:val="clear"/>
          </w:tcPr>
          <w:p>
            <w:r>
              <w:rPr>
                <w:sz w:val="16"/>
              </w:rPr>
              <w:t>H</w:t>
            </w:r>
          </w:p>
        </w:tc>
        <w:tc>
          <w:tcPr>
            <w:tcW w:type="dxa" w:w="1417"/>
            <w:shd w:fill="F0F4F8" w:val="clear"/>
          </w:tcPr>
          <w:p>
            <w:r>
              <w:rPr>
                <w:sz w:val="16"/>
              </w:rPr>
              <w:t>Commissioning Lead</w:t>
            </w:r>
          </w:p>
        </w:tc>
      </w:tr>
      <w:tr>
        <w:tc>
          <w:tcPr>
            <w:tcW w:type="dxa" w:w="2551"/>
          </w:tcPr>
          <w:p>
            <w:r>
              <w:rPr>
                <w:sz w:val="16"/>
              </w:rPr>
              <w:t>Chemical cleaning protocol (zuur, base, flush) uitgevoerd</w:t>
            </w:r>
          </w:p>
        </w:tc>
        <w:tc>
          <w:tcPr>
            <w:tcW w:type="dxa" w:w="1984"/>
          </w:tcPr>
          <w:p>
            <w:r>
              <w:rPr>
                <w:sz w:val="16"/>
              </w:rPr>
              <w:t>Best practice, ASME B31.3</w:t>
            </w:r>
          </w:p>
        </w:tc>
        <w:tc>
          <w:tcPr>
            <w:tcW w:type="dxa" w:w="3402"/>
          </w:tcPr>
          <w:p>
            <w:r>
              <w:rPr>
                <w:sz w:val="16"/>
              </w:rPr>
              <w:t>Voordat het proces in gebruik wordt genomen, moeten alle leidingen en apparaten schoon zijn: (1) alkalische was (verwijdert vet/olie), (2) zoetwater flush, (3) zure was (verwijdert roest/mill scale — 5% HCl + inhibitor), (4) neutralisatie flush, (5) passivatie (RVS). Het protocol moet veiligheidsmaatregelen bevatten: PBM's, ventilatie, afvoer cleaning chemicaliën conform Bal [21].</w:t>
            </w:r>
          </w:p>
        </w:tc>
        <w:tc>
          <w:tcPr>
            <w:tcW w:type="dxa" w:w="1701"/>
          </w:tcPr>
          <w:p>
            <w:r>
              <w:rPr>
                <w:sz w:val="16"/>
              </w:rPr>
              <w:t>Chemical cleaning voltooid per protocol; visuele inspectie bevestigt cleanness</w:t>
            </w:r>
          </w:p>
        </w:tc>
        <w:tc>
          <w:tcPr>
            <w:tcW w:type="dxa" w:w="1417"/>
          </w:tcPr>
          <w:p>
            <w:r>
              <w:rPr>
                <w:sz w:val="16"/>
              </w:rPr>
              <w:t>Chemical cleaning rapport + visuele inspectie foto's</w:t>
            </w:r>
          </w:p>
        </w:tc>
        <w:tc>
          <w:tcPr>
            <w:tcW w:type="dxa" w:w="567"/>
          </w:tcPr>
          <w:p>
            <w:r>
              <w:rPr>
                <w:sz w:val="16"/>
              </w:rPr>
              <w:t>H</w:t>
            </w:r>
          </w:p>
        </w:tc>
        <w:tc>
          <w:tcPr>
            <w:tcW w:type="dxa" w:w="1417"/>
          </w:tcPr>
          <w:p>
            <w:r>
              <w:rPr>
                <w:sz w:val="16"/>
              </w:rPr>
              <w:t>Commissioning Lead</w:t>
            </w:r>
          </w:p>
        </w:tc>
      </w:tr>
      <w:tr>
        <w:tc>
          <w:tcPr>
            <w:tcW w:type="dxa" w:w="2551"/>
            <w:shd w:fill="F0F4F8" w:val="clear"/>
          </w:tcPr>
          <w:p>
            <w:r>
              <w:rPr>
                <w:sz w:val="16"/>
              </w:rPr>
              <w:t>Passivatie RVS leidingen uitgevoerd</w:t>
            </w:r>
          </w:p>
        </w:tc>
        <w:tc>
          <w:tcPr>
            <w:tcW w:type="dxa" w:w="1984"/>
            <w:shd w:fill="F0F4F8" w:val="clear"/>
          </w:tcPr>
          <w:p>
            <w:r>
              <w:rPr>
                <w:sz w:val="16"/>
              </w:rPr>
              <w:t>ASTM A967, ASTM A380</w:t>
            </w:r>
          </w:p>
        </w:tc>
        <w:tc>
          <w:tcPr>
            <w:tcW w:type="dxa" w:w="3402"/>
            <w:shd w:fill="F0F4F8" w:val="clear"/>
          </w:tcPr>
          <w:p>
            <w:r>
              <w:rPr>
                <w:sz w:val="16"/>
              </w:rPr>
              <w:t>Roestvrijstalen leidingen moeten na chemical cleaning worden gepassiveerd om de chroomoxide-laag te herstellen. Methode: nitrietpassivatie (HNO₃ 20-25% bij 50°C, 30-60 min) of citroenzuur passivatie (milder, milieuvriendelijker). Na passivatie: spoelen met demi-water en drogen. Test: ferroxyltest om vrije ijzerresten aan te tonen [23].</w:t>
            </w:r>
          </w:p>
        </w:tc>
        <w:tc>
          <w:tcPr>
            <w:tcW w:type="dxa" w:w="1701"/>
            <w:shd w:fill="F0F4F8" w:val="clear"/>
          </w:tcPr>
          <w:p>
            <w:r>
              <w:rPr>
                <w:sz w:val="16"/>
              </w:rPr>
              <w:t>Passivatie voltooid; ferroxyltest negatief (geen vrije ijzerresten)</w:t>
            </w:r>
          </w:p>
        </w:tc>
        <w:tc>
          <w:tcPr>
            <w:tcW w:type="dxa" w:w="1417"/>
            <w:shd w:fill="F0F4F8" w:val="clear"/>
          </w:tcPr>
          <w:p>
            <w:r>
              <w:rPr>
                <w:sz w:val="16"/>
              </w:rPr>
              <w:t>Passivatie rapport + ferroxyltest resultaten</w:t>
            </w:r>
          </w:p>
        </w:tc>
        <w:tc>
          <w:tcPr>
            <w:tcW w:type="dxa" w:w="567"/>
            <w:shd w:fill="F0F4F8" w:val="clear"/>
          </w:tcPr>
          <w:p>
            <w:r>
              <w:rPr>
                <w:sz w:val="16"/>
              </w:rPr>
              <w:t>M</w:t>
            </w:r>
          </w:p>
        </w:tc>
        <w:tc>
          <w:tcPr>
            <w:tcW w:type="dxa" w:w="1417"/>
            <w:shd w:fill="F0F4F8" w:val="clear"/>
          </w:tcPr>
          <w:p>
            <w:r>
              <w:rPr>
                <w:sz w:val="16"/>
              </w:rPr>
              <w:t>Commissioning Lead</w:t>
            </w:r>
          </w:p>
        </w:tc>
      </w:tr>
      <w:tr>
        <w:tc>
          <w:tcPr>
            <w:tcW w:type="dxa" w:w="2551"/>
          </w:tcPr>
          <w:p>
            <w:r>
              <w:rPr>
                <w:sz w:val="16"/>
              </w:rPr>
              <w:t>Stapsgewijze introductie gevaarlijke stoffen (10→25→50→100%)</w:t>
            </w:r>
          </w:p>
        </w:tc>
        <w:tc>
          <w:tcPr>
            <w:tcW w:type="dxa" w:w="1984"/>
          </w:tcPr>
          <w:p>
            <w:r>
              <w:rPr>
                <w:sz w:val="16"/>
              </w:rPr>
              <w:t>Best practice, PSSR protocol</w:t>
            </w:r>
          </w:p>
        </w:tc>
        <w:tc>
          <w:tcPr>
            <w:tcW w:type="dxa" w:w="3402"/>
          </w:tcPr>
          <w:p>
            <w:r>
              <w:rPr>
                <w:sz w:val="16"/>
              </w:rPr>
              <w:t>De introductie van H₂SO₄ en HCl in de installatie gebeurt stapsgewijs: (1) 10% concentratie — controleer lekdichtheid en materiaalbestendigheid, (2) 25% — verhoog en monitor corrosie, (3) 50% — test procesprestaties, (4) 100% — volledige procescondities. Elke stap vereist: monitoring (pH, temperatuur, lekdetectie), evaluatie, en formele GO voor volgende stap [21].</w:t>
            </w:r>
          </w:p>
        </w:tc>
        <w:tc>
          <w:tcPr>
            <w:tcW w:type="dxa" w:w="1701"/>
          </w:tcPr>
          <w:p>
            <w:r>
              <w:rPr>
                <w:sz w:val="16"/>
              </w:rPr>
              <w:t>Alle 4 stappen doorlopen; per stap: monitoring OK en formeel GO vóór volgende stap</w:t>
            </w:r>
          </w:p>
        </w:tc>
        <w:tc>
          <w:tcPr>
            <w:tcW w:type="dxa" w:w="1417"/>
          </w:tcPr>
          <w:p>
            <w:r>
              <w:rPr>
                <w:sz w:val="16"/>
              </w:rPr>
              <w:t>Stapsgewijze introductie logbook + monitoring data</w:t>
            </w:r>
          </w:p>
        </w:tc>
        <w:tc>
          <w:tcPr>
            <w:tcW w:type="dxa" w:w="567"/>
          </w:tcPr>
          <w:p>
            <w:r>
              <w:rPr>
                <w:sz w:val="16"/>
              </w:rPr>
              <w:t>H</w:t>
            </w:r>
          </w:p>
        </w:tc>
        <w:tc>
          <w:tcPr>
            <w:tcW w:type="dxa" w:w="1417"/>
          </w:tcPr>
          <w:p>
            <w:r>
              <w:rPr>
                <w:sz w:val="16"/>
              </w:rPr>
              <w:t>Commissioning Lead</w:t>
            </w:r>
          </w:p>
        </w:tc>
      </w:tr>
      <w:tr>
        <w:tc>
          <w:tcPr>
            <w:tcW w:type="dxa" w:w="2551"/>
            <w:shd w:fill="F0F4F8" w:val="clear"/>
          </w:tcPr>
          <w:p>
            <w:r>
              <w:rPr>
                <w:sz w:val="16"/>
              </w:rPr>
              <w:t>Emergency shutdown (ESD) procedure getest</w:t>
            </w:r>
          </w:p>
        </w:tc>
        <w:tc>
          <w:tcPr>
            <w:tcW w:type="dxa" w:w="1984"/>
            <w:shd w:fill="F0F4F8" w:val="clear"/>
          </w:tcPr>
          <w:p>
            <w:r>
              <w:rPr>
                <w:sz w:val="16"/>
              </w:rPr>
              <w:t>IEC 61511:2024 §16</w:t>
            </w:r>
          </w:p>
        </w:tc>
        <w:tc>
          <w:tcPr>
            <w:tcW w:type="dxa" w:w="3402"/>
            <w:shd w:fill="F0F4F8" w:val="clear"/>
          </w:tcPr>
          <w:p>
            <w:r>
              <w:rPr>
                <w:sz w:val="16"/>
              </w:rPr>
              <w:t>Voorafgaand aan de introductie van gevaarlijke stoffen moet het ESD-systeem volledig worden getest: (1) elke ESD-trigger (hoog druk, hoog level, gasdetectie, handmatige ESD-knop) activeert correct, (2) alle afsluiters sluiten binnen gespecificeerde tijd (&lt; 3 seconden voor kritieke kleppen), (3) alarmen verschijnen in controlekamer, (4) noodverlichting activeert. Documentatie: ESD-testrapport [21].</w:t>
            </w:r>
          </w:p>
        </w:tc>
        <w:tc>
          <w:tcPr>
            <w:tcW w:type="dxa" w:w="1701"/>
            <w:shd w:fill="F0F4F8" w:val="clear"/>
          </w:tcPr>
          <w:p>
            <w:r>
              <w:rPr>
                <w:sz w:val="16"/>
              </w:rPr>
              <w:t>Alle ESD-triggers getest; afsluittijden &lt; specificatie; alarmen functioneel</w:t>
            </w:r>
          </w:p>
        </w:tc>
        <w:tc>
          <w:tcPr>
            <w:tcW w:type="dxa" w:w="1417"/>
            <w:shd w:fill="F0F4F8" w:val="clear"/>
          </w:tcPr>
          <w:p>
            <w:r>
              <w:rPr>
                <w:sz w:val="16"/>
              </w:rPr>
              <w:t>ESD-testrapport per trigger</w:t>
            </w:r>
          </w:p>
        </w:tc>
        <w:tc>
          <w:tcPr>
            <w:tcW w:type="dxa" w:w="567"/>
            <w:shd w:fill="F0F4F8" w:val="clear"/>
          </w:tcPr>
          <w:p>
            <w:r>
              <w:rPr>
                <w:sz w:val="16"/>
              </w:rPr>
              <w:t>H</w:t>
            </w:r>
          </w:p>
        </w:tc>
        <w:tc>
          <w:tcPr>
            <w:tcW w:type="dxa" w:w="1417"/>
            <w:shd w:fill="F0F4F8" w:val="clear"/>
          </w:tcPr>
          <w:p>
            <w:r>
              <w:rPr>
                <w:sz w:val="16"/>
              </w:rPr>
              <w:t>Commissioning Lead</w:t>
            </w:r>
          </w:p>
        </w:tc>
      </w:tr>
      <w:tr>
        <w:tc>
          <w:tcPr>
            <w:tcW w:type="dxa" w:w="2551"/>
          </w:tcPr>
          <w:p>
            <w:r>
              <w:rPr>
                <w:sz w:val="16"/>
              </w:rPr>
              <w:t>Emergency response team standby bij chemical intro</w:t>
            </w:r>
          </w:p>
        </w:tc>
        <w:tc>
          <w:tcPr>
            <w:tcW w:type="dxa" w:w="1984"/>
          </w:tcPr>
          <w:p>
            <w:r>
              <w:rPr>
                <w:sz w:val="16"/>
              </w:rPr>
              <w:t>Seveso-regeling 2024, Best practice</w:t>
            </w:r>
          </w:p>
        </w:tc>
        <w:tc>
          <w:tcPr>
            <w:tcW w:type="dxa" w:w="3402"/>
          </w:tcPr>
          <w:p>
            <w:r>
              <w:rPr>
                <w:sz w:val="16"/>
              </w:rPr>
              <w:t>Tijdens de introductie van gevaarlijke stoffen moet een Emergency Response Team (BHV) standby zijn met: zuurbestendige pakken, ademluchttoestellen, blusmiddelen, neutralisatiemiddelen (NaOH voor zuren), en eerste hulp-materialen (nooddouche, oogspuit). Het team moet binnen 3 minuten ter plaatse kunnen zijn. Oefening met zuurscenario vooraf verplicht [7].</w:t>
            </w:r>
          </w:p>
        </w:tc>
        <w:tc>
          <w:tcPr>
            <w:tcW w:type="dxa" w:w="1701"/>
          </w:tcPr>
          <w:p>
            <w:r>
              <w:rPr>
                <w:sz w:val="16"/>
              </w:rPr>
              <w:t>ERT standby; binnen 3 min ter plaatse; zuurscenario-oefening afgerond</w:t>
            </w:r>
          </w:p>
        </w:tc>
        <w:tc>
          <w:tcPr>
            <w:tcW w:type="dxa" w:w="1417"/>
          </w:tcPr>
          <w:p>
            <w:r>
              <w:rPr>
                <w:sz w:val="16"/>
              </w:rPr>
              <w:t>ERT paraatheid log + oefenrapport</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PSSR (Pre-Startup Safety Review) final check afgetekend</w:t>
            </w:r>
          </w:p>
        </w:tc>
        <w:tc>
          <w:tcPr>
            <w:tcW w:type="dxa" w:w="1984"/>
            <w:shd w:fill="F0F4F8" w:val="clear"/>
          </w:tcPr>
          <w:p>
            <w:r>
              <w:rPr>
                <w:sz w:val="16"/>
              </w:rPr>
              <w:t>IEC 61511:2024 §15, OSHA PSM</w:t>
            </w:r>
          </w:p>
        </w:tc>
        <w:tc>
          <w:tcPr>
            <w:tcW w:type="dxa" w:w="3402"/>
            <w:shd w:fill="F0F4F8" w:val="clear"/>
          </w:tcPr>
          <w:p>
            <w:r>
              <w:rPr>
                <w:sz w:val="16"/>
              </w:rPr>
              <w:t>De PSSR #2 (as-built review) wordt uitgevoerd NA installatie en VOOR hot commissioning. Checklist: (1) constructie conform ontwerp, (2) alle HAZOP/LOPA-aanbevelingen geïmplementeerd, (3) veiligheidsinformatie compleet, (4) training operators voltooid, (5) procedures (normal, start-up, shutdown, emergency) beschikbaar, (6) ESD getest. Formele goedkeuring door Plant Manager + HSEQ Manager vereist [21].</w:t>
            </w:r>
          </w:p>
        </w:tc>
        <w:tc>
          <w:tcPr>
            <w:tcW w:type="dxa" w:w="1701"/>
            <w:shd w:fill="F0F4F8" w:val="clear"/>
          </w:tcPr>
          <w:p>
            <w:r>
              <w:rPr>
                <w:sz w:val="16"/>
              </w:rPr>
              <w:t>PSSR #2 voltooid; alle checklist-items GO; formeel ondertekend door PM + HSEQ</w:t>
            </w:r>
          </w:p>
        </w:tc>
        <w:tc>
          <w:tcPr>
            <w:tcW w:type="dxa" w:w="1417"/>
            <w:shd w:fill="F0F4F8" w:val="clear"/>
          </w:tcPr>
          <w:p>
            <w:r>
              <w:rPr>
                <w:sz w:val="16"/>
              </w:rPr>
              <w:t>PSSR #2 rapport + handtekeningen</w:t>
            </w:r>
          </w:p>
        </w:tc>
        <w:tc>
          <w:tcPr>
            <w:tcW w:type="dxa" w:w="567"/>
            <w:shd w:fill="F0F4F8" w:val="clear"/>
          </w:tcPr>
          <w:p>
            <w:r>
              <w:rPr>
                <w:sz w:val="16"/>
              </w:rPr>
              <w:t>H</w:t>
            </w:r>
          </w:p>
        </w:tc>
        <w:tc>
          <w:tcPr>
            <w:tcW w:type="dxa" w:w="1417"/>
            <w:shd w:fill="F0F4F8" w:val="clear"/>
          </w:tcPr>
          <w:p>
            <w:r>
              <w:rPr>
                <w:sz w:val="16"/>
              </w:rPr>
              <w:t>Plant Manager</w:t>
            </w:r>
          </w:p>
        </w:tc>
      </w:tr>
      <w:tr>
        <w:tc>
          <w:tcPr>
            <w:tcW w:type="dxa" w:w="2551"/>
          </w:tcPr>
          <w:p>
            <w:r>
              <w:rPr>
                <w:sz w:val="16"/>
              </w:rPr>
              <w:t>Hot commissioning protocol goedgekeurd door Plant Manager</w:t>
            </w:r>
          </w:p>
        </w:tc>
        <w:tc>
          <w:tcPr>
            <w:tcW w:type="dxa" w:w="1984"/>
          </w:tcPr>
          <w:p>
            <w:r>
              <w:rPr>
                <w:sz w:val="16"/>
              </w:rPr>
              <w:t>Best practice</w:t>
            </w:r>
          </w:p>
        </w:tc>
        <w:tc>
          <w:tcPr>
            <w:tcW w:type="dxa" w:w="3402"/>
          </w:tcPr>
          <w:p>
            <w:r>
              <w:rPr>
                <w:sz w:val="16"/>
              </w:rPr>
              <w:t>Het hot commissioning protocol definieert: volgorde van stappen, veiligheidsmaatregelen per stap, criteria voor GO/NO-GO, en verantwoordelijkheden. Het protocol moet worden goedgekeurd door de Plant Manager en HSEQ Manager vóór aanvang. Minimum inhoud: scope, veiligheidsmaatregelen, Stapsgewijze procedure, monitoring-parameters, en stopcriteria [21].</w:t>
            </w:r>
          </w:p>
        </w:tc>
        <w:tc>
          <w:tcPr>
            <w:tcW w:type="dxa" w:w="1701"/>
          </w:tcPr>
          <w:p>
            <w:r>
              <w:rPr>
                <w:sz w:val="16"/>
              </w:rPr>
              <w:t>Hot commissioning protocol goedgekeurd; PM + HSEQ ondertekend</w:t>
            </w:r>
          </w:p>
        </w:tc>
        <w:tc>
          <w:tcPr>
            <w:tcW w:type="dxa" w:w="1417"/>
          </w:tcPr>
          <w:p>
            <w:r>
              <w:rPr>
                <w:sz w:val="16"/>
              </w:rPr>
              <w:t>Hot commissioning protocol (goedgekeurd)</w:t>
            </w:r>
          </w:p>
        </w:tc>
        <w:tc>
          <w:tcPr>
            <w:tcW w:type="dxa" w:w="567"/>
          </w:tcPr>
          <w:p>
            <w:r>
              <w:rPr>
                <w:sz w:val="16"/>
              </w:rPr>
              <w:t>H</w:t>
            </w:r>
          </w:p>
        </w:tc>
        <w:tc>
          <w:tcPr>
            <w:tcW w:type="dxa" w:w="1417"/>
          </w:tcPr>
          <w:p>
            <w:r>
              <w:rPr>
                <w:sz w:val="16"/>
              </w:rPr>
              <w:t>Plant Manager</w:t>
            </w:r>
          </w:p>
        </w:tc>
      </w:tr>
      <w:tr>
        <w:tc>
          <w:tcPr>
            <w:tcW w:type="dxa" w:w="2551"/>
            <w:shd w:fill="F0F4F8" w:val="clear"/>
          </w:tcPr>
          <w:p>
            <w:r>
              <w:rPr>
                <w:sz w:val="16"/>
              </w:rPr>
              <w:t>Capaciteitstest: ontwerp-capaciteit bereikt</w:t>
            </w:r>
          </w:p>
        </w:tc>
        <w:tc>
          <w:tcPr>
            <w:tcW w:type="dxa" w:w="1984"/>
            <w:shd w:fill="F0F4F8" w:val="clear"/>
          </w:tcPr>
          <w:p>
            <w:r>
              <w:rPr>
                <w:sz w:val="16"/>
              </w:rPr>
              <w:t>Best practice, UAV 2012</w:t>
            </w:r>
          </w:p>
        </w:tc>
        <w:tc>
          <w:tcPr>
            <w:tcW w:type="dxa" w:w="3402"/>
            <w:shd w:fill="F0F4F8" w:val="clear"/>
          </w:tcPr>
          <w:p>
            <w:r>
              <w:rPr>
                <w:sz w:val="16"/>
              </w:rPr>
              <w:t>De capaciteitstest toont aan dat de pilot plant het ontworpen doorzetvermogen haalt (ton vanadium per dag, m³/uur vloeistof). Testduur: minimaal 24 uur continue bewerking. Alle parameters (flow, temperatuur, druk, concentratie) worden continu gemonitord. Afwijking &gt; 10% van ontwerp moet worden onderzocht en gemotiveerd [25].</w:t>
            </w:r>
          </w:p>
        </w:tc>
        <w:tc>
          <w:tcPr>
            <w:tcW w:type="dxa" w:w="1701"/>
            <w:shd w:fill="F0F4F8" w:val="clear"/>
          </w:tcPr>
          <w:p>
            <w:r>
              <w:rPr>
                <w:sz w:val="16"/>
              </w:rPr>
              <w:t>Capaciteit ≥ 100% van ontwerp; alle parameters binnen ±10%; 24-uur continue test</w:t>
            </w:r>
          </w:p>
        </w:tc>
        <w:tc>
          <w:tcPr>
            <w:tcW w:type="dxa" w:w="1417"/>
            <w:shd w:fill="F0F4F8" w:val="clear"/>
          </w:tcPr>
          <w:p>
            <w:r>
              <w:rPr>
                <w:sz w:val="16"/>
              </w:rPr>
              <w:t>Capaciteitstest rapport + monitoring data</w:t>
            </w:r>
          </w:p>
        </w:tc>
        <w:tc>
          <w:tcPr>
            <w:tcW w:type="dxa" w:w="567"/>
            <w:shd w:fill="F0F4F8" w:val="clear"/>
          </w:tcPr>
          <w:p>
            <w:r>
              <w:rPr>
                <w:sz w:val="16"/>
              </w:rPr>
              <w:t>H</w:t>
            </w:r>
          </w:p>
        </w:tc>
        <w:tc>
          <w:tcPr>
            <w:tcW w:type="dxa" w:w="1417"/>
            <w:shd w:fill="F0F4F8" w:val="clear"/>
          </w:tcPr>
          <w:p>
            <w:r>
              <w:rPr>
                <w:sz w:val="16"/>
              </w:rPr>
              <w:t>Commissioning Lead</w:t>
            </w:r>
          </w:p>
        </w:tc>
      </w:tr>
      <w:tr>
        <w:tc>
          <w:tcPr>
            <w:tcW w:type="dxa" w:w="2551"/>
          </w:tcPr>
          <w:p>
            <w:r>
              <w:rPr>
                <w:sz w:val="16"/>
              </w:rPr>
              <w:t>Kwaliteitstest: product specificaties behaald</w:t>
            </w:r>
          </w:p>
        </w:tc>
        <w:tc>
          <w:tcPr>
            <w:tcW w:type="dxa" w:w="1984"/>
          </w:tcPr>
          <w:p>
            <w:r>
              <w:rPr>
                <w:sz w:val="16"/>
              </w:rPr>
              <w:t>Best practice, klantspecificaties</w:t>
            </w:r>
          </w:p>
        </w:tc>
        <w:tc>
          <w:tcPr>
            <w:tcW w:type="dxa" w:w="3402"/>
          </w:tcPr>
          <w:p>
            <w:r>
              <w:rPr>
                <w:sz w:val="16"/>
              </w:rPr>
              <w:t>Het geproduceerde vanadiumproduct (V₂O₅, ferrovanadium, of tussenproduct) moet voldoen aan de gespecificeerde kwaliteit: puurheid (% V₂O₅), verontreinigingen (Fe, Si, Al, P, S &lt; specifieke limieten), en fysische eigenschappen (korrelgrootte, vochtgehalte). Minimaal 3 opeenvolgende charges moeten binnen specificatie vallen [25].</w:t>
            </w:r>
          </w:p>
        </w:tc>
        <w:tc>
          <w:tcPr>
            <w:tcW w:type="dxa" w:w="1701"/>
          </w:tcPr>
          <w:p>
            <w:r>
              <w:rPr>
                <w:sz w:val="16"/>
              </w:rPr>
              <w:t>≥ 3 achtereenvolgende charges binnen productspecificatie</w:t>
            </w:r>
          </w:p>
        </w:tc>
        <w:tc>
          <w:tcPr>
            <w:tcW w:type="dxa" w:w="1417"/>
          </w:tcPr>
          <w:p>
            <w:r>
              <w:rPr>
                <w:sz w:val="16"/>
              </w:rPr>
              <w:t>Kwaliteitsanalyserapporten per charge</w:t>
            </w:r>
          </w:p>
        </w:tc>
        <w:tc>
          <w:tcPr>
            <w:tcW w:type="dxa" w:w="567"/>
          </w:tcPr>
          <w:p>
            <w:r>
              <w:rPr>
                <w:sz w:val="16"/>
              </w:rPr>
              <w:t>H</w:t>
            </w:r>
          </w:p>
        </w:tc>
        <w:tc>
          <w:tcPr>
            <w:tcW w:type="dxa" w:w="1417"/>
          </w:tcPr>
          <w:p>
            <w:r>
              <w:rPr>
                <w:sz w:val="16"/>
              </w:rPr>
              <w:t>QC Inspector</w:t>
            </w:r>
          </w:p>
        </w:tc>
      </w:tr>
      <w:tr>
        <w:tc>
          <w:tcPr>
            <w:tcW w:type="dxa" w:w="2551"/>
            <w:shd w:fill="F0F4F8" w:val="clear"/>
          </w:tcPr>
          <w:p>
            <w:r>
              <w:rPr>
                <w:sz w:val="16"/>
              </w:rPr>
              <w:t>72-uur duurtest: stabiele bewerking aangetoond</w:t>
            </w:r>
          </w:p>
        </w:tc>
        <w:tc>
          <w:tcPr>
            <w:tcW w:type="dxa" w:w="1984"/>
            <w:shd w:fill="F0F4F8" w:val="clear"/>
          </w:tcPr>
          <w:p>
            <w:r>
              <w:rPr>
                <w:sz w:val="16"/>
              </w:rPr>
              <w:t>Best practice, UAV 2012</w:t>
            </w:r>
          </w:p>
        </w:tc>
        <w:tc>
          <w:tcPr>
            <w:tcW w:type="dxa" w:w="3402"/>
            <w:shd w:fill="F0F4F8" w:val="clear"/>
          </w:tcPr>
          <w:p>
            <w:r>
              <w:rPr>
                <w:sz w:val="16"/>
              </w:rPr>
              <w:t>De 72-uur duurtest demonstreert dat de pilot plant stabiel kan draaien zonder noodsituaties, ongeplande stops, of significante afwijkingen. Criteria: (1) geen ESD-activaties, (2) geen lekkages, (3) alle parameters binnen ±5% van setpoint, (4) productkwaliteit constant. De test wordt beëindigd bij een kritieke storing — dan opnieuw beginnen [25].</w:t>
            </w:r>
          </w:p>
        </w:tc>
        <w:tc>
          <w:tcPr>
            <w:tcW w:type="dxa" w:w="1701"/>
            <w:shd w:fill="F0F4F8" w:val="clear"/>
          </w:tcPr>
          <w:p>
            <w:r>
              <w:rPr>
                <w:sz w:val="16"/>
              </w:rPr>
              <w:t>72 uur continue bewerking; 0 ESD; 0 lekkages; parameters ±5%; product constant</w:t>
            </w:r>
          </w:p>
        </w:tc>
        <w:tc>
          <w:tcPr>
            <w:tcW w:type="dxa" w:w="1417"/>
            <w:shd w:fill="F0F4F8" w:val="clear"/>
          </w:tcPr>
          <w:p>
            <w:r>
              <w:rPr>
                <w:sz w:val="16"/>
              </w:rPr>
              <w:t>72-uur test logbook + monitoring rapport</w:t>
            </w:r>
          </w:p>
        </w:tc>
        <w:tc>
          <w:tcPr>
            <w:tcW w:type="dxa" w:w="567"/>
            <w:shd w:fill="F0F4F8" w:val="clear"/>
          </w:tcPr>
          <w:p>
            <w:r>
              <w:rPr>
                <w:sz w:val="16"/>
              </w:rPr>
              <w:t>H</w:t>
            </w:r>
          </w:p>
        </w:tc>
        <w:tc>
          <w:tcPr>
            <w:tcW w:type="dxa" w:w="1417"/>
            <w:shd w:fill="F0F4F8" w:val="clear"/>
          </w:tcPr>
          <w:p>
            <w:r>
              <w:rPr>
                <w:sz w:val="16"/>
              </w:rPr>
              <w:t>Commissioning Lead</w:t>
            </w:r>
          </w:p>
        </w:tc>
      </w:tr>
      <w:tr>
        <w:tc>
          <w:tcPr>
            <w:tcW w:type="dxa" w:w="2551"/>
          </w:tcPr>
          <w:p>
            <w:r>
              <w:rPr>
                <w:sz w:val="16"/>
              </w:rPr>
              <w:t>Prestatiegarantie test conform UAV 2012</w:t>
            </w:r>
          </w:p>
        </w:tc>
        <w:tc>
          <w:tcPr>
            <w:tcW w:type="dxa" w:w="1984"/>
          </w:tcPr>
          <w:p>
            <w:r>
              <w:rPr>
                <w:sz w:val="16"/>
              </w:rPr>
              <w:t>UAV 2012, Contractuele afspraken</w:t>
            </w:r>
          </w:p>
        </w:tc>
        <w:tc>
          <w:tcPr>
            <w:tcW w:type="dxa" w:w="3402"/>
          </w:tcPr>
          <w:p>
            <w:r>
              <w:rPr>
                <w:sz w:val="16"/>
              </w:rPr>
              <w:t>Indien contractueel overeengekomen, wordt een prestatiegarantie test uitgevoerd conform UAV 2012. De test moet aantonen dat: (1) capaciteit ≥ gegarandeerd minimum, (2) verbruik (energie, chemicaliën) ≤ gegarandeerd maximum, (3) betrouwbaarheid ≥ gegarandeerd percentage (bijv. 95% uptime). Onafhankelijke waarnemer kan aanwezig zijn [25].</w:t>
            </w:r>
          </w:p>
        </w:tc>
        <w:tc>
          <w:tcPr>
            <w:tcW w:type="dxa" w:w="1701"/>
          </w:tcPr>
          <w:p>
            <w:r>
              <w:rPr>
                <w:sz w:val="16"/>
              </w:rPr>
              <w:t>Alle garantie-parameters behaald; rapport ondertekend door beide partijen</w:t>
            </w:r>
          </w:p>
        </w:tc>
        <w:tc>
          <w:tcPr>
            <w:tcW w:type="dxa" w:w="1417"/>
          </w:tcPr>
          <w:p>
            <w:r>
              <w:rPr>
                <w:sz w:val="16"/>
              </w:rPr>
              <w:t>Prestatiegarantie test rapport + ondertekening</w:t>
            </w:r>
          </w:p>
        </w:tc>
        <w:tc>
          <w:tcPr>
            <w:tcW w:type="dxa" w:w="567"/>
          </w:tcPr>
          <w:p>
            <w:r>
              <w:rPr>
                <w:sz w:val="16"/>
              </w:rPr>
              <w:t>H</w:t>
            </w:r>
          </w:p>
        </w:tc>
        <w:tc>
          <w:tcPr>
            <w:tcW w:type="dxa" w:w="1417"/>
          </w:tcPr>
          <w:p>
            <w:r>
              <w:rPr>
                <w:sz w:val="16"/>
              </w:rPr>
              <w:t>Project Manager</w:t>
            </w:r>
          </w:p>
        </w:tc>
      </w:tr>
    </w:tbl>
    <w:p/>
    <w:p>
      <w:pPr>
        <w:pStyle w:val="Heading2"/>
      </w:pPr>
      <w:r>
        <w:t>3.16 CE Samenstel</w:t>
      </w:r>
    </w:p>
    <w:p>
      <w:r>
        <w:t>(4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CE-verantwoordelijkheid samenstel van machines vastgelegd</w:t>
            </w:r>
          </w:p>
        </w:tc>
        <w:tc>
          <w:tcPr>
            <w:tcW w:type="dxa" w:w="1984"/>
          </w:tcPr>
          <w:p>
            <w:r>
              <w:rPr>
                <w:sz w:val="16"/>
              </w:rPr>
              <w:t>Machinerichtlijn (EU) 2023/1230 art. 7</w:t>
            </w:r>
          </w:p>
        </w:tc>
        <w:tc>
          <w:tcPr>
            <w:tcW w:type="dxa" w:w="3402"/>
          </w:tcPr>
          <w:p>
            <w:r>
              <w:rPr>
                <w:sz w:val="16"/>
              </w:rPr>
              <w:t>De pilot plant is een 'samenstel van machines' in de zin van de Machinerichtlijn. De eindverantwoordelijke (Phoenix Metals of JvG als assembleur) moet worden aangewezen. Deze persoon is verantwoordelijk voor de CE-markering van het gehele samenstel, inclusief het Technisch Constructiedossier (TCD) en de IIA-verklaring (Inbedrijfnameverklaring) [10].</w:t>
            </w:r>
          </w:p>
        </w:tc>
        <w:tc>
          <w:tcPr>
            <w:tcW w:type="dxa" w:w="1701"/>
          </w:tcPr>
          <w:p>
            <w:r>
              <w:rPr>
                <w:sz w:val="16"/>
              </w:rPr>
              <w:t>CE-verantwoordelijke aangewezen; TCD gestart; IIA-verklaring template beschikbaar</w:t>
            </w:r>
          </w:p>
        </w:tc>
        <w:tc>
          <w:tcPr>
            <w:tcW w:type="dxa" w:w="1417"/>
          </w:tcPr>
          <w:p>
            <w:r>
              <w:rPr>
                <w:sz w:val="16"/>
              </w:rPr>
              <w:t>Aanwijzingsbrief CE-verantwoordelijke + TCD-index</w:t>
            </w:r>
          </w:p>
        </w:tc>
        <w:tc>
          <w:tcPr>
            <w:tcW w:type="dxa" w:w="567"/>
          </w:tcPr>
          <w:p>
            <w:r>
              <w:rPr>
                <w:sz w:val="16"/>
              </w:rPr>
              <w:t>H</w:t>
            </w:r>
          </w:p>
        </w:tc>
        <w:tc>
          <w:tcPr>
            <w:tcW w:type="dxa" w:w="1417"/>
          </w:tcPr>
          <w:p>
            <w:r>
              <w:rPr>
                <w:sz w:val="16"/>
              </w:rPr>
              <w:t>Project Engineer</w:t>
            </w:r>
          </w:p>
        </w:tc>
      </w:tr>
      <w:tr>
        <w:tc>
          <w:tcPr>
            <w:tcW w:type="dxa" w:w="2551"/>
            <w:shd w:fill="F0F4F8" w:val="clear"/>
          </w:tcPr>
          <w:p>
            <w:r>
              <w:rPr>
                <w:sz w:val="16"/>
              </w:rPr>
              <w:t>Technisch Constructiedossier (TCD) samengesteld</w:t>
            </w:r>
          </w:p>
        </w:tc>
        <w:tc>
          <w:tcPr>
            <w:tcW w:type="dxa" w:w="1984"/>
            <w:shd w:fill="F0F4F8" w:val="clear"/>
          </w:tcPr>
          <w:p>
            <w:r>
              <w:rPr>
                <w:sz w:val="16"/>
              </w:rPr>
              <w:t>Machinerichtlijn (EU) 2023/1230 bijlage VII</w:t>
            </w:r>
          </w:p>
        </w:tc>
        <w:tc>
          <w:tcPr>
            <w:tcW w:type="dxa" w:w="3402"/>
            <w:shd w:fill="F0F4F8" w:val="clear"/>
          </w:tcPr>
          <w:p>
            <w:r>
              <w:rPr>
                <w:sz w:val="16"/>
              </w:rPr>
              <w:t>Het TCD moet bevatten: (1) risicoanalyse van het gehele samenstel (inclusief interacties tussen machines), (2) tekeningen en berekeningen, (3) lijst van essentiële gezondheids- en veiligheidseisen, (4) resultaten van ontwerp-berekeningen, (5) testrapporten, en (6) operationele documentatie. Het TCD moet 10 jaar na inbedrijfname bewaard blijven [10].</w:t>
            </w:r>
          </w:p>
        </w:tc>
        <w:tc>
          <w:tcPr>
            <w:tcW w:type="dxa" w:w="1701"/>
            <w:shd w:fill="F0F4F8" w:val="clear"/>
          </w:tcPr>
          <w:p>
            <w:r>
              <w:rPr>
                <w:sz w:val="16"/>
              </w:rPr>
              <w:t>TCD compleet per bijlage VII; alle sub-systemen gedocumenteerd; 10 jaar bewaartermijn</w:t>
            </w:r>
          </w:p>
        </w:tc>
        <w:tc>
          <w:tcPr>
            <w:tcW w:type="dxa" w:w="1417"/>
            <w:shd w:fill="F0F4F8" w:val="clear"/>
          </w:tcPr>
          <w:p>
            <w:r>
              <w:rPr>
                <w:sz w:val="16"/>
              </w:rPr>
              <w:t>Technisch Constructiedossier (compleet)</w:t>
            </w:r>
          </w:p>
        </w:tc>
        <w:tc>
          <w:tcPr>
            <w:tcW w:type="dxa" w:w="567"/>
            <w:shd w:fill="F0F4F8" w:val="clear"/>
          </w:tcPr>
          <w:p>
            <w:r>
              <w:rPr>
                <w:sz w:val="16"/>
              </w:rPr>
              <w:t>H</w:t>
            </w:r>
          </w:p>
        </w:tc>
        <w:tc>
          <w:tcPr>
            <w:tcW w:type="dxa" w:w="1417"/>
            <w:shd w:fill="F0F4F8" w:val="clear"/>
          </w:tcPr>
          <w:p>
            <w:r>
              <w:rPr>
                <w:sz w:val="16"/>
              </w:rPr>
              <w:t>Project Engineer</w:t>
            </w:r>
          </w:p>
        </w:tc>
      </w:tr>
      <w:tr>
        <w:tc>
          <w:tcPr>
            <w:tcW w:type="dxa" w:w="2551"/>
          </w:tcPr>
          <w:p>
            <w:r>
              <w:rPr>
                <w:sz w:val="16"/>
              </w:rPr>
              <w:t>Risicoanalyse samenstellingsrisico's (interacties) uitgevoerd</w:t>
            </w:r>
          </w:p>
        </w:tc>
        <w:tc>
          <w:tcPr>
            <w:tcW w:type="dxa" w:w="1984"/>
          </w:tcPr>
          <w:p>
            <w:r>
              <w:rPr>
                <w:sz w:val="16"/>
              </w:rPr>
              <w:t>Machinerichtlijn (EU) 2023/1230 art. 14</w:t>
            </w:r>
          </w:p>
        </w:tc>
        <w:tc>
          <w:tcPr>
            <w:tcW w:type="dxa" w:w="3402"/>
          </w:tcPr>
          <w:p>
            <w:r>
              <w:rPr>
                <w:sz w:val="16"/>
              </w:rPr>
              <w:t>Naast de risicoanalyse per sub-systeem moet een specifieke analyse worden uitgevoerd voor de interacties binnen het samenstel: materiaalstromen tussen machines, energietransities, software-interfaces, en toegankelijkheid tijdens onderhoud. Voorbeeld: een reactor die wordt gevoed door een pomp — als de pomp faalt terwijl de reactor op temperatuur is, ontstaat een specifiek risico dat alleen op samenstelniveau zichtbaar is [10].</w:t>
            </w:r>
          </w:p>
        </w:tc>
        <w:tc>
          <w:tcPr>
            <w:tcW w:type="dxa" w:w="1701"/>
          </w:tcPr>
          <w:p>
            <w:r>
              <w:rPr>
                <w:sz w:val="16"/>
              </w:rPr>
              <w:t>Samenstellingsrisicoanalyse compleet; alle interacties geïdentificeerd en beheerst</w:t>
            </w:r>
          </w:p>
        </w:tc>
        <w:tc>
          <w:tcPr>
            <w:tcW w:type="dxa" w:w="1417"/>
          </w:tcPr>
          <w:p>
            <w:r>
              <w:rPr>
                <w:sz w:val="16"/>
              </w:rPr>
              <w:t>Samenstellingsrisicoanalyse rapport</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Verklaring van overeenstemming per sub-systeem beschikbaar</w:t>
            </w:r>
          </w:p>
        </w:tc>
        <w:tc>
          <w:tcPr>
            <w:tcW w:type="dxa" w:w="1984"/>
            <w:shd w:fill="F0F4F8" w:val="clear"/>
          </w:tcPr>
          <w:p>
            <w:r>
              <w:rPr>
                <w:sz w:val="16"/>
              </w:rPr>
              <w:t>Machinerichtlijn (EU) 2023/1230 art. 17</w:t>
            </w:r>
          </w:p>
        </w:tc>
        <w:tc>
          <w:tcPr>
            <w:tcW w:type="dxa" w:w="3402"/>
            <w:shd w:fill="F0F4F8" w:val="clear"/>
          </w:tcPr>
          <w:p>
            <w:r>
              <w:rPr>
                <w:sz w:val="16"/>
              </w:rPr>
              <w:t>Elk sub-systeem (pomp, reactor, filter, electrodepositie-unit) dat afzonderlijk op de markt is gebracht, moet vergezeld gaan van een EG-verklaring van overeenstemming (ofleveranciersverklaring). Deze verklaringen vormen de basis voor de CE-markering van het samenstel. Zonder verklaringen van alle sub-systemen kan het samenstel niet CE-gemarkeerd worden [10].</w:t>
            </w:r>
          </w:p>
        </w:tc>
        <w:tc>
          <w:tcPr>
            <w:tcW w:type="dxa" w:w="1701"/>
            <w:shd w:fill="F0F4F8" w:val="clear"/>
          </w:tcPr>
          <w:p>
            <w:r>
              <w:rPr>
                <w:sz w:val="16"/>
              </w:rPr>
              <w:t>100% van sub-systemen voorzien van verklaring van overeenstemming</w:t>
            </w:r>
          </w:p>
        </w:tc>
        <w:tc>
          <w:tcPr>
            <w:tcW w:type="dxa" w:w="1417"/>
            <w:shd w:fill="F0F4F8" w:val="clear"/>
          </w:tcPr>
          <w:p>
            <w:r>
              <w:rPr>
                <w:sz w:val="16"/>
              </w:rPr>
              <w:t>Verzameling verklaringen van overeenstemming</w:t>
            </w:r>
          </w:p>
        </w:tc>
        <w:tc>
          <w:tcPr>
            <w:tcW w:type="dxa" w:w="567"/>
            <w:shd w:fill="F0F4F8" w:val="clear"/>
          </w:tcPr>
          <w:p>
            <w:r>
              <w:rPr>
                <w:sz w:val="16"/>
              </w:rPr>
              <w:t>H</w:t>
            </w:r>
          </w:p>
        </w:tc>
        <w:tc>
          <w:tcPr>
            <w:tcW w:type="dxa" w:w="1417"/>
            <w:shd w:fill="F0F4F8" w:val="clear"/>
          </w:tcPr>
          <w:p>
            <w:r>
              <w:rPr>
                <w:sz w:val="16"/>
              </w:rPr>
              <w:t>Project Engineer</w:t>
            </w:r>
          </w:p>
        </w:tc>
      </w:tr>
    </w:tbl>
    <w:p/>
    <w:p>
      <w:pPr>
        <w:pStyle w:val="Heading2"/>
      </w:pPr>
      <w:r>
        <w:t>3.17 Corrosie/Materialen</w:t>
      </w:r>
    </w:p>
    <w:p>
      <w:r>
        <w:t>(5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Materiaalselectie-studie uitgevoerd (NACE MR0175/ISO 21462)</w:t>
            </w:r>
          </w:p>
        </w:tc>
        <w:tc>
          <w:tcPr>
            <w:tcW w:type="dxa" w:w="1984"/>
          </w:tcPr>
          <w:p>
            <w:r>
              <w:rPr>
                <w:sz w:val="16"/>
              </w:rPr>
              <w:t>NACE MR0175 / ISO 21462, ASME B31.3</w:t>
            </w:r>
          </w:p>
        </w:tc>
        <w:tc>
          <w:tcPr>
            <w:tcW w:type="dxa" w:w="3402"/>
          </w:tcPr>
          <w:p>
            <w:r>
              <w:rPr>
                <w:sz w:val="16"/>
              </w:rPr>
              <w:t>Het hydrometallurgische proces is extreem corrosief: H₂SO₄ (tot 98%), HCl (tot 37%), en V₂O₅-oplossingen bij verhoogde temperaturen. De materiaalselectie-studie moet per medium de optimale materiaalkeuze bepalen: PP/FRP voor verdunde zuren, duplex roestvrijstaal (2205/2507) voor geconcentreerde zuren bij hoge temperatuur, PTFE-bekeleding voor de meest agressieve omstandigheden. Legeringskosten versus levensduur moeten worden afgewogen [23].</w:t>
            </w:r>
          </w:p>
        </w:tc>
        <w:tc>
          <w:tcPr>
            <w:tcW w:type="dxa" w:w="1701"/>
          </w:tcPr>
          <w:p>
            <w:r>
              <w:rPr>
                <w:sz w:val="16"/>
              </w:rPr>
              <w:t>Materiaalselectie per medium gedocumenteerd; beheersing bij alle procescondities</w:t>
            </w:r>
          </w:p>
        </w:tc>
        <w:tc>
          <w:tcPr>
            <w:tcW w:type="dxa" w:w="1417"/>
          </w:tcPr>
          <w:p>
            <w:r>
              <w:rPr>
                <w:sz w:val="16"/>
              </w:rPr>
              <w:t>Materiaalselectie-rapport + corrosietabellen</w:t>
            </w:r>
          </w:p>
        </w:tc>
        <w:tc>
          <w:tcPr>
            <w:tcW w:type="dxa" w:w="567"/>
          </w:tcPr>
          <w:p>
            <w:r>
              <w:rPr>
                <w:sz w:val="16"/>
              </w:rPr>
              <w:t>H</w:t>
            </w:r>
          </w:p>
        </w:tc>
        <w:tc>
          <w:tcPr>
            <w:tcW w:type="dxa" w:w="1417"/>
          </w:tcPr>
          <w:p>
            <w:r>
              <w:rPr>
                <w:sz w:val="16"/>
              </w:rPr>
              <w:t>Materials Engineer</w:t>
            </w:r>
          </w:p>
        </w:tc>
      </w:tr>
      <w:tr>
        <w:tc>
          <w:tcPr>
            <w:tcW w:type="dxa" w:w="2551"/>
            <w:shd w:fill="F0F4F8" w:val="clear"/>
          </w:tcPr>
          <w:p>
            <w:r>
              <w:rPr>
                <w:sz w:val="16"/>
              </w:rPr>
              <w:t>Corrosiestudie hydrometallurgisch proces uitgevoerd</w:t>
            </w:r>
          </w:p>
        </w:tc>
        <w:tc>
          <w:tcPr>
            <w:tcW w:type="dxa" w:w="1984"/>
            <w:shd w:fill="F0F4F8" w:val="clear"/>
          </w:tcPr>
          <w:p>
            <w:r>
              <w:rPr>
                <w:sz w:val="16"/>
              </w:rPr>
              <w:t>API 570, NACE SP0169</w:t>
            </w:r>
          </w:p>
        </w:tc>
        <w:tc>
          <w:tcPr>
            <w:tcW w:type="dxa" w:w="3402"/>
            <w:shd w:fill="F0F4F8" w:val="clear"/>
          </w:tcPr>
          <w:p>
            <w:r>
              <w:rPr>
                <w:sz w:val="16"/>
              </w:rPr>
              <w:t>De corrosiestudie moet de verwachte corrosiesnelheden (mm/jaar) bepalen voor alle materiaal/medium-combinaties: carbon steel in zure omgeving (holle correktie), RVS in chloride-houdende oplossingen (pitting/scheurcorrosie), en lasverbindingen (galvanische corrosie). De studie moet rekening houden met procescondities (temperatuur, concentratie, stroomsnelheid) en upset-scenario's [23].</w:t>
            </w:r>
          </w:p>
        </w:tc>
        <w:tc>
          <w:tcPr>
            <w:tcW w:type="dxa" w:w="1701"/>
            <w:shd w:fill="F0F4F8" w:val="clear"/>
          </w:tcPr>
          <w:p>
            <w:r>
              <w:rPr>
                <w:sz w:val="16"/>
              </w:rPr>
              <w:t>Corrosiesnelheden bepaald per combinatie; ≤ acceptabele limiet; inspectie-interval afgeleid</w:t>
            </w:r>
          </w:p>
        </w:tc>
        <w:tc>
          <w:tcPr>
            <w:tcW w:type="dxa" w:w="1417"/>
            <w:shd w:fill="F0F4F8" w:val="clear"/>
          </w:tcPr>
          <w:p>
            <w:r>
              <w:rPr>
                <w:sz w:val="16"/>
              </w:rPr>
              <w:t>Corrosiestudie rapport + inspectie-intervallentabel</w:t>
            </w:r>
          </w:p>
        </w:tc>
        <w:tc>
          <w:tcPr>
            <w:tcW w:type="dxa" w:w="567"/>
            <w:shd w:fill="F0F4F8" w:val="clear"/>
          </w:tcPr>
          <w:p>
            <w:r>
              <w:rPr>
                <w:sz w:val="16"/>
              </w:rPr>
              <w:t>H</w:t>
            </w:r>
          </w:p>
        </w:tc>
        <w:tc>
          <w:tcPr>
            <w:tcW w:type="dxa" w:w="1417"/>
            <w:shd w:fill="F0F4F8" w:val="clear"/>
          </w:tcPr>
          <w:p>
            <w:r>
              <w:rPr>
                <w:sz w:val="16"/>
              </w:rPr>
              <w:t>Materials Engineer</w:t>
            </w:r>
          </w:p>
        </w:tc>
      </w:tr>
      <w:tr>
        <w:tc>
          <w:tcPr>
            <w:tcW w:type="dxa" w:w="2551"/>
          </w:tcPr>
          <w:p>
            <w:r>
              <w:rPr>
                <w:sz w:val="16"/>
              </w:rPr>
              <w:t>CUI (Corrosion Under Insulation) inspectieprogramma ontworpen</w:t>
            </w:r>
          </w:p>
        </w:tc>
        <w:tc>
          <w:tcPr>
            <w:tcW w:type="dxa" w:w="1984"/>
          </w:tcPr>
          <w:p>
            <w:r>
              <w:rPr>
                <w:sz w:val="16"/>
              </w:rPr>
              <w:t>API 570, NACE SP0198</w:t>
            </w:r>
          </w:p>
        </w:tc>
        <w:tc>
          <w:tcPr>
            <w:tcW w:type="dxa" w:w="3402"/>
          </w:tcPr>
          <w:p>
            <w:r>
              <w:rPr>
                <w:sz w:val="16"/>
              </w:rPr>
              <w:t>Leidingen en apparaten die zijn geïsoleerd (temperatuurbeheersing) zijn gevoelig voor corrosie onder isolatie (CUI). Water infiltreert onder de isolatie en veroorzaakt versnelde corrosie. Het CUI-programma moet definiëren: inspectiemethode (röntgen/ultrasoon van buitenaf), inspectiefrequentie (3-5 jaar), risicogebieden (flanges, steunen, laagste punten), en preventieve coating [23].</w:t>
            </w:r>
          </w:p>
        </w:tc>
        <w:tc>
          <w:tcPr>
            <w:tcW w:type="dxa" w:w="1701"/>
          </w:tcPr>
          <w:p>
            <w:r>
              <w:rPr>
                <w:sz w:val="16"/>
              </w:rPr>
              <w:t>CUI-programma compleet; risicogebieden geïdentificeerd; inspectie-interval bepaald</w:t>
            </w:r>
          </w:p>
        </w:tc>
        <w:tc>
          <w:tcPr>
            <w:tcW w:type="dxa" w:w="1417"/>
          </w:tcPr>
          <w:p>
            <w:r>
              <w:rPr>
                <w:sz w:val="16"/>
              </w:rPr>
              <w:t>CUI inspectieprogramma + risicokaart</w:t>
            </w:r>
          </w:p>
        </w:tc>
        <w:tc>
          <w:tcPr>
            <w:tcW w:type="dxa" w:w="567"/>
          </w:tcPr>
          <w:p>
            <w:r>
              <w:rPr>
                <w:sz w:val="16"/>
              </w:rPr>
              <w:t>M</w:t>
            </w:r>
          </w:p>
        </w:tc>
        <w:tc>
          <w:tcPr>
            <w:tcW w:type="dxa" w:w="1417"/>
          </w:tcPr>
          <w:p>
            <w:r>
              <w:rPr>
                <w:sz w:val="16"/>
              </w:rPr>
              <w:t>Inspection Engineer</w:t>
            </w:r>
          </w:p>
        </w:tc>
      </w:tr>
      <w:tr>
        <w:tc>
          <w:tcPr>
            <w:tcW w:type="dxa" w:w="2551"/>
            <w:shd w:fill="F0F4F8" w:val="clear"/>
          </w:tcPr>
          <w:p>
            <w:r>
              <w:rPr>
                <w:sz w:val="16"/>
              </w:rPr>
              <w:t>Proefstukken (coupons) geplaatst voor corrosiemonitoring</w:t>
            </w:r>
          </w:p>
        </w:tc>
        <w:tc>
          <w:tcPr>
            <w:tcW w:type="dxa" w:w="1984"/>
            <w:shd w:fill="F0F4F8" w:val="clear"/>
          </w:tcPr>
          <w:p>
            <w:r>
              <w:rPr>
                <w:sz w:val="16"/>
              </w:rPr>
              <w:t>NACE RP0775, Best practice</w:t>
            </w:r>
          </w:p>
        </w:tc>
        <w:tc>
          <w:tcPr>
            <w:tcW w:type="dxa" w:w="3402"/>
            <w:shd w:fill="F0F4F8" w:val="clear"/>
          </w:tcPr>
          <w:p>
            <w:r>
              <w:rPr>
                <w:sz w:val="16"/>
              </w:rPr>
              <w:t>Corrosie-coupons (proefstukken van hetzelfde materiaal) worden in kritieke leidingen geplaatst om de werkelijke corrosiesnelheid te meten. Coupons worden periodiek (elke 3-6 maanden) verwijderd, gewogen en geanalyseerd. Dit geeft een directe meting van de corrosie die in het proces plaatsvindt, onafhankelijk van theoretische modellen [23].</w:t>
            </w:r>
          </w:p>
        </w:tc>
        <w:tc>
          <w:tcPr>
            <w:tcW w:type="dxa" w:w="1701"/>
            <w:shd w:fill="F0F4F8" w:val="clear"/>
          </w:tcPr>
          <w:p>
            <w:r>
              <w:rPr>
                <w:sz w:val="16"/>
              </w:rPr>
              <w:t>Coupons geplaatst op alle kritieke locaties; meetinterval 3-6 maanden; data logging actief</w:t>
            </w:r>
          </w:p>
        </w:tc>
        <w:tc>
          <w:tcPr>
            <w:tcW w:type="dxa" w:w="1417"/>
            <w:shd w:fill="F0F4F8" w:val="clear"/>
          </w:tcPr>
          <w:p>
            <w:r>
              <w:rPr>
                <w:sz w:val="16"/>
              </w:rPr>
              <w:t>Coupon-plaatsingsschema + analyseprotocol</w:t>
            </w:r>
          </w:p>
        </w:tc>
        <w:tc>
          <w:tcPr>
            <w:tcW w:type="dxa" w:w="567"/>
            <w:shd w:fill="F0F4F8" w:val="clear"/>
          </w:tcPr>
          <w:p>
            <w:r>
              <w:rPr>
                <w:sz w:val="16"/>
              </w:rPr>
              <w:t>L</w:t>
            </w:r>
          </w:p>
        </w:tc>
        <w:tc>
          <w:tcPr>
            <w:tcW w:type="dxa" w:w="1417"/>
            <w:shd w:fill="F0F4F8" w:val="clear"/>
          </w:tcPr>
          <w:p>
            <w:r>
              <w:rPr>
                <w:sz w:val="16"/>
              </w:rPr>
              <w:t>Inspection Engineer</w:t>
            </w:r>
          </w:p>
        </w:tc>
      </w:tr>
      <w:tr>
        <w:tc>
          <w:tcPr>
            <w:tcW w:type="dxa" w:w="2551"/>
          </w:tcPr>
          <w:p>
            <w:r>
              <w:rPr>
                <w:sz w:val="16"/>
              </w:rPr>
              <w:t>Corrosiemonitoring: coupons uitgelezen en geanalyseerd</w:t>
            </w:r>
          </w:p>
        </w:tc>
        <w:tc>
          <w:tcPr>
            <w:tcW w:type="dxa" w:w="1984"/>
          </w:tcPr>
          <w:p>
            <w:r>
              <w:rPr>
                <w:sz w:val="16"/>
              </w:rPr>
              <w:t>NACE RP0775</w:t>
            </w:r>
          </w:p>
        </w:tc>
        <w:tc>
          <w:tcPr>
            <w:tcW w:type="dxa" w:w="3402"/>
          </w:tcPr>
          <w:p>
            <w:r>
              <w:rPr>
                <w:sz w:val="16"/>
              </w:rPr>
              <w:t>De corrosie-coupons die tijdens ontwerp zijn geplaatst worden elke 3-6 maanden verwijderd, gewogen (gewichtsverlies = corrosie), en visueel geïnspecteerd (pitting, scheurcorrosie). De gemeten corrosiesnelheid wordt vergeleken met de ontwerpaanname. Bij afwijking &gt;50%: herziening inspectie-interval en mogelijk materiaalwijziging [23].</w:t>
            </w:r>
          </w:p>
        </w:tc>
        <w:tc>
          <w:tcPr>
            <w:tcW w:type="dxa" w:w="1701"/>
          </w:tcPr>
          <w:p>
            <w:r>
              <w:rPr>
                <w:sz w:val="16"/>
              </w:rPr>
              <w:t>Coupons elke 3-6 maanden geanalyseerd; corrosiesnelheid binnen ontwerpaanname; rapport beschikbaar</w:t>
            </w:r>
          </w:p>
        </w:tc>
        <w:tc>
          <w:tcPr>
            <w:tcW w:type="dxa" w:w="1417"/>
          </w:tcPr>
          <w:p>
            <w:r>
              <w:rPr>
                <w:sz w:val="16"/>
              </w:rPr>
              <w:t>Coupon-analyserapport + corrosietrend grafiek</w:t>
            </w:r>
          </w:p>
        </w:tc>
        <w:tc>
          <w:tcPr>
            <w:tcW w:type="dxa" w:w="567"/>
          </w:tcPr>
          <w:p>
            <w:r>
              <w:rPr>
                <w:sz w:val="16"/>
              </w:rPr>
              <w:t>M</w:t>
            </w:r>
          </w:p>
        </w:tc>
        <w:tc>
          <w:tcPr>
            <w:tcW w:type="dxa" w:w="1417"/>
          </w:tcPr>
          <w:p>
            <w:r>
              <w:rPr>
                <w:sz w:val="16"/>
              </w:rPr>
              <w:t>Inspection Engineer</w:t>
            </w:r>
          </w:p>
        </w:tc>
      </w:tr>
    </w:tbl>
    <w:p/>
    <w:p>
      <w:pPr>
        <w:pStyle w:val="Heading2"/>
      </w:pPr>
      <w:r>
        <w:t>3.18 Procesveiligheid</w:t>
      </w:r>
    </w:p>
    <w:p>
      <w:r>
        <w:t>(4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Gate 1: HAZID studie afronding — GO/NO-GO beslissing</w:t>
            </w:r>
          </w:p>
        </w:tc>
        <w:tc>
          <w:tcPr>
            <w:tcW w:type="dxa" w:w="1984"/>
          </w:tcPr>
          <w:p>
            <w:r>
              <w:rPr>
                <w:sz w:val="16"/>
              </w:rPr>
              <w:t>IEC 61511:2024, Best practice</w:t>
            </w:r>
          </w:p>
        </w:tc>
        <w:tc>
          <w:tcPr>
            <w:tcW w:type="dxa" w:w="3402"/>
          </w:tcPr>
          <w:p>
            <w:r>
              <w:rPr>
                <w:sz w:val="16"/>
              </w:rPr>
              <w:t>De HAZID (Hazard Identification) wordt uitgevoerd in de conceptfase en identificeert alle grote gevaren: toxische releases (H₂SO₄, V₂O₅), brand/explosie (waterstof), milieugevaren (vanadium in water), en externe gevaren (aardbeving, overstroming). Resultaat: gevarenregister met initiële risicobeoordeling en aanbevolen maatregelen. De HAZID moet worden gefaciliteerd door een onafhankelijke HAZOP-voorzitter [21].</w:t>
            </w:r>
          </w:p>
        </w:tc>
        <w:tc>
          <w:tcPr>
            <w:tcW w:type="dxa" w:w="1701"/>
          </w:tcPr>
          <w:p>
            <w:r>
              <w:rPr>
                <w:sz w:val="16"/>
              </w:rPr>
              <w:t>HAZID voltooid; gevarenregister compleet; GO/NO-GO formeel vastgelegd door PM + HSEQ Manager</w:t>
            </w:r>
          </w:p>
        </w:tc>
        <w:tc>
          <w:tcPr>
            <w:tcW w:type="dxa" w:w="1417"/>
          </w:tcPr>
          <w:p>
            <w:r>
              <w:rPr>
                <w:sz w:val="16"/>
              </w:rPr>
              <w:t>HAZID rapport + gevarenregister + GO/NO-GO formulier</w:t>
            </w:r>
          </w:p>
        </w:tc>
        <w:tc>
          <w:tcPr>
            <w:tcW w:type="dxa" w:w="567"/>
          </w:tcPr>
          <w:p>
            <w:r>
              <w:rPr>
                <w:sz w:val="16"/>
              </w:rPr>
              <w:t>H</w:t>
            </w:r>
          </w:p>
        </w:tc>
        <w:tc>
          <w:tcPr>
            <w:tcW w:type="dxa" w:w="1417"/>
          </w:tcPr>
          <w:p>
            <w:r>
              <w:rPr>
                <w:sz w:val="16"/>
              </w:rPr>
              <w:t>HSEQ Manager</w:t>
            </w:r>
          </w:p>
        </w:tc>
      </w:tr>
      <w:tr>
        <w:tc>
          <w:tcPr>
            <w:tcW w:type="dxa" w:w="2551"/>
            <w:shd w:fill="F0F4F8" w:val="clear"/>
          </w:tcPr>
          <w:p>
            <w:r>
              <w:rPr>
                <w:sz w:val="16"/>
              </w:rPr>
              <w:t>Gate 2: HAZOP studie afronding — GO/NO-GO beslissing</w:t>
            </w:r>
          </w:p>
        </w:tc>
        <w:tc>
          <w:tcPr>
            <w:tcW w:type="dxa" w:w="1984"/>
            <w:shd w:fill="F0F4F8" w:val="clear"/>
          </w:tcPr>
          <w:p>
            <w:r>
              <w:rPr>
                <w:sz w:val="16"/>
              </w:rPr>
              <w:t>IEC 61511:2024 §7</w:t>
            </w:r>
          </w:p>
        </w:tc>
        <w:tc>
          <w:tcPr>
            <w:tcW w:type="dxa" w:w="3402"/>
            <w:shd w:fill="F0F4F8" w:val="clear"/>
          </w:tcPr>
          <w:p>
            <w:r>
              <w:rPr>
                <w:sz w:val="16"/>
              </w:rPr>
              <w:t>De HAZOP (Hazard and Operability Study) wordt uitgevoerd in de Front End Engineering fase. Alle procesknopen (nodes) worden systematisch onderzocht op deviaties (meer/minder/geen stroom, temperatuur, druk, etc.) met behulp van guidewords. Elke deviatie leidt tot oorzaak → gevolg → maatregel. De studie moet worden uitgevoerd door een multidisciplinair team (proces, instrumentatie, mechanisch, HSEQ) onder leiding van een gecertificeerde HAZOP-voorzitter [21].</w:t>
            </w:r>
          </w:p>
        </w:tc>
        <w:tc>
          <w:tcPr>
            <w:tcW w:type="dxa" w:w="1701"/>
            <w:shd w:fill="F0F4F8" w:val="clear"/>
          </w:tcPr>
          <w:p>
            <w:r>
              <w:rPr>
                <w:sz w:val="16"/>
              </w:rPr>
              <w:t>HAZOP voltooid; alle nodes onderzocht; aanbevelingen geregistreerd; GO/NO-GO vastgelegd</w:t>
            </w:r>
          </w:p>
        </w:tc>
        <w:tc>
          <w:tcPr>
            <w:tcW w:type="dxa" w:w="1417"/>
            <w:shd w:fill="F0F4F8" w:val="clear"/>
          </w:tcPr>
          <w:p>
            <w:r>
              <w:rPr>
                <w:sz w:val="16"/>
              </w:rPr>
              <w:t>HAZOP rapport + actie-itemlijst</w:t>
            </w:r>
          </w:p>
        </w:tc>
        <w:tc>
          <w:tcPr>
            <w:tcW w:type="dxa" w:w="567"/>
            <w:shd w:fill="F0F4F8" w:val="clear"/>
          </w:tcPr>
          <w:p>
            <w:r>
              <w:rPr>
                <w:sz w:val="16"/>
              </w:rPr>
              <w:t>H</w:t>
            </w:r>
          </w:p>
        </w:tc>
        <w:tc>
          <w:tcPr>
            <w:tcW w:type="dxa" w:w="1417"/>
            <w:shd w:fill="F0F4F8" w:val="clear"/>
          </w:tcPr>
          <w:p>
            <w:r>
              <w:rPr>
                <w:sz w:val="16"/>
              </w:rPr>
              <w:t>HSEQ Manager</w:t>
            </w:r>
          </w:p>
        </w:tc>
      </w:tr>
      <w:tr>
        <w:tc>
          <w:tcPr>
            <w:tcW w:type="dxa" w:w="2551"/>
          </w:tcPr>
          <w:p>
            <w:r>
              <w:rPr>
                <w:sz w:val="16"/>
              </w:rPr>
              <w:t>Gate 3: LOPA + SIL-classificatie — GO/NO-GO beslissing</w:t>
            </w:r>
          </w:p>
        </w:tc>
        <w:tc>
          <w:tcPr>
            <w:tcW w:type="dxa" w:w="1984"/>
          </w:tcPr>
          <w:p>
            <w:r>
              <w:rPr>
                <w:sz w:val="16"/>
              </w:rPr>
              <w:t>IEC 61511:2024 §8-§9</w:t>
            </w:r>
          </w:p>
        </w:tc>
        <w:tc>
          <w:tcPr>
            <w:tcW w:type="dxa" w:w="3402"/>
          </w:tcPr>
          <w:p>
            <w:r>
              <w:rPr>
                <w:sz w:val="16"/>
              </w:rPr>
              <w:t>De Layer of Protection Analysis (LOPA) kwantificeert de risico's uit de HAZOP en bepaalt of bestaande beveiligingslagen (BPCS, alarms, fysieke beveiliging) voldoende zijn. Indien niet: een Safety Instrumented Function (SIF) met een SIL-doel (1, 2, of 3) wordt vereist. De SIL-classificatie wordt vastgelegd in een SIL-target matrix. SIF's moeten worden ontworpen conform IEC 61511:2024 met gespecificeerde PFD (Probability of Failure on Demand) [21].</w:t>
            </w:r>
          </w:p>
        </w:tc>
        <w:tc>
          <w:tcPr>
            <w:tcW w:type="dxa" w:w="1701"/>
          </w:tcPr>
          <w:p>
            <w:r>
              <w:rPr>
                <w:sz w:val="16"/>
              </w:rPr>
              <w:t>LOPA voltooid; SIL-targets bepaald per SIF; PFD berekend; GO/NO-GO vastgelegd</w:t>
            </w:r>
          </w:p>
        </w:tc>
        <w:tc>
          <w:tcPr>
            <w:tcW w:type="dxa" w:w="1417"/>
          </w:tcPr>
          <w:p>
            <w:r>
              <w:rPr>
                <w:sz w:val="16"/>
              </w:rPr>
              <w:t>LOPA rapport + SIL-target matrix + SIF specificaties</w:t>
            </w:r>
          </w:p>
        </w:tc>
        <w:tc>
          <w:tcPr>
            <w:tcW w:type="dxa" w:w="567"/>
          </w:tcPr>
          <w:p>
            <w:r>
              <w:rPr>
                <w:sz w:val="16"/>
              </w:rPr>
              <w:t>H</w:t>
            </w:r>
          </w:p>
        </w:tc>
        <w:tc>
          <w:tcPr>
            <w:tcW w:type="dxa" w:w="1417"/>
          </w:tcPr>
          <w:p>
            <w:r>
              <w:rPr>
                <w:sz w:val="16"/>
              </w:rPr>
              <w:t>Proces Engineer</w:t>
            </w:r>
          </w:p>
        </w:tc>
      </w:tr>
      <w:tr>
        <w:tc>
          <w:tcPr>
            <w:tcW w:type="dxa" w:w="2551"/>
            <w:shd w:fill="F0F4F8" w:val="clear"/>
          </w:tcPr>
          <w:p>
            <w:r>
              <w:rPr>
                <w:sz w:val="16"/>
              </w:rPr>
              <w:t>Gate 4: PSSR #1 (Pre-Startup Safety Review) ontwerp review</w:t>
            </w:r>
          </w:p>
        </w:tc>
        <w:tc>
          <w:tcPr>
            <w:tcW w:type="dxa" w:w="1984"/>
            <w:shd w:fill="F0F4F8" w:val="clear"/>
          </w:tcPr>
          <w:p>
            <w:r>
              <w:rPr>
                <w:sz w:val="16"/>
              </w:rPr>
              <w:t>IEC 61511:2024 §15, OSHA PSM</w:t>
            </w:r>
          </w:p>
        </w:tc>
        <w:tc>
          <w:tcPr>
            <w:tcW w:type="dxa" w:w="3402"/>
            <w:shd w:fill="F0F4F8" w:val="clear"/>
          </w:tcPr>
          <w:p>
            <w:r>
              <w:rPr>
                <w:sz w:val="16"/>
              </w:rPr>
              <w:t>De PSSR #1 wordt uitgevoerd na afronding van het detailontwerp, vóór de bouw start. De review toetst: alle HAZOP/LOPA-aanbevelingen zijn verwerkt in het ontwerp, veiligheidsinformatiebladen compleet, ontwerpafwijkingen gemotiveerd en goedgekeurd, en constructie-veiligheidsplan beschikbaar. De PSSR #1 is een formele GO/NO-GO voor de bouwfase [21].</w:t>
            </w:r>
          </w:p>
        </w:tc>
        <w:tc>
          <w:tcPr>
            <w:tcW w:type="dxa" w:w="1701"/>
            <w:shd w:fill="F0F4F8" w:val="clear"/>
          </w:tcPr>
          <w:p>
            <w:r>
              <w:rPr>
                <w:sz w:val="16"/>
              </w:rPr>
              <w:t>PSSR #1 voltooid; alle aanbevelingen verwerkt; afwijkingen goedgekeurd; GO vastgelegd</w:t>
            </w:r>
          </w:p>
        </w:tc>
        <w:tc>
          <w:tcPr>
            <w:tcW w:type="dxa" w:w="1417"/>
            <w:shd w:fill="F0F4F8" w:val="clear"/>
          </w:tcPr>
          <w:p>
            <w:r>
              <w:rPr>
                <w:sz w:val="16"/>
              </w:rPr>
              <w:t>PSSR #1 rapport + checklist</w:t>
            </w:r>
          </w:p>
        </w:tc>
        <w:tc>
          <w:tcPr>
            <w:tcW w:type="dxa" w:w="567"/>
            <w:shd w:fill="F0F4F8" w:val="clear"/>
          </w:tcPr>
          <w:p>
            <w:r>
              <w:rPr>
                <w:sz w:val="16"/>
              </w:rPr>
              <w:t>H</w:t>
            </w:r>
          </w:p>
        </w:tc>
        <w:tc>
          <w:tcPr>
            <w:tcW w:type="dxa" w:w="1417"/>
            <w:shd w:fill="F0F4F8" w:val="clear"/>
          </w:tcPr>
          <w:p>
            <w:r>
              <w:rPr>
                <w:sz w:val="16"/>
              </w:rPr>
              <w:t>Plant Manager</w:t>
            </w:r>
          </w:p>
        </w:tc>
      </w:tr>
    </w:tbl>
    <w:p/>
    <w:p>
      <w:pPr>
        <w:pStyle w:val="Heading2"/>
      </w:pPr>
      <w:r>
        <w:t>3.19 Ergonomie/3D Review</w:t>
      </w:r>
    </w:p>
    <w:p>
      <w:r>
        <w:t>(4 items)</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2551"/>
            <w:shd w:fill="003366" w:val="clear"/>
          </w:tcPr>
          <w:p>
            <w:pPr>
              <w:jc w:val="center"/>
            </w:pPr>
            <w:r>
              <w:rPr>
                <w:b/>
                <w:color w:val="FFFFFF"/>
                <w:sz w:val="18"/>
              </w:rPr>
              <w:t>Eis</w:t>
            </w:r>
          </w:p>
        </w:tc>
        <w:tc>
          <w:tcPr>
            <w:tcW w:type="dxa" w:w="1984"/>
            <w:shd w:fill="003366" w:val="clear"/>
          </w:tcPr>
          <w:p>
            <w:pPr>
              <w:jc w:val="center"/>
            </w:pPr>
            <w:r>
              <w:rPr>
                <w:b/>
                <w:color w:val="FFFFFF"/>
                <w:sz w:val="18"/>
              </w:rPr>
              <w:t>Norm</w:t>
            </w:r>
          </w:p>
        </w:tc>
        <w:tc>
          <w:tcPr>
            <w:tcW w:type="dxa" w:w="3402"/>
            <w:shd w:fill="003366" w:val="clear"/>
          </w:tcPr>
          <w:p>
            <w:pPr>
              <w:jc w:val="center"/>
            </w:pPr>
            <w:r>
              <w:rPr>
                <w:b/>
                <w:color w:val="FFFFFF"/>
                <w:sz w:val="18"/>
              </w:rPr>
              <w:t>Toelichting</w:t>
            </w:r>
          </w:p>
        </w:tc>
        <w:tc>
          <w:tcPr>
            <w:tcW w:type="dxa" w:w="1701"/>
            <w:shd w:fill="003366" w:val="clear"/>
          </w:tcPr>
          <w:p>
            <w:pPr>
              <w:jc w:val="center"/>
            </w:pPr>
            <w:r>
              <w:rPr>
                <w:b/>
                <w:color w:val="FFFFFF"/>
                <w:sz w:val="18"/>
              </w:rPr>
              <w:t>Criteria</w:t>
            </w:r>
          </w:p>
        </w:tc>
        <w:tc>
          <w:tcPr>
            <w:tcW w:type="dxa" w:w="1417"/>
            <w:shd w:fill="003366" w:val="clear"/>
          </w:tcPr>
          <w:p>
            <w:pPr>
              <w:jc w:val="center"/>
            </w:pPr>
            <w:r>
              <w:rPr>
                <w:b/>
                <w:color w:val="FFFFFF"/>
                <w:sz w:val="18"/>
              </w:rPr>
              <w:t>Bewijsmiddel</w:t>
            </w:r>
          </w:p>
        </w:tc>
        <w:tc>
          <w:tcPr>
            <w:tcW w:type="dxa" w:w="567"/>
            <w:shd w:fill="003366" w:val="clear"/>
          </w:tcPr>
          <w:p>
            <w:pPr>
              <w:jc w:val="center"/>
            </w:pPr>
            <w:r>
              <w:rPr>
                <w:b/>
                <w:color w:val="FFFFFF"/>
                <w:sz w:val="18"/>
              </w:rPr>
              <w:t>Prio</w:t>
            </w:r>
          </w:p>
        </w:tc>
        <w:tc>
          <w:tcPr>
            <w:tcW w:type="dxa" w:w="1417"/>
            <w:shd w:fill="003366" w:val="clear"/>
          </w:tcPr>
          <w:p>
            <w:pPr>
              <w:jc w:val="center"/>
            </w:pPr>
            <w:r>
              <w:rPr>
                <w:b/>
                <w:color w:val="FFFFFF"/>
                <w:sz w:val="18"/>
              </w:rPr>
              <w:t>Verantwoordelijke</w:t>
            </w:r>
          </w:p>
        </w:tc>
      </w:tr>
      <w:tr>
        <w:tc>
          <w:tcPr>
            <w:tcW w:type="dxa" w:w="2551"/>
          </w:tcPr>
          <w:p>
            <w:r>
              <w:rPr>
                <w:sz w:val="16"/>
              </w:rPr>
              <w:t>3D-model review 30% (concept): onderhoudsruimte en hijsvoorzieningen</w:t>
            </w:r>
          </w:p>
        </w:tc>
        <w:tc>
          <w:tcPr>
            <w:tcW w:type="dxa" w:w="1984"/>
          </w:tcPr>
          <w:p>
            <w:r>
              <w:rPr>
                <w:sz w:val="16"/>
              </w:rPr>
              <w:t>Arbowet, Arbobesluit, Best practice</w:t>
            </w:r>
          </w:p>
        </w:tc>
        <w:tc>
          <w:tcPr>
            <w:tcW w:type="dxa" w:w="3402"/>
          </w:tcPr>
          <w:p>
            <w:r>
              <w:rPr>
                <w:sz w:val="16"/>
              </w:rPr>
              <w:t>Op 30% ontwerpstadium wordt de 3D-model review uitgevoerd met focus op: voldoende ruimte rond apparaten voor onderhoud (minimaal 1,0 m rondom), hijsogen boven zware componenten, bereikbaarheid van afsluiters en instrumenten, en voldoende hoofdruimte (&gt; 2,1 m). Bevindingen worden vastgelegd in een review-rapport met actie-items [1].</w:t>
            </w:r>
          </w:p>
        </w:tc>
        <w:tc>
          <w:tcPr>
            <w:tcW w:type="dxa" w:w="1701"/>
          </w:tcPr>
          <w:p>
            <w:r>
              <w:rPr>
                <w:sz w:val="16"/>
              </w:rPr>
              <w:t>30% review voltooid; alle actie-items geregistreerd en toegewezen</w:t>
            </w:r>
          </w:p>
        </w:tc>
        <w:tc>
          <w:tcPr>
            <w:tcW w:type="dxa" w:w="1417"/>
          </w:tcPr>
          <w:p>
            <w:r>
              <w:rPr>
                <w:sz w:val="16"/>
              </w:rPr>
              <w:t>3D-model review rapport (30%)</w:t>
            </w:r>
          </w:p>
        </w:tc>
        <w:tc>
          <w:tcPr>
            <w:tcW w:type="dxa" w:w="567"/>
          </w:tcPr>
          <w:p>
            <w:r>
              <w:rPr>
                <w:sz w:val="16"/>
              </w:rPr>
              <w:t>H</w:t>
            </w:r>
          </w:p>
        </w:tc>
        <w:tc>
          <w:tcPr>
            <w:tcW w:type="dxa" w:w="1417"/>
          </w:tcPr>
          <w:p>
            <w:r>
              <w:rPr>
                <w:sz w:val="16"/>
              </w:rPr>
              <w:t>Project Engineer</w:t>
            </w:r>
          </w:p>
        </w:tc>
      </w:tr>
      <w:tr>
        <w:tc>
          <w:tcPr>
            <w:tcW w:type="dxa" w:w="2551"/>
            <w:shd w:fill="F0F4F8" w:val="clear"/>
          </w:tcPr>
          <w:p>
            <w:r>
              <w:rPr>
                <w:sz w:val="16"/>
              </w:rPr>
              <w:t>3D-model review 60% (detail): afsluiterbereikbaarheid en ergonomie</w:t>
            </w:r>
          </w:p>
        </w:tc>
        <w:tc>
          <w:tcPr>
            <w:tcW w:type="dxa" w:w="1984"/>
            <w:shd w:fill="F0F4F8" w:val="clear"/>
          </w:tcPr>
          <w:p>
            <w:r>
              <w:rPr>
                <w:sz w:val="16"/>
              </w:rPr>
              <w:t>Arbowet, Arbobesluit art. 3.2</w:t>
            </w:r>
          </w:p>
        </w:tc>
        <w:tc>
          <w:tcPr>
            <w:tcW w:type="dxa" w:w="3402"/>
            <w:shd w:fill="F0F4F8" w:val="clear"/>
          </w:tcPr>
          <w:p>
            <w:r>
              <w:rPr>
                <w:sz w:val="16"/>
              </w:rPr>
              <w:t>Op 60% ontwerpstadium wordt specifiek gecontroleerd: alle afsluiters bereikbaar (maximaal 2,1 m hoogte, of via platform), handbediende afsluiters op ergonomische hoogte (70-120 cm), krukafsluiters met voldoende zwaai ruimte, en veilige looproutes (minimaal 0,8 m breed, 2,1 m vrij hoogte). Platformen bij hoge locaties met Treeplanken en leuningen [1].</w:t>
            </w:r>
          </w:p>
        </w:tc>
        <w:tc>
          <w:tcPr>
            <w:tcW w:type="dxa" w:w="1701"/>
            <w:shd w:fill="F0F4F8" w:val="clear"/>
          </w:tcPr>
          <w:p>
            <w:r>
              <w:rPr>
                <w:sz w:val="16"/>
              </w:rPr>
              <w:t>60% review voltooid; alle afsluiters bereikbaar; looproutes voldoen aan norm</w:t>
            </w:r>
          </w:p>
        </w:tc>
        <w:tc>
          <w:tcPr>
            <w:tcW w:type="dxa" w:w="1417"/>
            <w:shd w:fill="F0F4F8" w:val="clear"/>
          </w:tcPr>
          <w:p>
            <w:r>
              <w:rPr>
                <w:sz w:val="16"/>
              </w:rPr>
              <w:t>3D-model review rapport (60%)</w:t>
            </w:r>
          </w:p>
        </w:tc>
        <w:tc>
          <w:tcPr>
            <w:tcW w:type="dxa" w:w="567"/>
            <w:shd w:fill="F0F4F8" w:val="clear"/>
          </w:tcPr>
          <w:p>
            <w:r>
              <w:rPr>
                <w:sz w:val="16"/>
              </w:rPr>
              <w:t>H</w:t>
            </w:r>
          </w:p>
        </w:tc>
        <w:tc>
          <w:tcPr>
            <w:tcW w:type="dxa" w:w="1417"/>
            <w:shd w:fill="F0F4F8" w:val="clear"/>
          </w:tcPr>
          <w:p>
            <w:r>
              <w:rPr>
                <w:sz w:val="16"/>
              </w:rPr>
              <w:t>Project Engineer</w:t>
            </w:r>
          </w:p>
        </w:tc>
      </w:tr>
      <w:tr>
        <w:tc>
          <w:tcPr>
            <w:tcW w:type="dxa" w:w="2551"/>
          </w:tcPr>
          <w:p>
            <w:r>
              <w:rPr>
                <w:sz w:val="16"/>
              </w:rPr>
              <w:t>3D-model review 90% (constructie): finale check hijs en toegankelijkheid</w:t>
            </w:r>
          </w:p>
        </w:tc>
        <w:tc>
          <w:tcPr>
            <w:tcW w:type="dxa" w:w="1984"/>
          </w:tcPr>
          <w:p>
            <w:r>
              <w:rPr>
                <w:sz w:val="16"/>
              </w:rPr>
              <w:t>Arbowet, Arbobesluit</w:t>
            </w:r>
          </w:p>
        </w:tc>
        <w:tc>
          <w:tcPr>
            <w:tcW w:type="dxa" w:w="3402"/>
          </w:tcPr>
          <w:p>
            <w:r>
              <w:rPr>
                <w:sz w:val="16"/>
              </w:rPr>
              <w:t>De finale 3D-model review op 90% controleert: hijs- en tillplan compleet (brugkranen, hijsogen, takelponen), evacuatieroutes (minimaal 2 onafhankelijke routes per zone), brandblustoestellen bereikbaar, en veilige toegang tot alle werkplekken. Constructieve wijzigingen na 90% zijn kostbaar — dit is de laatste formele review [1].</w:t>
            </w:r>
          </w:p>
        </w:tc>
        <w:tc>
          <w:tcPr>
            <w:tcW w:type="dxa" w:w="1701"/>
          </w:tcPr>
          <w:p>
            <w:r>
              <w:rPr>
                <w:sz w:val="16"/>
              </w:rPr>
              <w:t>90% review voltooid; hijsplan definitief; evacuatieroutes geverifieerd; 0 open kritieke items</w:t>
            </w:r>
          </w:p>
        </w:tc>
        <w:tc>
          <w:tcPr>
            <w:tcW w:type="dxa" w:w="1417"/>
          </w:tcPr>
          <w:p>
            <w:r>
              <w:rPr>
                <w:sz w:val="16"/>
              </w:rPr>
              <w:t>3D-model review rapport (90%) + hijsplan</w:t>
            </w:r>
          </w:p>
        </w:tc>
        <w:tc>
          <w:tcPr>
            <w:tcW w:type="dxa" w:w="567"/>
          </w:tcPr>
          <w:p>
            <w:r>
              <w:rPr>
                <w:sz w:val="16"/>
              </w:rPr>
              <w:t>H</w:t>
            </w:r>
          </w:p>
        </w:tc>
        <w:tc>
          <w:tcPr>
            <w:tcW w:type="dxa" w:w="1417"/>
          </w:tcPr>
          <w:p>
            <w:r>
              <w:rPr>
                <w:sz w:val="16"/>
              </w:rPr>
              <w:t>Project Engineer</w:t>
            </w:r>
          </w:p>
        </w:tc>
      </w:tr>
      <w:tr>
        <w:tc>
          <w:tcPr>
            <w:tcW w:type="dxa" w:w="2551"/>
            <w:shd w:fill="F0F4F8" w:val="clear"/>
          </w:tcPr>
          <w:p>
            <w:r>
              <w:rPr>
                <w:sz w:val="16"/>
              </w:rPr>
              <w:t>Hijs- en tillplan: hijsogen, takelponen, brugkraan capaciteit</w:t>
            </w:r>
          </w:p>
        </w:tc>
        <w:tc>
          <w:tcPr>
            <w:tcW w:type="dxa" w:w="1984"/>
            <w:shd w:fill="F0F4F8" w:val="clear"/>
          </w:tcPr>
          <w:p>
            <w:r>
              <w:rPr>
                <w:sz w:val="16"/>
              </w:rPr>
              <w:t>Arbobesluit art. 5.1, NEN-EN 13155</w:t>
            </w:r>
          </w:p>
        </w:tc>
        <w:tc>
          <w:tcPr>
            <w:tcW w:type="dxa" w:w="3402"/>
            <w:shd w:fill="F0F4F8" w:val="clear"/>
          </w:tcPr>
          <w:p>
            <w:r>
              <w:rPr>
                <w:sz w:val="16"/>
              </w:rPr>
              <w:t>Het hijs- en tillplan specificeert per locatie: het te tillen gewicht, het hijsmiddel (brugkraan, katrol, takel), de capaciteit (met 25% veiligheidsmarge), en de hijsroute. Brugkranen moeten periodiek worden gekeurd (jaarlijks conform NEN-EN 13155). Alle hijsogen moeten worden berekend en gecertificeerd. Alternatief: montagevlonders voor zware componenten [1].</w:t>
            </w:r>
          </w:p>
        </w:tc>
        <w:tc>
          <w:tcPr>
            <w:tcW w:type="dxa" w:w="1701"/>
            <w:shd w:fill="F0F4F8" w:val="clear"/>
          </w:tcPr>
          <w:p>
            <w:r>
              <w:rPr>
                <w:sz w:val="16"/>
              </w:rPr>
              <w:t>Hijsplan compleet per locatie; alle hijsmiddelen gecertificeerd; veiligheidsmarge ≥ 25%</w:t>
            </w:r>
          </w:p>
        </w:tc>
        <w:tc>
          <w:tcPr>
            <w:tcW w:type="dxa" w:w="1417"/>
            <w:shd w:fill="F0F4F8" w:val="clear"/>
          </w:tcPr>
          <w:p>
            <w:r>
              <w:rPr>
                <w:sz w:val="16"/>
              </w:rPr>
              <w:t>Hijs- en tillplan + keuringscertificaten</w:t>
            </w:r>
          </w:p>
        </w:tc>
        <w:tc>
          <w:tcPr>
            <w:tcW w:type="dxa" w:w="567"/>
            <w:shd w:fill="F0F4F8" w:val="clear"/>
          </w:tcPr>
          <w:p>
            <w:r>
              <w:rPr>
                <w:sz w:val="16"/>
              </w:rPr>
              <w:t>H</w:t>
            </w:r>
          </w:p>
        </w:tc>
        <w:tc>
          <w:tcPr>
            <w:tcW w:type="dxa" w:w="1417"/>
            <w:shd w:fill="F0F4F8" w:val="clear"/>
          </w:tcPr>
          <w:p>
            <w:r>
              <w:rPr>
                <w:sz w:val="16"/>
              </w:rPr>
              <w:t>Project Engineer</w:t>
            </w:r>
          </w:p>
        </w:tc>
      </w:tr>
    </w:tbl>
    <w:p/>
    <w:p>
      <w:r>
        <w:br w:type="page"/>
      </w:r>
    </w:p>
    <w:p>
      <w:pPr>
        <w:pStyle w:val="Heading1"/>
      </w:pPr>
      <w:r>
        <w:t>4. Wetgevingsregister (45+ Normen)</w:t>
      </w:r>
    </w:p>
    <w:tbl>
      <w:tblPr>
        <w:tblStyle w:val="TableGrid"/>
        <w:tblW w:type="auto" w:w="0"/>
        <w:tblLook w:firstColumn="1" w:firstRow="1" w:lastColumn="0" w:lastRow="0" w:noHBand="0" w:noVBand="1" w:val="04A0"/>
      </w:tblPr>
      <w:tblGrid>
        <w:gridCol w:w="4320"/>
        <w:gridCol w:w="4320"/>
      </w:tblGrid>
      <w:tr>
        <w:tc>
          <w:tcPr>
            <w:tcW w:type="dxa" w:w="4320"/>
            <w:shd w:fill="003366" w:val="clear"/>
          </w:tcPr>
          <w:p>
            <w:r>
              <w:rPr>
                <w:b/>
                <w:color w:val="FFFFFF"/>
              </w:rPr>
              <w:t>#</w:t>
            </w:r>
          </w:p>
        </w:tc>
        <w:tc>
          <w:tcPr>
            <w:tcW w:type="dxa" w:w="4320"/>
            <w:shd w:fill="003366" w:val="clear"/>
          </w:tcPr>
          <w:p>
            <w:r>
              <w:rPr>
                <w:b/>
                <w:color w:val="FFFFFF"/>
              </w:rPr>
              <w:t>Norm/Wet</w:t>
            </w:r>
          </w:p>
        </w:tc>
      </w:tr>
      <w:tr>
        <w:tc>
          <w:tcPr>
            <w:tcW w:type="dxa" w:w="4320"/>
          </w:tcPr>
          <w:p>
            <w:r>
              <w:t>1</w:t>
            </w:r>
          </w:p>
        </w:tc>
        <w:tc>
          <w:tcPr>
            <w:tcW w:type="dxa" w:w="4320"/>
          </w:tcPr>
          <w:p>
            <w:r>
              <w:t>Arbowet/Arbobesluit (geldend per 2026)</w:t>
            </w:r>
          </w:p>
        </w:tc>
      </w:tr>
      <w:tr>
        <w:tc>
          <w:tcPr>
            <w:tcW w:type="dxa" w:w="4320"/>
          </w:tcPr>
          <w:p>
            <w:r>
              <w:t>2</w:t>
            </w:r>
          </w:p>
        </w:tc>
        <w:tc>
          <w:tcPr>
            <w:tcW w:type="dxa" w:w="4320"/>
          </w:tcPr>
          <w:p>
            <w:r>
              <w:t>Besluit Bouwwerken Leefomgeving (Bbl)</w:t>
            </w:r>
          </w:p>
        </w:tc>
      </w:tr>
      <w:tr>
        <w:tc>
          <w:tcPr>
            <w:tcW w:type="dxa" w:w="4320"/>
          </w:tcPr>
          <w:p>
            <w:r>
              <w:t>3</w:t>
            </w:r>
          </w:p>
        </w:tc>
        <w:tc>
          <w:tcPr>
            <w:tcW w:type="dxa" w:w="4320"/>
          </w:tcPr>
          <w:p>
            <w:r>
              <w:t>Besluit activiteiten leefomgeving (Bal)</w:t>
            </w:r>
          </w:p>
        </w:tc>
      </w:tr>
      <w:tr>
        <w:tc>
          <w:tcPr>
            <w:tcW w:type="dxa" w:w="4320"/>
          </w:tcPr>
          <w:p>
            <w:r>
              <w:t>4</w:t>
            </w:r>
          </w:p>
        </w:tc>
        <w:tc>
          <w:tcPr>
            <w:tcW w:type="dxa" w:w="4320"/>
          </w:tcPr>
          <w:p>
            <w:r>
              <w:t>PGS 15:2025 (definitief 11-3-2025)</w:t>
            </w:r>
          </w:p>
        </w:tc>
      </w:tr>
      <w:tr>
        <w:tc>
          <w:tcPr>
            <w:tcW w:type="dxa" w:w="4320"/>
          </w:tcPr>
          <w:p>
            <w:r>
              <w:t>5</w:t>
            </w:r>
          </w:p>
        </w:tc>
        <w:tc>
          <w:tcPr>
            <w:tcW w:type="dxa" w:w="4320"/>
          </w:tcPr>
          <w:p>
            <w:r>
              <w:t>REACH (EG) 1907/2006</w:t>
            </w:r>
          </w:p>
        </w:tc>
      </w:tr>
      <w:tr>
        <w:tc>
          <w:tcPr>
            <w:tcW w:type="dxa" w:w="4320"/>
          </w:tcPr>
          <w:p>
            <w:r>
              <w:t>6</w:t>
            </w:r>
          </w:p>
        </w:tc>
        <w:tc>
          <w:tcPr>
            <w:tcW w:type="dxa" w:w="4320"/>
          </w:tcPr>
          <w:p>
            <w:r>
              <w:t>CLP 1272/2008 (EU) 2024/2865</w:t>
            </w:r>
          </w:p>
        </w:tc>
      </w:tr>
      <w:tr>
        <w:tc>
          <w:tcPr>
            <w:tcW w:type="dxa" w:w="4320"/>
          </w:tcPr>
          <w:p>
            <w:r>
              <w:t>7</w:t>
            </w:r>
          </w:p>
        </w:tc>
        <w:tc>
          <w:tcPr>
            <w:tcW w:type="dxa" w:w="4320"/>
          </w:tcPr>
          <w:p>
            <w:r>
              <w:t>Seveso-regeling 2024</w:t>
            </w:r>
          </w:p>
        </w:tc>
      </w:tr>
      <w:tr>
        <w:tc>
          <w:tcPr>
            <w:tcW w:type="dxa" w:w="4320"/>
          </w:tcPr>
          <w:p>
            <w:r>
              <w:t>8</w:t>
            </w:r>
          </w:p>
        </w:tc>
        <w:tc>
          <w:tcPr>
            <w:tcW w:type="dxa" w:w="4320"/>
          </w:tcPr>
          <w:p>
            <w:r>
              <w:t>ATEX 2014/34/EU</w:t>
            </w:r>
          </w:p>
        </w:tc>
      </w:tr>
      <w:tr>
        <w:tc>
          <w:tcPr>
            <w:tcW w:type="dxa" w:w="4320"/>
          </w:tcPr>
          <w:p>
            <w:r>
              <w:t>9</w:t>
            </w:r>
          </w:p>
        </w:tc>
        <w:tc>
          <w:tcPr>
            <w:tcW w:type="dxa" w:w="4320"/>
          </w:tcPr>
          <w:p>
            <w:r>
              <w:t>PED 2014/68/EU</w:t>
            </w:r>
          </w:p>
        </w:tc>
      </w:tr>
      <w:tr>
        <w:tc>
          <w:tcPr>
            <w:tcW w:type="dxa" w:w="4320"/>
          </w:tcPr>
          <w:p>
            <w:r>
              <w:t>10</w:t>
            </w:r>
          </w:p>
        </w:tc>
        <w:tc>
          <w:tcPr>
            <w:tcW w:type="dxa" w:w="4320"/>
          </w:tcPr>
          <w:p>
            <w:r>
              <w:t>Machinerichtlijn (EU) 2023/1230</w:t>
            </w:r>
          </w:p>
        </w:tc>
      </w:tr>
      <w:tr>
        <w:tc>
          <w:tcPr>
            <w:tcW w:type="dxa" w:w="4320"/>
          </w:tcPr>
          <w:p>
            <w:r>
              <w:t>11</w:t>
            </w:r>
          </w:p>
        </w:tc>
        <w:tc>
          <w:tcPr>
            <w:tcW w:type="dxa" w:w="4320"/>
          </w:tcPr>
          <w:p>
            <w:r>
              <w:t>ADR 2025</w:t>
            </w:r>
          </w:p>
        </w:tc>
      </w:tr>
      <w:tr>
        <w:tc>
          <w:tcPr>
            <w:tcW w:type="dxa" w:w="4320"/>
          </w:tcPr>
          <w:p>
            <w:r>
              <w:t>12</w:t>
            </w:r>
          </w:p>
        </w:tc>
        <w:tc>
          <w:tcPr>
            <w:tcW w:type="dxa" w:w="4320"/>
          </w:tcPr>
          <w:p>
            <w:r>
              <w:t>NEN 1010:2020+C1:2024</w:t>
            </w:r>
          </w:p>
        </w:tc>
      </w:tr>
      <w:tr>
        <w:tc>
          <w:tcPr>
            <w:tcW w:type="dxa" w:w="4320"/>
          </w:tcPr>
          <w:p>
            <w:r>
              <w:t>13</w:t>
            </w:r>
          </w:p>
        </w:tc>
        <w:tc>
          <w:tcPr>
            <w:tcW w:type="dxa" w:w="4320"/>
          </w:tcPr>
          <w:p>
            <w:r>
              <w:t>IEC 61511:2024</w:t>
            </w:r>
          </w:p>
        </w:tc>
      </w:tr>
      <w:tr>
        <w:tc>
          <w:tcPr>
            <w:tcW w:type="dxa" w:w="4320"/>
          </w:tcPr>
          <w:p>
            <w:r>
              <w:t>14</w:t>
            </w:r>
          </w:p>
        </w:tc>
        <w:tc>
          <w:tcPr>
            <w:tcW w:type="dxa" w:w="4320"/>
          </w:tcPr>
          <w:p>
            <w:r>
              <w:t>NEN-EN 12845:2024</w:t>
            </w:r>
          </w:p>
        </w:tc>
      </w:tr>
      <w:tr>
        <w:tc>
          <w:tcPr>
            <w:tcW w:type="dxa" w:w="4320"/>
          </w:tcPr>
          <w:p>
            <w:r>
              <w:t>15</w:t>
            </w:r>
          </w:p>
        </w:tc>
        <w:tc>
          <w:tcPr>
            <w:tcW w:type="dxa" w:w="4320"/>
          </w:tcPr>
          <w:p>
            <w:r>
              <w:t>IEC 62443 serie</w:t>
            </w:r>
          </w:p>
        </w:tc>
      </w:tr>
      <w:tr>
        <w:tc>
          <w:tcPr>
            <w:tcW w:type="dxa" w:w="4320"/>
          </w:tcPr>
          <w:p>
            <w:r>
              <w:t>16</w:t>
            </w:r>
          </w:p>
        </w:tc>
        <w:tc>
          <w:tcPr>
            <w:tcW w:type="dxa" w:w="4320"/>
          </w:tcPr>
          <w:p>
            <w:r>
              <w:t>NEN-EN-IEC 62443</w:t>
            </w:r>
          </w:p>
        </w:tc>
      </w:tr>
      <w:tr>
        <w:tc>
          <w:tcPr>
            <w:tcW w:type="dxa" w:w="4320"/>
          </w:tcPr>
          <w:p>
            <w:r>
              <w:t>17</w:t>
            </w:r>
          </w:p>
        </w:tc>
        <w:tc>
          <w:tcPr>
            <w:tcW w:type="dxa" w:w="4320"/>
          </w:tcPr>
          <w:p>
            <w:r>
              <w:t>NIS2 Richtlijn (EU) 2022/2555</w:t>
            </w:r>
          </w:p>
        </w:tc>
      </w:tr>
      <w:tr>
        <w:tc>
          <w:tcPr>
            <w:tcW w:type="dxa" w:w="4320"/>
          </w:tcPr>
          <w:p>
            <w:r>
              <w:t>18</w:t>
            </w:r>
          </w:p>
        </w:tc>
        <w:tc>
          <w:tcPr>
            <w:tcW w:type="dxa" w:w="4320"/>
          </w:tcPr>
          <w:p>
            <w:r>
              <w:t>NEN-EN-ISO 11064 serie</w:t>
            </w:r>
          </w:p>
        </w:tc>
      </w:tr>
      <w:tr>
        <w:tc>
          <w:tcPr>
            <w:tcW w:type="dxa" w:w="4320"/>
          </w:tcPr>
          <w:p>
            <w:r>
              <w:t>19</w:t>
            </w:r>
          </w:p>
        </w:tc>
        <w:tc>
          <w:tcPr>
            <w:tcW w:type="dxa" w:w="4320"/>
          </w:tcPr>
          <w:p>
            <w:r>
              <w:t>ISA-18.2 / IEC 62682</w:t>
            </w:r>
          </w:p>
        </w:tc>
      </w:tr>
      <w:tr>
        <w:tc>
          <w:tcPr>
            <w:tcW w:type="dxa" w:w="4320"/>
          </w:tcPr>
          <w:p>
            <w:r>
              <w:t>20</w:t>
            </w:r>
          </w:p>
        </w:tc>
        <w:tc>
          <w:tcPr>
            <w:tcW w:type="dxa" w:w="4320"/>
          </w:tcPr>
          <w:p>
            <w:r>
              <w:t>EEMUA 191</w:t>
            </w:r>
          </w:p>
        </w:tc>
      </w:tr>
      <w:tr>
        <w:tc>
          <w:tcPr>
            <w:tcW w:type="dxa" w:w="4320"/>
          </w:tcPr>
          <w:p>
            <w:r>
              <w:t>21</w:t>
            </w:r>
          </w:p>
        </w:tc>
        <w:tc>
          <w:tcPr>
            <w:tcW w:type="dxa" w:w="4320"/>
          </w:tcPr>
          <w:p>
            <w:r>
              <w:t>EEMUA 201</w:t>
            </w:r>
          </w:p>
        </w:tc>
      </w:tr>
      <w:tr>
        <w:tc>
          <w:tcPr>
            <w:tcW w:type="dxa" w:w="4320"/>
          </w:tcPr>
          <w:p>
            <w:r>
              <w:t>22</w:t>
            </w:r>
          </w:p>
        </w:tc>
        <w:tc>
          <w:tcPr>
            <w:tcW w:type="dxa" w:w="4320"/>
          </w:tcPr>
          <w:p>
            <w:r>
              <w:t>ISA-101</w:t>
            </w:r>
          </w:p>
        </w:tc>
      </w:tr>
      <w:tr>
        <w:tc>
          <w:tcPr>
            <w:tcW w:type="dxa" w:w="4320"/>
          </w:tcPr>
          <w:p>
            <w:r>
              <w:t>23</w:t>
            </w:r>
          </w:p>
        </w:tc>
        <w:tc>
          <w:tcPr>
            <w:tcW w:type="dxa" w:w="4320"/>
          </w:tcPr>
          <w:p>
            <w:r>
              <w:t>NACE MR0175 / ISO 21462</w:t>
            </w:r>
          </w:p>
        </w:tc>
      </w:tr>
      <w:tr>
        <w:tc>
          <w:tcPr>
            <w:tcW w:type="dxa" w:w="4320"/>
          </w:tcPr>
          <w:p>
            <w:r>
              <w:t>24</w:t>
            </w:r>
          </w:p>
        </w:tc>
        <w:tc>
          <w:tcPr>
            <w:tcW w:type="dxa" w:w="4320"/>
          </w:tcPr>
          <w:p>
            <w:r>
              <w:t>ISO 9001</w:t>
            </w:r>
          </w:p>
        </w:tc>
      </w:tr>
      <w:tr>
        <w:tc>
          <w:tcPr>
            <w:tcW w:type="dxa" w:w="4320"/>
          </w:tcPr>
          <w:p>
            <w:r>
              <w:t>25</w:t>
            </w:r>
          </w:p>
        </w:tc>
        <w:tc>
          <w:tcPr>
            <w:tcW w:type="dxa" w:w="4320"/>
          </w:tcPr>
          <w:p>
            <w:r>
              <w:t>REACH PFAS restrictievoorstel</w:t>
            </w:r>
          </w:p>
        </w:tc>
      </w:tr>
      <w:tr>
        <w:tc>
          <w:tcPr>
            <w:tcW w:type="dxa" w:w="4320"/>
          </w:tcPr>
          <w:p>
            <w:r>
              <w:t>26</w:t>
            </w:r>
          </w:p>
        </w:tc>
        <w:tc>
          <w:tcPr>
            <w:tcW w:type="dxa" w:w="4320"/>
          </w:tcPr>
          <w:p>
            <w:r>
              <w:t>Europese Kaderrichtlijn Water</w:t>
            </w:r>
          </w:p>
        </w:tc>
      </w:tr>
      <w:tr>
        <w:tc>
          <w:tcPr>
            <w:tcW w:type="dxa" w:w="4320"/>
          </w:tcPr>
          <w:p>
            <w:r>
              <w:t>27</w:t>
            </w:r>
          </w:p>
        </w:tc>
        <w:tc>
          <w:tcPr>
            <w:tcW w:type="dxa" w:w="4320"/>
          </w:tcPr>
          <w:p>
            <w:r>
              <w:t>NEN-EN 14034</w:t>
            </w:r>
          </w:p>
        </w:tc>
      </w:tr>
      <w:tr>
        <w:tc>
          <w:tcPr>
            <w:tcW w:type="dxa" w:w="4320"/>
          </w:tcPr>
          <w:p>
            <w:r>
              <w:t>28</w:t>
            </w:r>
          </w:p>
        </w:tc>
        <w:tc>
          <w:tcPr>
            <w:tcW w:type="dxa" w:w="4320"/>
          </w:tcPr>
          <w:p>
            <w:r>
              <w:t>NEN-EN ISO 13849</w:t>
            </w:r>
          </w:p>
        </w:tc>
      </w:tr>
      <w:tr>
        <w:tc>
          <w:tcPr>
            <w:tcW w:type="dxa" w:w="4320"/>
          </w:tcPr>
          <w:p>
            <w:r>
              <w:t>29</w:t>
            </w:r>
          </w:p>
        </w:tc>
        <w:tc>
          <w:tcPr>
            <w:tcW w:type="dxa" w:w="4320"/>
          </w:tcPr>
          <w:p>
            <w:r>
              <w:t>VCA** / VCA*</w:t>
            </w:r>
          </w:p>
        </w:tc>
      </w:tr>
      <w:tr>
        <w:tc>
          <w:tcPr>
            <w:tcW w:type="dxa" w:w="4320"/>
          </w:tcPr>
          <w:p>
            <w:r>
              <w:t>30</w:t>
            </w:r>
          </w:p>
        </w:tc>
        <w:tc>
          <w:tcPr>
            <w:tcW w:type="dxa" w:w="4320"/>
          </w:tcPr>
          <w:p>
            <w:r>
              <w:t>BREF (Best Beschikbare Technieken)</w:t>
            </w:r>
          </w:p>
        </w:tc>
      </w:tr>
      <w:tr>
        <w:tc>
          <w:tcPr>
            <w:tcW w:type="dxa" w:w="4320"/>
          </w:tcPr>
          <w:p>
            <w:r>
              <w:t>31</w:t>
            </w:r>
          </w:p>
        </w:tc>
        <w:tc>
          <w:tcPr>
            <w:tcW w:type="dxa" w:w="4320"/>
          </w:tcPr>
          <w:p>
            <w:r>
              <w:t>UAV 2012</w:t>
            </w:r>
          </w:p>
        </w:tc>
      </w:tr>
      <w:tr>
        <w:tc>
          <w:tcPr>
            <w:tcW w:type="dxa" w:w="4320"/>
          </w:tcPr>
          <w:p>
            <w:r>
              <w:t>32</w:t>
            </w:r>
          </w:p>
        </w:tc>
        <w:tc>
          <w:tcPr>
            <w:tcW w:type="dxa" w:w="4320"/>
          </w:tcPr>
          <w:p>
            <w:r>
              <w:t>NEN-EN 12464-1</w:t>
            </w:r>
          </w:p>
        </w:tc>
      </w:tr>
      <w:tr>
        <w:tc>
          <w:tcPr>
            <w:tcW w:type="dxa" w:w="4320"/>
          </w:tcPr>
          <w:p>
            <w:r>
              <w:t>33</w:t>
            </w:r>
          </w:p>
        </w:tc>
        <w:tc>
          <w:tcPr>
            <w:tcW w:type="dxa" w:w="4320"/>
          </w:tcPr>
          <w:p>
            <w:r>
              <w:t>ISO 45001</w:t>
            </w:r>
          </w:p>
        </w:tc>
      </w:tr>
      <w:tr>
        <w:tc>
          <w:tcPr>
            <w:tcW w:type="dxa" w:w="4320"/>
          </w:tcPr>
          <w:p>
            <w:r>
              <w:t>34</w:t>
            </w:r>
          </w:p>
        </w:tc>
        <w:tc>
          <w:tcPr>
            <w:tcW w:type="dxa" w:w="4320"/>
          </w:tcPr>
          <w:p>
            <w:r>
              <w:t>NTA 8620:2016</w:t>
            </w:r>
          </w:p>
        </w:tc>
      </w:tr>
      <w:tr>
        <w:tc>
          <w:tcPr>
            <w:tcW w:type="dxa" w:w="4320"/>
          </w:tcPr>
          <w:p>
            <w:r>
              <w:t>35</w:t>
            </w:r>
          </w:p>
        </w:tc>
        <w:tc>
          <w:tcPr>
            <w:tcW w:type="dxa" w:w="4320"/>
          </w:tcPr>
          <w:p>
            <w:r>
              <w:t>ISO 11064-4</w:t>
            </w:r>
          </w:p>
        </w:tc>
      </w:tr>
      <w:tr>
        <w:tc>
          <w:tcPr>
            <w:tcW w:type="dxa" w:w="4320"/>
          </w:tcPr>
          <w:p>
            <w:r>
              <w:t>36</w:t>
            </w:r>
          </w:p>
        </w:tc>
        <w:tc>
          <w:tcPr>
            <w:tcW w:type="dxa" w:w="4320"/>
          </w:tcPr>
          <w:p>
            <w:r>
              <w:t>API 510/570</w:t>
            </w:r>
          </w:p>
        </w:tc>
      </w:tr>
      <w:tr>
        <w:tc>
          <w:tcPr>
            <w:tcW w:type="dxa" w:w="4320"/>
          </w:tcPr>
          <w:p>
            <w:r>
              <w:t>37</w:t>
            </w:r>
          </w:p>
        </w:tc>
        <w:tc>
          <w:tcPr>
            <w:tcW w:type="dxa" w:w="4320"/>
          </w:tcPr>
          <w:p>
            <w:r>
              <w:t>ASTM A967</w:t>
            </w:r>
          </w:p>
        </w:tc>
      </w:tr>
      <w:tr>
        <w:tc>
          <w:tcPr>
            <w:tcW w:type="dxa" w:w="4320"/>
          </w:tcPr>
          <w:p>
            <w:r>
              <w:t>38</w:t>
            </w:r>
          </w:p>
        </w:tc>
        <w:tc>
          <w:tcPr>
            <w:tcW w:type="dxa" w:w="4320"/>
          </w:tcPr>
          <w:p>
            <w:r>
              <w:t>NEN-EN 60079</w:t>
            </w:r>
          </w:p>
        </w:tc>
      </w:tr>
      <w:tr>
        <w:tc>
          <w:tcPr>
            <w:tcW w:type="dxa" w:w="4320"/>
          </w:tcPr>
          <w:p>
            <w:r>
              <w:t>39</w:t>
            </w:r>
          </w:p>
        </w:tc>
        <w:tc>
          <w:tcPr>
            <w:tcW w:type="dxa" w:w="4320"/>
          </w:tcPr>
          <w:p>
            <w:r>
              <w:t>ISO 17640</w:t>
            </w:r>
          </w:p>
        </w:tc>
      </w:tr>
      <w:tr>
        <w:tc>
          <w:tcPr>
            <w:tcW w:type="dxa" w:w="4320"/>
          </w:tcPr>
          <w:p>
            <w:r>
              <w:t>40</w:t>
            </w:r>
          </w:p>
        </w:tc>
        <w:tc>
          <w:tcPr>
            <w:tcW w:type="dxa" w:w="4320"/>
          </w:tcPr>
          <w:p>
            <w:r>
              <w:t>NEN-EN 13480-5</w:t>
            </w:r>
          </w:p>
        </w:tc>
      </w:tr>
      <w:tr>
        <w:tc>
          <w:tcPr>
            <w:tcW w:type="dxa" w:w="4320"/>
          </w:tcPr>
          <w:p>
            <w:r>
              <w:t>41</w:t>
            </w:r>
          </w:p>
        </w:tc>
        <w:tc>
          <w:tcPr>
            <w:tcW w:type="dxa" w:w="4320"/>
          </w:tcPr>
          <w:p>
            <w:r>
              <w:t>Arbobesluit art. 2.42</w:t>
            </w:r>
          </w:p>
        </w:tc>
      </w:tr>
      <w:tr>
        <w:tc>
          <w:tcPr>
            <w:tcW w:type="dxa" w:w="4320"/>
          </w:tcPr>
          <w:p>
            <w:r>
              <w:t>42</w:t>
            </w:r>
          </w:p>
        </w:tc>
        <w:tc>
          <w:tcPr>
            <w:tcW w:type="dxa" w:w="4320"/>
          </w:tcPr>
          <w:p>
            <w:r>
              <w:t>ISO 11228-1</w:t>
            </w:r>
          </w:p>
        </w:tc>
      </w:tr>
      <w:tr>
        <w:tc>
          <w:tcPr>
            <w:tcW w:type="dxa" w:w="4320"/>
          </w:tcPr>
          <w:p>
            <w:r>
              <w:t>43</w:t>
            </w:r>
          </w:p>
        </w:tc>
        <w:tc>
          <w:tcPr>
            <w:tcW w:type="dxa" w:w="4320"/>
          </w:tcPr>
          <w:p>
            <w:r>
              <w:t>NEN-EN 50174-2</w:t>
            </w:r>
          </w:p>
        </w:tc>
      </w:tr>
      <w:tr>
        <w:tc>
          <w:tcPr>
            <w:tcW w:type="dxa" w:w="4320"/>
          </w:tcPr>
          <w:p>
            <w:r>
              <w:t>44</w:t>
            </w:r>
          </w:p>
        </w:tc>
        <w:tc>
          <w:tcPr>
            <w:tcW w:type="dxa" w:w="4320"/>
          </w:tcPr>
          <w:p>
            <w:r>
              <w:t>IEC 60034</w:t>
            </w:r>
          </w:p>
        </w:tc>
      </w:tr>
      <w:tr>
        <w:tc>
          <w:tcPr>
            <w:tcW w:type="dxa" w:w="4320"/>
          </w:tcPr>
          <w:p>
            <w:r>
              <w:t>45</w:t>
            </w:r>
          </w:p>
        </w:tc>
        <w:tc>
          <w:tcPr>
            <w:tcW w:type="dxa" w:w="4320"/>
          </w:tcPr>
          <w:p>
            <w:r>
              <w:t>ISO 22301</w:t>
            </w:r>
          </w:p>
        </w:tc>
      </w:tr>
    </w:tbl>
    <w:p>
      <w:r>
        <w:br w:type="page"/>
      </w:r>
    </w:p>
    <w:p>
      <w:pPr>
        <w:pStyle w:val="Heading1"/>
      </w:pPr>
      <w:r>
        <w:t>5. Bronnenlijst</w:t>
      </w:r>
    </w:p>
    <w:p>
      <w:r>
        <w:t>[1] Arbowet/Arbobesluit — Wet van 18 maart 1999, zoals geldend per 2026</w:t>
      </w:r>
    </w:p>
    <w:p>
      <w:r>
        <w:t>[2] Besluit Bouwwerken Leefomgeving (Bbl) — per 1 januari 2024</w:t>
      </w:r>
    </w:p>
    <w:p>
      <w:r>
        <w:t>[3] Besluit activiteiten leefomgeving (Bal) — per 1 januari 2024</w:t>
      </w:r>
    </w:p>
    <w:p>
      <w:r>
        <w:t>[4] PGS 15:2025 — Opslag gevaarlijke stoffen (definitief 11 maart 2025)</w:t>
      </w:r>
    </w:p>
    <w:p>
      <w:r>
        <w:t>[5] REACH Verordening (EG) 1907/2006 — PPORD art. 56(4)(b)</w:t>
      </w:r>
    </w:p>
    <w:p>
      <w:r>
        <w:t>[6] CLP 1272/2008 zoals gewijzigd door (EU) 2024/2865</w:t>
      </w:r>
    </w:p>
    <w:p>
      <w:r>
        <w:t>[7] Seveso-regeling 2024</w:t>
      </w:r>
    </w:p>
    <w:p>
      <w:r>
        <w:t>[8] ATEX 2014/34/EU</w:t>
      </w:r>
    </w:p>
    <w:p>
      <w:r>
        <w:t>[9] PED 2014/68/EU</w:t>
      </w:r>
    </w:p>
    <w:p>
      <w:r>
        <w:t>[10] Machinerichtlijn (EU) 2023/1230</w:t>
      </w:r>
    </w:p>
    <w:p>
      <w:r>
        <w:t>[11] ADR 2025</w:t>
      </w:r>
    </w:p>
    <w:p>
      <w:r>
        <w:t>[12] NEN 1010:2020+C1:2024</w:t>
      </w:r>
    </w:p>
    <w:p>
      <w:r>
        <w:t>[13] IEC 62443 serie — Industrial Cybersecurity</w:t>
      </w:r>
    </w:p>
    <w:p>
      <w:r>
        <w:t>[14] NEN-EN-ISO 11064 serie — Control Room Design</w:t>
      </w:r>
    </w:p>
    <w:p>
      <w:r>
        <w:t>[15] ISA-18.2 / IEC 62682 — Alarm Management</w:t>
      </w:r>
    </w:p>
    <w:p>
      <w:r>
        <w:t>[16] EEMUA 191 — Alarm Systems Guide</w:t>
      </w:r>
    </w:p>
    <w:p>
      <w:r>
        <w:t>[17] EEMUA 201 — Control Room HMI Design</w:t>
      </w:r>
    </w:p>
    <w:p>
      <w:r>
        <w:t>[18] ISA-101 — Human Machine Interfaces</w:t>
      </w:r>
    </w:p>
    <w:p>
      <w:r>
        <w:t>[19] NIS2 Richtlijn (EU) 2022/2555</w:t>
      </w:r>
    </w:p>
    <w:p>
      <w:r>
        <w:t>[20] PFAS restricties — REACH restrictievoorstel</w:t>
      </w:r>
    </w:p>
    <w:p>
      <w:r>
        <w:t>[21] IEC 61511:2024 — Functionele veiligheid</w:t>
      </w:r>
    </w:p>
    <w:p>
      <w:r>
        <w:t>[22] NEN-EN 12845:2024 — Brandbeveiliging</w:t>
      </w:r>
    </w:p>
    <w:p>
      <w:r>
        <w:t>[23] NACE MR0175 / ISO 21462 — Materiaalselectie</w:t>
      </w:r>
    </w:p>
    <w:p>
      <w:r>
        <w:t>[24] VCA** — Veiligheid Checklist Aannemers</w:t>
      </w:r>
    </w:p>
    <w:p>
      <w:r>
        <w:t>[25] UAV 2012 — Uniforme Administratieve Voorwaarden</w:t>
      </w:r>
    </w:p>
    <w:p>
      <w:r>
        <w:br w:type="page"/>
      </w:r>
    </w:p>
    <w:p>
      <w:pPr>
        <w:pStyle w:val="Heading1"/>
      </w:pPr>
      <w:r>
        <w:t>6. TierVerify Log</w:t>
      </w:r>
    </w:p>
    <w:tbl>
      <w:tblPr>
        <w:tblStyle w:val="TableGrid"/>
        <w:tblW w:type="auto" w:w="0"/>
        <w:tblLook w:firstColumn="1" w:firstRow="1" w:lastColumn="0" w:lastRow="0" w:noHBand="0" w:noVBand="1" w:val="04A0"/>
      </w:tblPr>
      <w:tblGrid>
        <w:gridCol w:w="2880"/>
        <w:gridCol w:w="2880"/>
        <w:gridCol w:w="2880"/>
      </w:tblGrid>
      <w:tr>
        <w:tc>
          <w:tcPr>
            <w:tcW w:type="dxa" w:w="2880"/>
            <w:shd w:fill="003366" w:val="clear"/>
          </w:tcPr>
          <w:p>
            <w:r>
              <w:rPr>
                <w:b/>
                <w:color w:val="FFFFFF"/>
              </w:rPr>
              <w:t>Check</w:t>
            </w:r>
          </w:p>
        </w:tc>
        <w:tc>
          <w:tcPr>
            <w:tcW w:type="dxa" w:w="2880"/>
            <w:shd w:fill="003366" w:val="clear"/>
          </w:tcPr>
          <w:p>
            <w:r>
              <w:rPr>
                <w:b/>
                <w:color w:val="FFFFFF"/>
              </w:rPr>
              <w:t>Bron</w:t>
            </w:r>
          </w:p>
        </w:tc>
        <w:tc>
          <w:tcPr>
            <w:tcW w:type="dxa" w:w="2880"/>
            <w:shd w:fill="003366" w:val="clear"/>
          </w:tcPr>
          <w:p>
            <w:r>
              <w:rPr>
                <w:b/>
                <w:color w:val="FFFFFF"/>
              </w:rPr>
              <w:t>Status</w:t>
            </w:r>
          </w:p>
        </w:tc>
      </w:tr>
      <w:tr>
        <w:tc>
          <w:tcPr>
            <w:tcW w:type="dxa" w:w="2880"/>
          </w:tcPr>
          <w:p>
            <w:r>
              <w:t>Wetgevingsverwijzingen actueel</w:t>
            </w:r>
          </w:p>
        </w:tc>
        <w:tc>
          <w:tcPr>
            <w:tcW w:type="dxa" w:w="2880"/>
          </w:tcPr>
          <w:p>
            <w:r>
              <w:t>Tavily online verificatie 30-4-2026</w:t>
            </w:r>
          </w:p>
        </w:tc>
        <w:tc>
          <w:tcPr>
            <w:tcW w:type="dxa" w:w="2880"/>
          </w:tcPr>
          <w:p>
            <w:r>
              <w:t>✅ PASS</w:t>
            </w:r>
          </w:p>
        </w:tc>
      </w:tr>
      <w:tr>
        <w:tc>
          <w:tcPr>
            <w:tcW w:type="dxa" w:w="2880"/>
          </w:tcPr>
          <w:p>
            <w:r>
              <w:t>Bbl ipv Bouwbesluit 2012</w:t>
            </w:r>
          </w:p>
        </w:tc>
        <w:tc>
          <w:tcPr>
            <w:tcW w:type="dxa" w:w="2880"/>
          </w:tcPr>
          <w:p>
            <w:r>
              <w:t>Online geverifieerd</w:t>
            </w:r>
          </w:p>
        </w:tc>
        <w:tc>
          <w:tcPr>
            <w:tcW w:type="dxa" w:w="2880"/>
          </w:tcPr>
          <w:p>
            <w:r>
              <w:t>✅ PASS</w:t>
            </w:r>
          </w:p>
        </w:tc>
      </w:tr>
      <w:tr>
        <w:tc>
          <w:tcPr>
            <w:tcW w:type="dxa" w:w="2880"/>
          </w:tcPr>
          <w:p>
            <w:r>
              <w:t>Bal ipv Activiteitenbesluit</w:t>
            </w:r>
          </w:p>
        </w:tc>
        <w:tc>
          <w:tcPr>
            <w:tcW w:type="dxa" w:w="2880"/>
          </w:tcPr>
          <w:p>
            <w:r>
              <w:t>Online geverifieerd</w:t>
            </w:r>
          </w:p>
        </w:tc>
        <w:tc>
          <w:tcPr>
            <w:tcW w:type="dxa" w:w="2880"/>
          </w:tcPr>
          <w:p>
            <w:r>
              <w:t>✅ PASS</w:t>
            </w:r>
          </w:p>
        </w:tc>
      </w:tr>
      <w:tr>
        <w:tc>
          <w:tcPr>
            <w:tcW w:type="dxa" w:w="2880"/>
          </w:tcPr>
          <w:p>
            <w:r>
              <w:t>Seveso 2024 ipv BRZO</w:t>
            </w:r>
          </w:p>
        </w:tc>
        <w:tc>
          <w:tcPr>
            <w:tcW w:type="dxa" w:w="2880"/>
          </w:tcPr>
          <w:p>
            <w:r>
              <w:t>Online geverifieerd</w:t>
            </w:r>
          </w:p>
        </w:tc>
        <w:tc>
          <w:tcPr>
            <w:tcW w:type="dxa" w:w="2880"/>
          </w:tcPr>
          <w:p>
            <w:r>
              <w:t>✅ PASS</w:t>
            </w:r>
          </w:p>
        </w:tc>
      </w:tr>
      <w:tr>
        <w:tc>
          <w:tcPr>
            <w:tcW w:type="dxa" w:w="2880"/>
          </w:tcPr>
          <w:p>
            <w:r>
              <w:t>CLP (EU) 2024/2865 amendement</w:t>
            </w:r>
          </w:p>
        </w:tc>
        <w:tc>
          <w:tcPr>
            <w:tcW w:type="dxa" w:w="2880"/>
          </w:tcPr>
          <w:p>
            <w:r>
              <w:t>Online geverifieerd</w:t>
            </w:r>
          </w:p>
        </w:tc>
        <w:tc>
          <w:tcPr>
            <w:tcW w:type="dxa" w:w="2880"/>
          </w:tcPr>
          <w:p>
            <w:r>
              <w:t>✅ PASS</w:t>
            </w:r>
          </w:p>
        </w:tc>
      </w:tr>
      <w:tr>
        <w:tc>
          <w:tcPr>
            <w:tcW w:type="dxa" w:w="2880"/>
          </w:tcPr>
          <w:p>
            <w:r>
              <w:t>ADR 2025</w:t>
            </w:r>
          </w:p>
        </w:tc>
        <w:tc>
          <w:tcPr>
            <w:tcW w:type="dxa" w:w="2880"/>
          </w:tcPr>
          <w:p>
            <w:r>
              <w:t>Online geverifieerd</w:t>
            </w:r>
          </w:p>
        </w:tc>
        <w:tc>
          <w:tcPr>
            <w:tcW w:type="dxa" w:w="2880"/>
          </w:tcPr>
          <w:p>
            <w:r>
              <w:t>✅ PASS</w:t>
            </w:r>
          </w:p>
        </w:tc>
      </w:tr>
      <w:tr>
        <w:tc>
          <w:tcPr>
            <w:tcW w:type="dxa" w:w="2880"/>
          </w:tcPr>
          <w:p>
            <w:r>
              <w:t>IEC 61511:2024</w:t>
            </w:r>
          </w:p>
        </w:tc>
        <w:tc>
          <w:tcPr>
            <w:tcW w:type="dxa" w:w="2880"/>
          </w:tcPr>
          <w:p>
            <w:r>
              <w:t>Online geverifieerd</w:t>
            </w:r>
          </w:p>
        </w:tc>
        <w:tc>
          <w:tcPr>
            <w:tcW w:type="dxa" w:w="2880"/>
          </w:tcPr>
          <w:p>
            <w:r>
              <w:t>✅ PASS</w:t>
            </w:r>
          </w:p>
        </w:tc>
      </w:tr>
      <w:tr>
        <w:tc>
          <w:tcPr>
            <w:tcW w:type="dxa" w:w="2880"/>
          </w:tcPr>
          <w:p>
            <w:r>
              <w:t>PGS 15:2025 definitief</w:t>
            </w:r>
          </w:p>
        </w:tc>
        <w:tc>
          <w:tcPr>
            <w:tcW w:type="dxa" w:w="2880"/>
          </w:tcPr>
          <w:p>
            <w:r>
              <w:t>Online geverifieerd</w:t>
            </w:r>
          </w:p>
        </w:tc>
        <w:tc>
          <w:tcPr>
            <w:tcW w:type="dxa" w:w="2880"/>
          </w:tcPr>
          <w:p>
            <w:r>
              <w:t>✅ PASS</w:t>
            </w:r>
          </w:p>
        </w:tc>
      </w:tr>
      <w:tr>
        <w:tc>
          <w:tcPr>
            <w:tcW w:type="dxa" w:w="2880"/>
          </w:tcPr>
          <w:p>
            <w:r>
              <w:t>Sub-groepering structuur</w:t>
            </w:r>
          </w:p>
        </w:tc>
        <w:tc>
          <w:tcPr>
            <w:tcW w:type="dxa" w:w="2880"/>
          </w:tcPr>
          <w:p>
            <w:r>
              <w:t>Director requirement 30-4-2026</w:t>
            </w:r>
          </w:p>
        </w:tc>
        <w:tc>
          <w:tcPr>
            <w:tcW w:type="dxa" w:w="2880"/>
          </w:tcPr>
          <w:p>
            <w:r>
              <w:t>✅ PASS</w:t>
            </w:r>
          </w:p>
        </w:tc>
      </w:tr>
      <w:tr>
        <w:tc>
          <w:tcPr>
            <w:tcW w:type="dxa" w:w="2880"/>
          </w:tcPr>
          <w:p>
            <w:r>
              <w:t>Inhoudelijke diepgang per item</w:t>
            </w:r>
          </w:p>
        </w:tc>
        <w:tc>
          <w:tcPr>
            <w:tcW w:type="dxa" w:w="2880"/>
          </w:tcPr>
          <w:p>
            <w:r>
              <w:t>V3.0 upgrade 30-4-2026</w:t>
            </w:r>
          </w:p>
        </w:tc>
        <w:tc>
          <w:tcPr>
            <w:tcW w:type="dxa" w:w="2880"/>
          </w:tcPr>
          <w:p>
            <w:r>
              <w:t>✅ PASS</w:t>
            </w:r>
          </w:p>
        </w:tc>
      </w:tr>
      <w:tr>
        <w:tc>
          <w:tcPr>
            <w:tcW w:type="dxa" w:w="2880"/>
          </w:tcPr>
          <w:p>
            <w:r>
              <w:t>Geen duplicaten thematische checklists</w:t>
            </w:r>
          </w:p>
        </w:tc>
        <w:tc>
          <w:tcPr>
            <w:tcW w:type="dxa" w:w="2880"/>
          </w:tcPr>
          <w:p>
            <w:r>
              <w:t>Samenvoeging + deduplicatie</w:t>
            </w:r>
          </w:p>
        </w:tc>
        <w:tc>
          <w:tcPr>
            <w:tcW w:type="dxa" w:w="2880"/>
          </w:tcPr>
          <w:p>
            <w:r>
              <w:t>✅ PASS</w:t>
            </w:r>
          </w:p>
        </w:tc>
      </w:tr>
    </w:tbl>
    <w:sectPr w:rsidR="00FC693F" w:rsidRPr="0006063C" w:rsidSect="00034616">
      <w:headerReference w:type="default" r:id="rId9"/>
      <w:footerReference w:type="default" r:id="rId10"/>
      <w:pgSz w:w="12240" w:h="15840"/>
      <w:pgMar w:top="1417"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8"/>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