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PHOENIX METALS PILOT PLANT</w:t>
      </w:r>
    </w:p>
    <w:p>
      <w:pPr>
        <w:pStyle w:val="Heading2"/>
        <w:jc w:val="center"/>
      </w:pPr>
      <w:r>
        <w:t>Integrale Master Checklist Veiligheid &amp; Compliance</w:t>
      </w:r>
    </w:p>
    <w:p>
      <w:pPr>
        <w:pStyle w:val="Heading3"/>
        <w:jc w:val="center"/>
      </w:pPr>
      <w:r>
        <w:t>V2.0 — Golden Standard (Hydrometallurgische Vanadiumextractie, IJmuiden)</w:t>
      </w:r>
    </w:p>
    <w:p>
      <w:pPr/>
    </w:p>
    <w:p>
      <w:pPr/>
      <w:r>
        <w:rPr>
          <w:b/>
        </w:rPr>
        <w:t>Project:</w:t>
      </w:r>
      <w:r>
        <w:tab/>
        <w:t>Phoenix Metals — Pilot Plant Vanadiumextractie uit Staalslakken</w:t>
      </w:r>
    </w:p>
    <w:p>
      <w:pPr/>
      <w:r>
        <w:rPr>
          <w:b/>
        </w:rPr>
        <w:t>Type:</w:t>
      </w:r>
      <w:r>
        <w:tab/>
        <w:t>Integrale Master Checklist V2.0</w:t>
      </w:r>
    </w:p>
    <w:p>
      <w:pPr/>
      <w:r>
        <w:rPr>
          <w:b/>
        </w:rPr>
        <w:t>Auteur:</w:t>
      </w:r>
      <w:r>
        <w:tab/>
        <w:t>JvG Consultancy — HSEQ Engineering</w:t>
      </w:r>
    </w:p>
    <w:p>
      <w:pPr/>
      <w:r>
        <w:rPr>
          <w:b/>
        </w:rPr>
        <w:t>Versie:</w:t>
      </w:r>
      <w:r>
        <w:tab/>
        <w:t>2.0 (Upgrade: 5 nieuwe pijlers + Safe-by-Design)</w:t>
      </w:r>
    </w:p>
    <w:p>
      <w:pPr/>
      <w:r>
        <w:rPr>
          <w:b/>
        </w:rPr>
        <w:t>Datum:</w:t>
      </w:r>
      <w:r>
        <w:tab/>
        <w:t>30 april 2026</w:t>
      </w:r>
    </w:p>
    <w:p>
      <w:pPr/>
      <w:r>
        <w:rPr>
          <w:b/>
        </w:rPr>
        <w:t>Status:</w:t>
      </w:r>
      <w:r>
        <w:tab/>
        <w:t>DEFINITIEF</w:t>
      </w:r>
    </w:p>
    <w:p>
      <w:pPr/>
    </w:p>
    <w:p>
      <w:pPr/>
      <w:r>
        <w:t>Deze versie bevat 5 nieuwe pijlers (OT Cybersecurity, Human Factors, Contractor Management, Advanced Commissioning, Future-Proof Milieu) plus een Safe-by-Design verdieping voor de ontwikkelingsfase.</w:t>
      </w:r>
    </w:p>
    <w:p>
      <w:r>
        <w:br w:type="page"/>
      </w:r>
    </w:p>
    <w:p>
      <w:pPr>
        <w:pStyle w:val="Heading1"/>
      </w:pPr>
      <w:r>
        <w:t>1. Inleiding</w:t>
      </w:r>
    </w:p>
    <w:p>
      <w:pPr/>
      <w:r>
        <w:t>Deze Integrale Master Checklist V2.0 biedt een uitputtende roadmap voor veilige bouw, inbedrijfname en exploitatie van de Phoenix Metals Pilot Plant voor vanadiumextractie uit staalslakken in IJmuiden.</w:t>
      </w:r>
    </w:p>
    <w:p>
      <w:pPr/>
      <w:r>
        <w:rPr>
          <w:b/>
        </w:rPr>
        <w:t>V2.0 uitbreidingen t.o.v. V1.0:</w:t>
      </w:r>
    </w:p>
    <w:p>
      <w:pPr>
        <w:pStyle w:val="ListBullet"/>
      </w:pPr>
      <w:r>
        <w:rPr>
          <w:sz w:val="20"/>
        </w:rPr>
        <w:t>☐ Pijler 1: OT Cybersecurity &amp; Procesautomatisering (IEC 62443)</w:t>
      </w:r>
    </w:p>
    <w:p>
      <w:pPr>
        <w:pStyle w:val="ListBullet"/>
      </w:pPr>
      <w:r>
        <w:rPr>
          <w:sz w:val="20"/>
        </w:rPr>
        <w:t>☐ Pijler 2: Human Factors &amp; Alarm Management (ISO 11064, ISA-18.2)</w:t>
      </w:r>
    </w:p>
    <w:p>
      <w:pPr>
        <w:pStyle w:val="ListBullet"/>
      </w:pPr>
      <w:r>
        <w:rPr>
          <w:sz w:val="20"/>
        </w:rPr>
        <w:t>☐ Pijler 3: Geavanceerd Contractor Management (Digitaal PtW, TRA/LMRA)</w:t>
      </w:r>
    </w:p>
    <w:p>
      <w:pPr>
        <w:pStyle w:val="ListBullet"/>
      </w:pPr>
      <w:r>
        <w:rPr>
          <w:sz w:val="20"/>
        </w:rPr>
        <w:t>☐ Pijler 4: Diepgaande Pre-Commissioning &amp; Start-up (Water batching, Chemical cleaning)</w:t>
      </w:r>
    </w:p>
    <w:p>
      <w:pPr>
        <w:pStyle w:val="ListBullet"/>
      </w:pPr>
      <w:r>
        <w:rPr>
          <w:sz w:val="20"/>
        </w:rPr>
        <w:t>☐ Pijler 5: Future-Proof Milieu &amp; Incidentbestrijding (PFAS-vrij, spill containment)</w:t>
      </w:r>
    </w:p>
    <w:p>
      <w:pPr>
        <w:pStyle w:val="ListBullet"/>
      </w:pPr>
      <w:r>
        <w:rPr>
          <w:sz w:val="20"/>
        </w:rPr>
        <w:t>☐ Safe-by-Design: CE Samenstel, ZZS-minimisatietoets, HAZOP/LOPA/SIL Gates, Corrosie, 3D-model reviews</w:t>
      </w:r>
    </w:p>
    <w:p>
      <w:pPr/>
      <w:r>
        <w:t>Scope: 18 thema's, 45+ wetgevingen, 320+ checklist items. Alle verwijzingen zijn online geverifieerd per 30 april 2026.</w:t>
      </w:r>
    </w:p>
    <w:p>
      <w:r>
        <w:br w:type="page"/>
      </w:r>
    </w:p>
    <w:p>
      <w:pPr>
        <w:pStyle w:val="Heading1"/>
      </w:pPr>
      <w:r>
        <w:t>2. Projectfases</w:t>
      </w:r>
    </w:p>
    <w:p>
      <w:pPr>
        <w:pStyle w:val="Heading2"/>
      </w:pPr>
      <w:r>
        <w:t>2.1 Ontwerpfase — Safe by Design &amp; Engineering Compliance</w:t>
      </w:r>
    </w:p>
    <w:p>
      <w:pPr>
        <w:pStyle w:val="Heading3"/>
      </w:pPr>
      <w:r>
        <w:t>2.1.1 Arbo &amp; Veiligheid Ontwerp</w:t>
      </w:r>
    </w:p>
    <w:p>
      <w:pPr>
        <w:pStyle w:val="ListBullet"/>
      </w:pPr>
      <w:r>
        <w:rPr>
          <w:sz w:val="20"/>
        </w:rPr>
        <w:t>☐ RI&amp;E (Risico-Inventarisatie &amp; -Evaluatie) opgesteld voor pilot plant ontwerp [5]</w:t>
      </w:r>
    </w:p>
    <w:p>
      <w:pPr>
        <w:pStyle w:val="ListBullet"/>
      </w:pPr>
      <w:r>
        <w:rPr>
          <w:sz w:val="20"/>
        </w:rPr>
        <w:t>☐ Arbobesluit (zoals geldend per 2026) — alle relevante artikelen geïdentificeerd</w:t>
      </w:r>
    </w:p>
    <w:p>
      <w:pPr>
        <w:pStyle w:val="ListBullet"/>
      </w:pPr>
      <w:r>
        <w:rPr>
          <w:sz w:val="20"/>
        </w:rPr>
        <w:t>☐ Stofexplosiedocument (Kst-waarde) opgesteld voor vanadiumstof en slib [6]</w:t>
      </w:r>
    </w:p>
    <w:p>
      <w:pPr>
        <w:pStyle w:val="ListBullet"/>
      </w:pPr>
      <w:r>
        <w:rPr>
          <w:sz w:val="20"/>
        </w:rPr>
        <w:t>☐ Geluidsberekening (IMOS) uitgevoerd — grenswaarden Arbobesluit [7]</w:t>
      </w:r>
    </w:p>
    <w:p>
      <w:pPr>
        <w:pStyle w:val="ListBullet"/>
      </w:pPr>
      <w:r>
        <w:rPr>
          <w:sz w:val="20"/>
        </w:rPr>
        <w:t>☐ Binnenklimaatontwerp (ventilatie, temperatuur) conform Arbobesluit [8]</w:t>
      </w:r>
    </w:p>
    <w:p>
      <w:pPr>
        <w:pStyle w:val="Heading3"/>
      </w:pPr>
      <w:r>
        <w:t>2.1.2 OT Cybersecurity &amp; Procesautomatisering</w:t>
      </w:r>
    </w:p>
    <w:p>
      <w:pPr>
        <w:pStyle w:val="ListBullet"/>
      </w:pPr>
      <w:r>
        <w:rPr>
          <w:sz w:val="20"/>
        </w:rPr>
        <w:t>☐ ICS/SCADA systeemarchitectuur ontworpen conform IEC 62443 [13]</w:t>
      </w:r>
    </w:p>
    <w:p>
      <w:pPr>
        <w:pStyle w:val="ListBullet"/>
      </w:pPr>
      <w:r>
        <w:rPr>
          <w:sz w:val="20"/>
        </w:rPr>
        <w:t>☐ Netwerksegmentatie OT/IT (demilitarized zone, firewall architectuur)</w:t>
      </w:r>
    </w:p>
    <w:p>
      <w:pPr>
        <w:pStyle w:val="ListBullet"/>
      </w:pPr>
      <w:r>
        <w:rPr>
          <w:sz w:val="20"/>
        </w:rPr>
        <w:t>☐ Security Level (SL) bepaald per zone en conduit (IEC 62443-3-3)</w:t>
      </w:r>
    </w:p>
    <w:p>
      <w:pPr>
        <w:pStyle w:val="ListBullet"/>
      </w:pPr>
      <w:r>
        <w:rPr>
          <w:sz w:val="20"/>
        </w:rPr>
        <w:t>☐ Patch management strategie voor OT systemen vastgelegd</w:t>
      </w:r>
    </w:p>
    <w:p>
      <w:pPr>
        <w:pStyle w:val="ListBullet"/>
      </w:pPr>
      <w:r>
        <w:rPr>
          <w:sz w:val="20"/>
        </w:rPr>
        <w:t>☐ Remote access beveiliging (VPN, MFA, bastion host) ontworpen</w:t>
      </w:r>
    </w:p>
    <w:p>
      <w:pPr>
        <w:pStyle w:val="ListBullet"/>
      </w:pPr>
      <w:r>
        <w:rPr>
          <w:sz w:val="20"/>
        </w:rPr>
        <w:t>☐ Backup en disaster recovery plan voor DCS/SCADA</w:t>
      </w:r>
    </w:p>
    <w:p>
      <w:pPr>
        <w:pStyle w:val="ListBullet"/>
      </w:pPr>
      <w:r>
        <w:rPr>
          <w:sz w:val="20"/>
        </w:rPr>
        <w:t>☐ PEN-test planning voor OT netwerk (jaarlijks + na wijzigingen)</w:t>
      </w:r>
    </w:p>
    <w:p>
      <w:pPr>
        <w:pStyle w:val="Heading3"/>
      </w:pPr>
      <w:r>
        <w:t>2.1.3 Human Factors &amp; Alarm Management</w:t>
      </w:r>
    </w:p>
    <w:p>
      <w:pPr>
        <w:pStyle w:val="ListBullet"/>
      </w:pPr>
      <w:r>
        <w:rPr>
          <w:sz w:val="20"/>
        </w:rPr>
        <w:t>☐ Control Room design conform NEN-EN-ISO 11064 [14]</w:t>
      </w:r>
    </w:p>
    <w:p>
      <w:pPr>
        <w:pStyle w:val="ListBullet"/>
      </w:pPr>
      <w:r>
        <w:rPr>
          <w:sz w:val="20"/>
        </w:rPr>
        <w:t>☐ Alarm Management strategie conform ISA-18.2 / IEC 62682 [15]</w:t>
      </w:r>
    </w:p>
    <w:p>
      <w:pPr>
        <w:pStyle w:val="ListBullet"/>
      </w:pPr>
      <w:r>
        <w:rPr>
          <w:sz w:val="20"/>
        </w:rPr>
        <w:t>☐ HMI design richtlijnen (EEMUA 201, ISA-101) vastgelegd</w:t>
      </w:r>
    </w:p>
    <w:p>
      <w:pPr>
        <w:pStyle w:val="ListBullet"/>
      </w:pPr>
      <w:r>
        <w:rPr>
          <w:sz w:val="20"/>
        </w:rPr>
        <w:t>☐ Human Reliability Analysis (HRA) uitgevoerd</w:t>
      </w:r>
    </w:p>
    <w:p>
      <w:pPr>
        <w:pStyle w:val="ListBullet"/>
      </w:pPr>
      <w:r>
        <w:rPr>
          <w:sz w:val="20"/>
        </w:rPr>
        <w:t>☐ Operator workload analyse voltooid</w:t>
      </w:r>
    </w:p>
    <w:p>
      <w:pPr>
        <w:pStyle w:val="Heading3"/>
      </w:pPr>
      <w:r>
        <w:t>2.1.4 CE-Markering Samenstel</w:t>
      </w:r>
    </w:p>
    <w:p>
      <w:pPr>
        <w:pStyle w:val="ListBullet"/>
      </w:pPr>
      <w:r>
        <w:rPr>
          <w:sz w:val="20"/>
        </w:rPr>
        <w:t>☐ CE-verantwoordelijkheid voor gehele installatie als 'Samenstel van machines' vastgelegd</w:t>
      </w:r>
    </w:p>
    <w:p>
      <w:pPr>
        <w:pStyle w:val="ListBullet"/>
      </w:pPr>
      <w:r>
        <w:rPr>
          <w:sz w:val="20"/>
        </w:rPr>
        <w:t>☐ Technisch Constructiedossier (TCD) samengesteld per Machinerichtlijn (EU) 2023/1230</w:t>
      </w:r>
    </w:p>
    <w:p>
      <w:pPr>
        <w:pStyle w:val="ListBullet"/>
      </w:pPr>
      <w:r>
        <w:rPr>
          <w:sz w:val="20"/>
        </w:rPr>
        <w:t>☐ IIA-verklaring (Ingebruiknameverklaring) opgesteld</w:t>
      </w:r>
    </w:p>
    <w:p>
      <w:pPr>
        <w:pStyle w:val="ListBullet"/>
      </w:pPr>
      <w:r>
        <w:rPr>
          <w:sz w:val="20"/>
        </w:rPr>
        <w:t>☐ Risicoanalyse samenstellingsrisico's (interacties tussen machines) uitgevoerd</w:t>
      </w:r>
    </w:p>
    <w:p>
      <w:pPr>
        <w:pStyle w:val="ListBullet"/>
      </w:pPr>
      <w:r>
        <w:rPr>
          <w:sz w:val="20"/>
        </w:rPr>
        <w:t>☐ Verklaring van overeenstemming per sub-systeem beschikbaar</w:t>
      </w:r>
    </w:p>
    <w:p>
      <w:pPr>
        <w:pStyle w:val="ListBullet"/>
      </w:pPr>
      <w:r>
        <w:rPr>
          <w:sz w:val="20"/>
        </w:rPr>
        <w:t>☐ Integratielijst van alle CE-gemarkeerde apparaten binnen de samenstelling</w:t>
      </w:r>
    </w:p>
    <w:p>
      <w:pPr>
        <w:pStyle w:val="Heading3"/>
      </w:pPr>
      <w:r>
        <w:t>2.1.5 Milieu &amp; Emissieontwerp (Omgevingswet)</w:t>
      </w:r>
    </w:p>
    <w:p>
      <w:pPr>
        <w:pStyle w:val="ListBullet"/>
      </w:pPr>
      <w:r>
        <w:rPr>
          <w:sz w:val="20"/>
        </w:rPr>
        <w:t>☐ ZZS-minimisatietoets uitgevoerd voor vanadiumverbindingen</w:t>
      </w:r>
    </w:p>
    <w:p>
      <w:pPr>
        <w:pStyle w:val="ListBullet"/>
      </w:pPr>
      <w:r>
        <w:rPr>
          <w:sz w:val="20"/>
        </w:rPr>
        <w:t>☐ ZZS-minimisatietoets voor zuuremissies (H2SO4, HCl) via lucht</w:t>
      </w:r>
    </w:p>
    <w:p>
      <w:pPr>
        <w:pStyle w:val="ListBullet"/>
      </w:pPr>
      <w:r>
        <w:rPr>
          <w:sz w:val="20"/>
        </w:rPr>
        <w:t>☐ ZZS-minimisatietoets voor emissies via afvalwater (vanadium, zware metalen)</w:t>
      </w:r>
    </w:p>
    <w:p>
      <w:pPr>
        <w:pStyle w:val="ListBullet"/>
      </w:pPr>
      <w:r>
        <w:rPr>
          <w:sz w:val="20"/>
        </w:rPr>
        <w:t>☐ Filtertechnieken geselecteerd: WESP of equivalent voor stofemissie</w:t>
      </w:r>
    </w:p>
    <w:p>
      <w:pPr>
        <w:pStyle w:val="ListBullet"/>
      </w:pPr>
      <w:r>
        <w:rPr>
          <w:sz w:val="20"/>
        </w:rPr>
        <w:t>☐ Gaswassers (scrubbers) gedimensioneerd voor zure dampen</w:t>
      </w:r>
    </w:p>
    <w:p>
      <w:pPr>
        <w:pStyle w:val="ListBullet"/>
      </w:pPr>
      <w:r>
        <w:rPr>
          <w:sz w:val="20"/>
        </w:rPr>
        <w:t>☐ Afvalwaterzuivering ontworpen (neutrale buffer, precipitatie vanadium, pH-correctie)</w:t>
      </w:r>
    </w:p>
    <w:p>
      <w:pPr>
        <w:pStyle w:val="ListBullet"/>
      </w:pPr>
      <w:r>
        <w:rPr>
          <w:sz w:val="20"/>
        </w:rPr>
        <w:t>☐ BBT (Best Beschikbare Technieken) documentatie conform Bal</w:t>
      </w:r>
    </w:p>
    <w:p>
      <w:pPr>
        <w:pStyle w:val="ListBullet"/>
      </w:pPr>
      <w:r>
        <w:rPr>
          <w:sz w:val="20"/>
        </w:rPr>
        <w:t>☐ Emissiegrenswaarden vertaald naar ontwerpparameters (lucht: mg/Nm³, water: mg/l)</w:t>
      </w:r>
    </w:p>
    <w:p>
      <w:pPr>
        <w:pStyle w:val="Heading3"/>
      </w:pPr>
      <w:r>
        <w:t>2.1.6 Procesveiligheid Gates (Formele Stop/Go momenten)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Gate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Studie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Moment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Goedkeuring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Gate 1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HAZID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Concept Design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Plant Manager + HSEQ Manager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Gate 2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HAZOP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Front End Engineering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Plant Manager + HSEQ Manager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Gate 3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LOPA + SIL-classificatie (IEC 61511:2024)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Detail Engineering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Plant Manager + HSEQ Manager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Gate 4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PSSR #1 (ontwerp review)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Pre-Construction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Plant Manager + HSEQ Manager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Gate 5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PSSR #2 (as-built review)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Pre-Commissioning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Plant Manager + HSEQ Manager</w:t>
            </w:r>
          </w:p>
        </w:tc>
      </w:tr>
    </w:tbl>
    <w:p>
      <w:pPr>
        <w:pStyle w:val="ListBullet"/>
      </w:pPr>
      <w:r>
        <w:rPr>
          <w:sz w:val="20"/>
        </w:rPr>
        <w:t>☐ Alle gates hebben formele GO/NO-GO beslissing</w:t>
      </w:r>
    </w:p>
    <w:p>
      <w:pPr>
        <w:pStyle w:val="ListBullet"/>
      </w:pPr>
      <w:r>
        <w:rPr>
          <w:sz w:val="20"/>
        </w:rPr>
        <w:t>☐ Action items per gate hebben tracking (open → closed)</w:t>
      </w:r>
    </w:p>
    <w:p>
      <w:pPr>
        <w:pStyle w:val="Heading3"/>
      </w:pPr>
      <w:r>
        <w:t>2.1.7 Degradatie &amp; Corrosie</w:t>
      </w:r>
    </w:p>
    <w:p>
      <w:pPr>
        <w:pStyle w:val="ListBullet"/>
      </w:pPr>
      <w:r>
        <w:rPr>
          <w:sz w:val="20"/>
        </w:rPr>
        <w:t>☐ Materiaalselectie-studie uitgevoerd (NACE MR0175 / ISO 21462 waar relevant)</w:t>
      </w:r>
    </w:p>
    <w:p>
      <w:pPr>
        <w:pStyle w:val="ListBullet"/>
      </w:pPr>
      <w:r>
        <w:rPr>
          <w:sz w:val="20"/>
        </w:rPr>
        <w:t>☐ Corrosiestudie voor hydrometallurgisch proces (H2SO4, HCl, V₂O₅ oplossingen)</w:t>
      </w:r>
    </w:p>
    <w:p>
      <w:pPr>
        <w:pStyle w:val="ListBullet"/>
      </w:pPr>
      <w:r>
        <w:rPr>
          <w:sz w:val="20"/>
        </w:rPr>
        <w:t>☐ CUI (Corrosion Under Insulation) inspectieprogramma ontworpen</w:t>
      </w:r>
    </w:p>
    <w:p>
      <w:pPr>
        <w:pStyle w:val="ListBullet"/>
      </w:pPr>
      <w:r>
        <w:rPr>
          <w:sz w:val="20"/>
        </w:rPr>
        <w:t>☐ Materiaalkeuze per medium: legeringen, kunststoffen, bekledingen gedocumenteerd</w:t>
      </w:r>
    </w:p>
    <w:p>
      <w:pPr>
        <w:pStyle w:val="ListBullet"/>
      </w:pPr>
      <w:r>
        <w:rPr>
          <w:sz w:val="20"/>
        </w:rPr>
        <w:t>☐ Inspectie- en vervangingsregime corrosiegevoelige onderdelen vastgelegd</w:t>
      </w:r>
    </w:p>
    <w:p>
      <w:pPr>
        <w:pStyle w:val="ListBullet"/>
      </w:pPr>
      <w:r>
        <w:rPr>
          <w:sz w:val="20"/>
        </w:rPr>
        <w:t>☐ Sacrificiële anoden / kathodische bescherming beoordeeld</w:t>
      </w:r>
    </w:p>
    <w:p>
      <w:pPr>
        <w:pStyle w:val="ListBullet"/>
      </w:pPr>
      <w:r>
        <w:rPr>
          <w:sz w:val="20"/>
        </w:rPr>
        <w:t>☐ Proefstukken (coupons) geplaatst voor corrosiemonitoring</w:t>
      </w:r>
    </w:p>
    <w:p>
      <w:pPr>
        <w:pStyle w:val="Heading3"/>
      </w:pPr>
      <w:r>
        <w:t>2.1.8 Onderhoudbaarheid &amp; Ergonomie (Arbowet)</w:t>
      </w:r>
    </w:p>
    <w:p>
      <w:pPr>
        <w:pStyle w:val="ListBullet"/>
      </w:pPr>
      <w:r>
        <w:rPr>
          <w:sz w:val="20"/>
        </w:rPr>
        <w:t>☐ 3D-model review 30% (concept): onderhoudsruimte, hijsvoorzieningen, toegankelijkheid</w:t>
      </w:r>
    </w:p>
    <w:p>
      <w:pPr>
        <w:pStyle w:val="ListBullet"/>
      </w:pPr>
      <w:r>
        <w:rPr>
          <w:sz w:val="20"/>
        </w:rPr>
        <w:t>☐ 3D-model review 60% (detail): afsluiterbereikbaarheid, ergonomie, platformhoogtes</w:t>
      </w:r>
    </w:p>
    <w:p>
      <w:pPr>
        <w:pStyle w:val="ListBullet"/>
      </w:pPr>
      <w:r>
        <w:rPr>
          <w:sz w:val="20"/>
        </w:rPr>
        <w:t>☐ 3D-model review 90% (constructie): finale check hijs- en toegankelijkheid</w:t>
      </w:r>
    </w:p>
    <w:p>
      <w:pPr>
        <w:pStyle w:val="ListBullet"/>
      </w:pPr>
      <w:r>
        <w:rPr>
          <w:sz w:val="20"/>
        </w:rPr>
        <w:t>☐ Hijs- en tillplan: hijsogen, takelponen, brugkraan capaciteit per locatie</w:t>
      </w:r>
    </w:p>
    <w:p>
      <w:pPr>
        <w:pStyle w:val="ListBullet"/>
      </w:pPr>
      <w:r>
        <w:rPr>
          <w:sz w:val="20"/>
        </w:rPr>
        <w:t>☐ Veilige bereikbaarheid afsluiters (max 2,1 m hoogte, platform bij hoge locaties)</w:t>
      </w:r>
    </w:p>
    <w:p>
      <w:pPr>
        <w:pStyle w:val="ListBullet"/>
      </w:pPr>
      <w:r>
        <w:rPr>
          <w:sz w:val="20"/>
        </w:rPr>
        <w:t>☐ Ergonomische werkhoogtes (min 70 cm, max 120 cm voor handelingen)</w:t>
      </w:r>
    </w:p>
    <w:p>
      <w:pPr>
        <w:pStyle w:val="ListBullet"/>
      </w:pPr>
      <w:r>
        <w:rPr>
          <w:sz w:val="20"/>
        </w:rPr>
        <w:t>☐ Valbeveiliging bij onderhoudswerkzaamheden op hoogte</w:t>
      </w:r>
    </w:p>
    <w:p>
      <w:pPr>
        <w:pStyle w:val="ListBullet"/>
      </w:pPr>
      <w:r>
        <w:rPr>
          <w:sz w:val="20"/>
        </w:rPr>
        <w:t>☐ Verlichting voldoende voor onderhoudswerk (minimaal 300 lux)</w:t>
      </w:r>
    </w:p>
    <w:p>
      <w:pPr>
        <w:pStyle w:val="ListBullet"/>
      </w:pPr>
      <w:r>
        <w:rPr>
          <w:sz w:val="20"/>
        </w:rPr>
        <w:t>☐ Alle items opgenomen in RI&amp;E</w:t>
      </w:r>
    </w:p>
    <w:p>
      <w:pPr>
        <w:pStyle w:val="Heading2"/>
      </w:pPr>
      <w:r>
        <w:t>2.2 Bouwfase — Contractor &amp; Permit to Work</w:t>
      </w:r>
    </w:p>
    <w:p>
      <w:pPr>
        <w:pStyle w:val="ListBullet"/>
      </w:pPr>
      <w:r>
        <w:rPr>
          <w:sz w:val="20"/>
        </w:rPr>
        <w:t>☐ Digitaal Permit to Work (PtW) systeem geïmplementeerd</w:t>
      </w:r>
    </w:p>
    <w:p>
      <w:pPr>
        <w:pStyle w:val="ListBullet"/>
      </w:pPr>
      <w:r>
        <w:rPr>
          <w:sz w:val="20"/>
        </w:rPr>
        <w:t>☐ TRA (Task Risk Analysis) verplicht voor alle kritieke werkzaamheden</w:t>
      </w:r>
    </w:p>
    <w:p>
      <w:pPr>
        <w:pStyle w:val="ListBullet"/>
      </w:pPr>
      <w:r>
        <w:rPr>
          <w:sz w:val="20"/>
        </w:rPr>
        <w:t>☐ LMRA (Last Minute Risk Analysis) verplicht bij start elke shift</w:t>
      </w:r>
    </w:p>
    <w:p>
      <w:pPr>
        <w:pStyle w:val="ListBullet"/>
      </w:pPr>
      <w:r>
        <w:rPr>
          <w:sz w:val="20"/>
        </w:rPr>
        <w:t>☐ Gatekeeper protocol voor aannemers (inductie, VCA-check, competentie verificatie)</w:t>
      </w:r>
    </w:p>
    <w:p>
      <w:pPr>
        <w:pStyle w:val="ListBullet"/>
      </w:pPr>
      <w:r>
        <w:rPr>
          <w:sz w:val="20"/>
        </w:rPr>
        <w:t>☐ Hot Work vergunningssysteem (digitaal, met gasmeting verplicht)</w:t>
      </w:r>
    </w:p>
    <w:p>
      <w:pPr>
        <w:pStyle w:val="ListBullet"/>
      </w:pPr>
      <w:r>
        <w:rPr>
          <w:sz w:val="20"/>
        </w:rPr>
        <w:t>☐ Confined Space vergunningssysteem (attendant, rescue plan)</w:t>
      </w:r>
    </w:p>
    <w:p>
      <w:pPr>
        <w:pStyle w:val="ListBullet"/>
      </w:pPr>
      <w:r>
        <w:rPr>
          <w:sz w:val="20"/>
        </w:rPr>
        <w:t>☐ Excavation/Ground Disturbance vergunningssysteem</w:t>
      </w:r>
    </w:p>
    <w:p>
      <w:pPr>
        <w:pStyle w:val="ListBullet"/>
      </w:pPr>
      <w:r>
        <w:rPr>
          <w:sz w:val="20"/>
        </w:rPr>
        <w:t>☐ LOTO integratie met PtW (energie-isolatie verplicht vóór werk)</w:t>
      </w:r>
    </w:p>
    <w:p>
      <w:pPr>
        <w:pStyle w:val="ListBullet"/>
      </w:pPr>
      <w:r>
        <w:rPr>
          <w:sz w:val="20"/>
        </w:rPr>
        <w:t>☐ SIMOPS (Simultane Operations) coördinatie protocol</w:t>
      </w:r>
    </w:p>
    <w:p>
      <w:pPr>
        <w:pStyle w:val="ListBullet"/>
      </w:pPr>
      <w:r>
        <w:rPr>
          <w:sz w:val="20"/>
        </w:rPr>
        <w:t>☐ Toolbox meetings dagelijks verplicht</w:t>
      </w:r>
    </w:p>
    <w:p>
      <w:pPr>
        <w:pStyle w:val="ListBullet"/>
      </w:pPr>
      <w:r>
        <w:rPr>
          <w:sz w:val="20"/>
        </w:rPr>
        <w:t>☐ VCA** certificering verplicht voor alle aannemers</w:t>
      </w:r>
    </w:p>
    <w:p>
      <w:pPr>
        <w:pStyle w:val="ListBullet"/>
      </w:pPr>
      <w:r>
        <w:rPr>
          <w:sz w:val="20"/>
        </w:rPr>
        <w:t>☐ Aannemers pre-qualificatie en selectie procedure</w:t>
      </w:r>
    </w:p>
    <w:p>
      <w:pPr>
        <w:pStyle w:val="Heading2"/>
      </w:pPr>
      <w:r>
        <w:t>2.3 Installatie — Pre-Commissioning &amp; Start-up</w:t>
      </w:r>
    </w:p>
    <w:p>
      <w:pPr>
        <w:pStyle w:val="Heading3"/>
      </w:pPr>
      <w:r>
        <w:t>2.3.1 Pre-Commissioning</w:t>
      </w:r>
    </w:p>
    <w:p>
      <w:pPr>
        <w:pStyle w:val="ListBullet"/>
      </w:pPr>
      <w:r>
        <w:rPr>
          <w:sz w:val="20"/>
        </w:rPr>
        <w:t>☐ Loop checking (instrumentatie, 100% verificatie)</w:t>
      </w:r>
    </w:p>
    <w:p>
      <w:pPr>
        <w:pStyle w:val="ListBullet"/>
      </w:pPr>
      <w:r>
        <w:rPr>
          <w:sz w:val="20"/>
        </w:rPr>
        <w:t>☐ Cable checking (I/O testing, continuïteit, isolatieweerstand)</w:t>
      </w:r>
    </w:p>
    <w:p>
      <w:pPr>
        <w:pStyle w:val="ListBullet"/>
      </w:pPr>
      <w:r>
        <w:rPr>
          <w:sz w:val="20"/>
        </w:rPr>
        <w:t>☐ Motor checks (draairichting, stroomopname, trillingen)</w:t>
      </w:r>
    </w:p>
    <w:p>
      <w:pPr>
        <w:pStyle w:val="ListBullet"/>
      </w:pPr>
      <w:r>
        <w:rPr>
          <w:sz w:val="20"/>
        </w:rPr>
        <w:t>☐ Drukproeven (piping, lekdichtheid, conform PED)</w:t>
      </w:r>
    </w:p>
    <w:p>
      <w:pPr>
        <w:pStyle w:val="ListBullet"/>
      </w:pPr>
      <w:r>
        <w:rPr>
          <w:sz w:val="20"/>
        </w:rPr>
        <w:t>☐ NDT inspecties (radiografie, ultrasoon, penetrant)</w:t>
      </w:r>
    </w:p>
    <w:p>
      <w:pPr>
        <w:pStyle w:val="Heading3"/>
      </w:pPr>
      <w:r>
        <w:t>2.3.2 Water Batching &amp; Runs</w:t>
      </w:r>
    </w:p>
    <w:p>
      <w:pPr>
        <w:pStyle w:val="ListBullet"/>
      </w:pPr>
      <w:r>
        <w:rPr>
          <w:sz w:val="20"/>
        </w:rPr>
        <w:t>☐ Water batching (systeemsloop met water, lekdichtheid)</w:t>
      </w:r>
    </w:p>
    <w:p>
      <w:pPr>
        <w:pStyle w:val="ListBullet"/>
      </w:pPr>
      <w:r>
        <w:rPr>
          <w:sz w:val="20"/>
        </w:rPr>
        <w:t>☐ Water run (uitgebreide test met water, flow/pressure/drukval)</w:t>
      </w:r>
    </w:p>
    <w:p>
      <w:pPr>
        <w:pStyle w:val="ListBullet"/>
      </w:pPr>
      <w:r>
        <w:rPr>
          <w:sz w:val="20"/>
        </w:rPr>
        <w:t>☐ Punchlist afronding (alle A-punten opgelost)</w:t>
      </w:r>
    </w:p>
    <w:p>
      <w:pPr>
        <w:pStyle w:val="ListBullet"/>
      </w:pPr>
      <w:r>
        <w:rPr>
          <w:sz w:val="20"/>
        </w:rPr>
        <w:t>☐ Flushen/schoonmaken leidingen (pigging indien nodig)</w:t>
      </w:r>
    </w:p>
    <w:p>
      <w:pPr>
        <w:pStyle w:val="Heading3"/>
      </w:pPr>
      <w:r>
        <w:t>2.3.3 Chemical Cleaning</w:t>
      </w:r>
    </w:p>
    <w:p>
      <w:pPr>
        <w:pStyle w:val="ListBullet"/>
      </w:pPr>
      <w:r>
        <w:rPr>
          <w:sz w:val="20"/>
        </w:rPr>
        <w:t>☐ Chemical cleaning protocol (zuur, base, flush)</w:t>
      </w:r>
    </w:p>
    <w:p>
      <w:pPr>
        <w:pStyle w:val="ListBullet"/>
      </w:pPr>
      <w:r>
        <w:rPr>
          <w:sz w:val="20"/>
        </w:rPr>
        <w:t>☐ Passivatie (roestvrijstaal leidingen)</w:t>
      </w:r>
    </w:p>
    <w:p>
      <w:pPr>
        <w:pStyle w:val="ListBullet"/>
      </w:pPr>
      <w:r>
        <w:rPr>
          <w:sz w:val="20"/>
        </w:rPr>
        <w:t>☐ Afvoer cleaning chemicaliën (afvalwater vergunning)</w:t>
      </w:r>
    </w:p>
    <w:p>
      <w:pPr>
        <w:pStyle w:val="ListBullet"/>
      </w:pPr>
      <w:r>
        <w:rPr>
          <w:sz w:val="20"/>
        </w:rPr>
        <w:t>☐ Veiligheidsmaatregelen chemical cleaning (PBM's, ventilatie)</w:t>
      </w:r>
    </w:p>
    <w:p>
      <w:pPr>
        <w:pStyle w:val="Heading3"/>
      </w:pPr>
      <w:r>
        <w:t>2.3.4 Introduction of Hazardous Chemicals</w:t>
      </w:r>
    </w:p>
    <w:p>
      <w:pPr>
        <w:pStyle w:val="ListBullet"/>
      </w:pPr>
      <w:r>
        <w:rPr>
          <w:sz w:val="20"/>
        </w:rPr>
        <w:t>☐ Langzaam introduceren (10%, 25%, 50%, 100% stapsgewijs)</w:t>
      </w:r>
    </w:p>
    <w:p>
      <w:pPr>
        <w:pStyle w:val="ListBullet"/>
      </w:pPr>
      <w:r>
        <w:rPr>
          <w:sz w:val="20"/>
        </w:rPr>
        <w:t>☐ Continue monitoring (gasdetectie, lekdetectie, temperatuur)</w:t>
      </w:r>
    </w:p>
    <w:p>
      <w:pPr>
        <w:pStyle w:val="ListBullet"/>
      </w:pPr>
      <w:r>
        <w:rPr>
          <w:sz w:val="20"/>
        </w:rPr>
        <w:t>☐ Emergency shutdown procedure getest</w:t>
      </w:r>
    </w:p>
    <w:p>
      <w:pPr>
        <w:pStyle w:val="ListBullet"/>
      </w:pPr>
      <w:r>
        <w:rPr>
          <w:sz w:val="20"/>
        </w:rPr>
        <w:t>☐ Emergency response team standby</w:t>
      </w:r>
    </w:p>
    <w:p>
      <w:pPr>
        <w:pStyle w:val="ListBullet"/>
      </w:pPr>
      <w:r>
        <w:rPr>
          <w:sz w:val="20"/>
        </w:rPr>
        <w:t>☐ PSSR final check (volledig afgetekend)</w:t>
      </w:r>
    </w:p>
    <w:p>
      <w:pPr>
        <w:pStyle w:val="ListBullet"/>
      </w:pPr>
      <w:r>
        <w:rPr>
          <w:sz w:val="20"/>
        </w:rPr>
        <w:t>☐ Hot commissioning protocol goedgekeurd door Plant Manager</w:t>
      </w:r>
    </w:p>
    <w:p>
      <w:pPr>
        <w:pStyle w:val="Heading2"/>
      </w:pPr>
      <w:r>
        <w:t>2.4 Oplevering — Performance Testing</w:t>
      </w:r>
    </w:p>
    <w:p>
      <w:pPr>
        <w:pStyle w:val="ListBullet"/>
      </w:pPr>
      <w:r>
        <w:rPr>
          <w:sz w:val="20"/>
        </w:rPr>
        <w:t>☐ Capaciteitstest (ontwerp-capaciteit bereikt?)</w:t>
      </w:r>
    </w:p>
    <w:p>
      <w:pPr>
        <w:pStyle w:val="ListBullet"/>
      </w:pPr>
      <w:r>
        <w:rPr>
          <w:sz w:val="20"/>
        </w:rPr>
        <w:t>☐ Kwaliteitstest (product specificaties behaald?)</w:t>
      </w:r>
    </w:p>
    <w:p>
      <w:pPr>
        <w:pStyle w:val="ListBullet"/>
      </w:pPr>
      <w:r>
        <w:rPr>
          <w:sz w:val="20"/>
        </w:rPr>
        <w:t>☐ Efficiëntie test (energie, chemisch verbruik vs ontwerp)</w:t>
      </w:r>
    </w:p>
    <w:p>
      <w:pPr>
        <w:pStyle w:val="ListBullet"/>
      </w:pPr>
      <w:r>
        <w:rPr>
          <w:sz w:val="20"/>
        </w:rPr>
        <w:t>☐ 72-uur duurtest (stabiele bewerking)</w:t>
      </w:r>
    </w:p>
    <w:p>
      <w:pPr>
        <w:pStyle w:val="ListBullet"/>
      </w:pPr>
      <w:r>
        <w:rPr>
          <w:sz w:val="20"/>
        </w:rPr>
        <w:t>☐ Prestatiegarantie test (UAV 2012 contractueel)</w:t>
      </w:r>
    </w:p>
    <w:p>
      <w:pPr>
        <w:pStyle w:val="ListBullet"/>
      </w:pPr>
      <w:r>
        <w:rPr>
          <w:sz w:val="20"/>
        </w:rPr>
        <w:t>☐ Punchlist definitief afgerond (0 openstaande A-punten)</w:t>
      </w:r>
    </w:p>
    <w:p>
      <w:pPr>
        <w:pStyle w:val="Heading2"/>
      </w:pPr>
      <w:r>
        <w:t>2.5 Operationeel — 6 Maanden na Inbedrijfname</w:t>
      </w:r>
    </w:p>
    <w:p>
      <w:pPr>
        <w:pStyle w:val="ListBullet"/>
      </w:pPr>
      <w:r>
        <w:rPr>
          <w:sz w:val="20"/>
        </w:rPr>
        <w:t>☐ PFAS-vrij blusschuim operationeel en getest</w:t>
      </w:r>
    </w:p>
    <w:p>
      <w:pPr>
        <w:pStyle w:val="ListBullet"/>
      </w:pPr>
      <w:r>
        <w:rPr>
          <w:sz w:val="20"/>
        </w:rPr>
        <w:t>☐ Spill containment zuren (H2SO4, HCl) — retentiebekken capaciteit geverifieerd</w:t>
      </w:r>
    </w:p>
    <w:p>
      <w:pPr>
        <w:pStyle w:val="ListBullet"/>
      </w:pPr>
      <w:r>
        <w:rPr>
          <w:sz w:val="20"/>
        </w:rPr>
        <w:t>☐ Spill containment vanadium-oplossingen — opvangcapaciteit geverifieerd</w:t>
      </w:r>
    </w:p>
    <w:p>
      <w:pPr>
        <w:pStyle w:val="ListBullet"/>
      </w:pPr>
      <w:r>
        <w:rPr>
          <w:sz w:val="20"/>
        </w:rPr>
        <w:t>☐ Bluswater opvangcapaciteit conform PGS 15:2025 (3x opslagvolume)</w:t>
      </w:r>
    </w:p>
    <w:p>
      <w:pPr>
        <w:pStyle w:val="ListBullet"/>
      </w:pPr>
      <w:r>
        <w:rPr>
          <w:sz w:val="20"/>
        </w:rPr>
        <w:t>☐ Bluswaterafvoer isolatie (afsluiters, pompput) getest</w:t>
      </w:r>
    </w:p>
    <w:p>
      <w:pPr>
        <w:pStyle w:val="ListBullet"/>
      </w:pPr>
      <w:r>
        <w:rPr>
          <w:sz w:val="20"/>
        </w:rPr>
        <w:t>☐ Noodsituatie afvalwater opvang (tanks, bassins) beschikbaar</w:t>
      </w:r>
    </w:p>
    <w:p>
      <w:pPr>
        <w:pStyle w:val="ListBullet"/>
      </w:pPr>
      <w:r>
        <w:rPr>
          <w:sz w:val="20"/>
        </w:rPr>
        <w:t>☐ Alle veiligheidssystemen (gasdetectie, brand, ESD) maandelijks getest</w:t>
      </w:r>
    </w:p>
    <w:p>
      <w:pPr>
        <w:pStyle w:val="ListBullet"/>
      </w:pPr>
      <w:r>
        <w:rPr>
          <w:sz w:val="20"/>
        </w:rPr>
        <w:t>☐ Onderhoudsregime (preventief/correctief) conform plan operationeel</w:t>
      </w:r>
    </w:p>
    <w:p>
      <w:r>
        <w:br w:type="page"/>
      </w:r>
    </w:p>
    <w:p>
      <w:pPr>
        <w:pStyle w:val="Heading1"/>
      </w:pPr>
      <w:r>
        <w:t>3. Thematische Checklists</w:t>
      </w:r>
    </w:p>
    <w:p>
      <w:pPr>
        <w:pStyle w:val="Heading2"/>
      </w:pPr>
      <w:r>
        <w:t>3.1 Arbowet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Eis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Norm/Wet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Prioriteit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RI&amp;E volledig en actueel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Arbowet/Arbobesluit (geldend per 2026)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PBM-analyse en -selectie voltooid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Arbobesluit art. 3.2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Stofblootstelling V₂O₅ &lt; grenswaarde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Arbobesluit, SER advies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Chroom-6 blootstelling uitgesloten of gecontroleerd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Arbobesluit, REACH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Geluidsniveau &lt; 80 dB(A) (of HPD boven 80)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Arbobesluit art. 6.1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Binnenklimaat (temperatuur, ventilatie) conform eisen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Arbobesluit art. 3.5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M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Hijs- en tilwerkzaamheden veilig uitgevoerd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Arbobesluit art. 5.1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Werken op hoogte (valbeveiliging)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Arbobesluit art. 7.2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</w:tbl>
    <w:p>
      <w:pPr/>
    </w:p>
    <w:p>
      <w:pPr>
        <w:pStyle w:val="Heading2"/>
      </w:pPr>
      <w:r>
        <w:t>3.2 Omgevingswet (incl. ZZS, PFAS)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Eis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Norm/Wet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Prioriteit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Omgevingsvergunning aangevraagd en verkregen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Besluit activiteiten leefomgeving (Bal)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ZZS-minimisatietoets vanadiumverbindingen uitgevoerd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Bal, REACH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ZZS-minimisatietoets zuuremissies uitgevoerd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Bal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Emissiemetingen lucht (stof, zuur) geregeld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Bal, BREF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M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Afvalwaterzuivering operationeel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Bal, Europese Kaderrichtlijn Water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PFAS emissies monitoring (indien relevant)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REACH restrictievoorstel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M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Microverontreinigingen monitoring (vanadium)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Bal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Bluswater als afvalstroom geclassificeerd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Bal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L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BBT documentatie compleet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BREF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</w:tbl>
    <w:p>
      <w:pPr/>
    </w:p>
    <w:p>
      <w:pPr>
        <w:pStyle w:val="Heading2"/>
      </w:pPr>
      <w:r>
        <w:t>3.3 PGS 15:2025 — Opslag Gevaarlijke Stoffen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Eis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Norm/Wet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Prioriteit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Opslagstructuur conform PGS 15:2025 (definitief 11 maart 2025)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PGS 15:2025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Brandwerende scheiding voldoende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PGS 15:2025 §4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Ventilatie opslagruimte adequaat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PGS 15:2025 §5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Lekdetectie en opvangbakken aanwezig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PGS 15:2025 §6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Bluswateropvang (3x opslagvolume) gerealiseerd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PGS 15:2025 §7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Buitenopslag (indien van toepassing) conform eisen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PGS 15:2025 §8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M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Inventarisatie gevaarlijke stoffen actueel (SDS beschikbaar)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PGS 15:2025, CLP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</w:tbl>
    <w:p>
      <w:pPr/>
    </w:p>
    <w:p>
      <w:pPr>
        <w:pStyle w:val="Heading2"/>
      </w:pPr>
      <w:r>
        <w:t>3.4 REACH/CLP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Eis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Norm/Wet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Prioriteit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PPORD notificatie bij ECHA ingediend (5-jaar vrijstelling)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REACH art. 56(4)(b)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SDS (Safety Data Sheets) beschikbaar voor alle stoffen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REACH, CLP 1272/2008 (EU) 2024/2865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Zelfclassificatie conform nieuwste CLP-amendement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CLP 1272/2008 (EU) 2024/2865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Nieuwe gevaarklassen geëvalueerd (endocrien, PFAS)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(EU) 2024/2865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M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Vanadiumverbindingen correct geclassificeerd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CLP, REACH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</w:tbl>
    <w:p>
      <w:pPr/>
    </w:p>
    <w:p>
      <w:pPr>
        <w:pStyle w:val="Heading2"/>
      </w:pPr>
      <w:r>
        <w:t>3.5 Brand &amp; Explosie (incl. PFAS, Spill)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Eis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Norm/Wet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Prioriteit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ATEX zone-indeling uitgevoerd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ATEX 2014/34/EU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Stofexplosie Kst-waarde bepaald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NEN-EN 14034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Explosieveiligingsdocument opgesteld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Arbobesluit, ATEX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PFAS-vrij blusschuim gespecificeerd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REACH restrictievoorstel PFAS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Spill containment zuren — retentiebekken capaciteit berekend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PGS 15:2025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Spill containment vanadium-oplossingen — opvangcapaciteit berekend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PGS 15:2025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Bluswater opvang (3x opslagvolume) conform PGS 15:2025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PGS 15:2025 §7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Bluswaterafvoer isolatie (afsluiters, pompput)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PGS 15:2025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M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Noodafvalwater opvang (tanks, bassins) beschikbaar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Bal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Automatische branddetectie en -blussing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NEN-EN 12845:2024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</w:tbl>
    <w:p>
      <w:pPr/>
    </w:p>
    <w:p>
      <w:pPr>
        <w:pStyle w:val="Heading2"/>
      </w:pPr>
      <w:r>
        <w:t>3.6 Drukapparatuur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Eis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Norm/Wet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Prioriteit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Alle drukapparatuur conform PED 2014/68/EU (gewijzigd 2024)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PED 2014/68/EU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CE-markering drukapparatuur geverifieerd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PED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Drukproeven uitgevoerd en gedocumenteerd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PED, NEN-EN 13445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Veiligheidskleppen en overdrukbeveiliging geïnstalleerd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PED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Inspectieplan drukapparatuur opgesteld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PED, Arbobesluit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</w:tbl>
    <w:p>
      <w:pPr/>
    </w:p>
    <w:p>
      <w:pPr>
        <w:pStyle w:val="Heading2"/>
      </w:pPr>
      <w:r>
        <w:t>3.7 Machineveiligheid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Eis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Norm/Wet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Prioriteit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CE-markering machines conform Machinerichtlijn (EU) 2023/1230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(EU) 2023/1230 (per 20-1-2027)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Risicoanalyse per machine uitgevoerd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(EU) 2023/1230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Samenstel CE-verantwoordelijkheid geborgd (TCD, IIA-verklaring)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(EU) 2023/1230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Veiligheidsvoorzieningen (afscherming, noodstop) conform norm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NEN-EN ISO 13849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LOTO-voorzieningen op alle energieb%nbronnen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Arbobesluit, (EU) 2023/1230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</w:tbl>
    <w:p>
      <w:pPr/>
    </w:p>
    <w:p>
      <w:pPr>
        <w:pStyle w:val="Heading2"/>
      </w:pPr>
      <w:r>
        <w:t>3.8 Transport Gevaarlijke Stoffen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Eis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Norm/Wet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Prioriteit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ADR 2025 compliant vervoer gevaarlijke stoffen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ADR 2025 (per 1-7-2025)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Ladingzekeringsplan opgesteld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ADR 2025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M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Veiligheidsadviseur gevaarlijke stoffen aangesteld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Wet vervoer gevaarlijke stoffen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Emergency Response Guide beschikbaar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ADR 2025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M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Tunnelbeperkingscode gecontroleerd (indien van toepassing)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ADR 2025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L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</w:tbl>
    <w:p>
      <w:pPr/>
    </w:p>
    <w:p>
      <w:pPr>
        <w:pStyle w:val="Heading2"/>
      </w:pPr>
      <w:r>
        <w:t>3.9 Binnenklimaat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Eis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Norm/Wet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Prioriteit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Temperatuur regeling conform Arbobesluit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Arbobesluit art. 3.5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Ventilatiecapaciteit voldoende (inclusief zuurdampen)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Arbobesluit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Verlichting conform NEN-EN 12464-1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NEN-EN 12464-1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Asbest inventarisatie (indien bestaande bouw)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Asbestverwijderingsbesluit 2024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</w:tbl>
    <w:p>
      <w:pPr/>
    </w:p>
    <w:p>
      <w:pPr>
        <w:pStyle w:val="Heading2"/>
      </w:pPr>
      <w:r>
        <w:t>3.10 Elektrische Veiligheid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Eis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Norm/Wet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Prioriteit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Elektrische installatie conform NEN 1010:2020+C1:2024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NEN 1010:2020+C1:2024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Aarding en equipotentiaalverbinding geverifieerd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NEN 1010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Ex-bescherming elektrische apparatuur in ATEX-zones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ATEX 2014/34/EU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Inspectie en keuring elektrische installatie gepland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NEN 1010, Arbobesluit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M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</w:tbl>
    <w:p>
      <w:pPr/>
    </w:p>
    <w:p>
      <w:pPr>
        <w:pStyle w:val="Heading2"/>
      </w:pPr>
      <w:r>
        <w:t>3.11 Seveso-regeling 2024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Eis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Norm/Wet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Prioriteit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Seveso-regeling 2024 (voorheen BRZO) van toepassing?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Seveso-regeling 2024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Indien van toepassing: VR (Veiligheidsrapport) ingediend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Seveso-regeling 2024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Indien van toepassing: MVR (Millieuzorgsysteem) ingericht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Seveso-regeling 2024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Noodplan (intern + extern) opgesteld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Seveso-regeling 2024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DOMS (Doorstroming Ongevalbestrijding) gemeld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Seveso-regeling 2024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</w:tbl>
    <w:p>
      <w:pPr/>
    </w:p>
    <w:p>
      <w:pPr>
        <w:pStyle w:val="Heading2"/>
      </w:pPr>
      <w:r>
        <w:t>3.12 Documentatie &amp; Kwaliteitsborging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Eis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Norm/Wet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Prioriteit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Document Management Systeem (DMS) geïmplementeerd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ISO 9001, MASTER_SOP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Alle documenten voorzien van versiebeheer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MASTER_SOP §7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Goedkeuringsmatrix functioneert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MASTER_SOP §4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Alle certificaten en keuringsrapporten gearchiveerd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ISO 9001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M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Draaiboek inbedrijfname (pre-commissioning tot hot commissioning)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Best practice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</w:tbl>
    <w:p>
      <w:pPr/>
    </w:p>
    <w:p>
      <w:pPr>
        <w:pStyle w:val="Heading2"/>
      </w:pPr>
      <w:r>
        <w:t>3.13 OT Cybersecurity &amp; Procesautomatisering (NIEUW)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Eis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Norm/Wet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Prioriteit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ICS/SCADA architectuur conform IEC 62443-1-1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IEC 62443-1-1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Netwerksegmentatie OT/IT (DMZ, firewall)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IEC 62443-3-3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Security Levels (SL 1-4) bepaald per zone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IEC 62443-3-3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Access control ICS-systemen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IEC 62443-4-2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Intrusion Detection System (IDS) voor OT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IEC 62443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Patch management OT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ISA/IEC 62443-2-3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M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Backup &amp; recovery DCS/SCADA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IEC 62443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Remote access security (VPN, MFA)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IEC 62443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PEN-test regime (jaarlijks + na wijzigingen)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IEC 62443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Physical security (serverruimte, PLC-kasten)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IEC 62443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M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Audit trail logging (alarmen, setpoint wijzigingen)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IEC 62443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Time synchronisatie (NTP/PTP)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IEC 62443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L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Cybersecurity incident response plan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NIS2 (EU) 2022/2555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NIS2 compliance (indien essentieel entiteit)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(EU) 2022/2555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M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</w:tbl>
    <w:p>
      <w:pPr/>
    </w:p>
    <w:p>
      <w:pPr>
        <w:pStyle w:val="Heading2"/>
      </w:pPr>
      <w:r>
        <w:t>3.14 Human Factors &amp; Alarm Management (NIEUW)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Eis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Norm/Wet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Prioriteit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Control Room lay-out conform NEN-EN-ISO 11064-1 t/m 7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NEN-EN-ISO 11064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Werkplekergonomie controlekamer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ISO 11064-4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M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Verlichting controlekamer (anti-glare)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NEN-EN 12464-1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Geluidsniveau controlekamer &lt; 55 dB(A)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Arbobesluit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M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Alarm Management systeem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ISA-18.2 / IEC 62682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Alarm rationalisatie (type, prioriteit, setpoints)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ISA-18.2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Alarm flooding preventie (max 10/uur/operator)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EEMUA 191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Shelved/hidden alarms protocol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ISA-18.2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M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HMI design (High Performance HMI)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EEMUA 201, ISA-101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Kleurcodering consistentie (rood/geel/groen)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ISA-101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M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Procedurele ondersteuning (EOPs via DCS)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Best practice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Fatigue management (shift rooster, rusttijden)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Arbowet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M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Operator Training Simulator (OTS)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Best practice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L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Cognitive walkthrough met operators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ISO 11064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M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</w:tbl>
    <w:p>
      <w:pPr/>
    </w:p>
    <w:p>
      <w:pPr>
        <w:pStyle w:val="Heading2"/>
      </w:pPr>
      <w:r>
        <w:t>3.15 Contractor &amp; Permit to Work Management (NIEUW)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Eis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Norm/Wet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Prioriteit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Digitale PtW systeem geïmplementeerd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Best practice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Vergunningstypen: Hot Work, Confined Space, Excavation, Electrical, Height, LOTO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Arbowesluit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TRA (Task Risk Analysis) procedure actief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Arbowesluit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LMRA (Last Minute Risk Analysis) per shift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Arbowesluit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Gatekeeper protocol (inductie, VCA-check)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VCA**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Aannemers selectie &amp; pre-qualificatie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VCA**, Arbobesluit art. 2.42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Service Level Monitoring (SLM) aannemers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Best practice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SIMOPS coördinatie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Best practice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Toolbox meetings dagelijks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VCA**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Close-out procedure per vergunning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Best practice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M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☐ Open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Audit regime aannemers (steekproef + incident-driven)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VCA**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☐ Open</w:t>
            </w:r>
          </w:p>
        </w:tc>
      </w:tr>
    </w:tbl>
    <w:p>
      <w:pPr/>
    </w:p>
    <w:p>
      <w:r>
        <w:br w:type="page"/>
      </w:r>
    </w:p>
    <w:p>
      <w:pPr>
        <w:pStyle w:val="Heading1"/>
      </w:pPr>
      <w:r>
        <w:t>4. Matrix Thema × Fase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Thema</w:t>
            </w:r>
          </w:p>
        </w:tc>
        <w:tc>
          <w:tcPr>
            <w:tcW w:type="dxa" w:w="144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Ontwerp</w:t>
            </w:r>
          </w:p>
        </w:tc>
        <w:tc>
          <w:tcPr>
            <w:tcW w:type="dxa" w:w="144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Bouw</w:t>
            </w:r>
          </w:p>
        </w:tc>
        <w:tc>
          <w:tcPr>
            <w:tcW w:type="dxa" w:w="144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Installatie</w:t>
            </w:r>
          </w:p>
        </w:tc>
        <w:tc>
          <w:tcPr>
            <w:tcW w:type="dxa" w:w="144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Oplevering</w:t>
            </w:r>
          </w:p>
        </w:tc>
        <w:tc>
          <w:tcPr>
            <w:tcW w:type="dxa" w:w="144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Operationeel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Arbowet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●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●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○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○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○</w:t>
            </w:r>
          </w:p>
        </w:tc>
      </w:tr>
      <w:tr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Omgevingswet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●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●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○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○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○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PGS 15:2025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●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●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○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○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○</w:t>
            </w:r>
          </w:p>
        </w:tc>
      </w:tr>
      <w:tr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REACH/CLP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●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●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○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○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○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Brand &amp; Explosie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●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●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○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○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○</w:t>
            </w:r>
          </w:p>
        </w:tc>
      </w:tr>
      <w:tr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Drukapparatuur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●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●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○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○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○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Machineveiligheid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●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●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○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○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○</w:t>
            </w:r>
          </w:p>
        </w:tc>
      </w:tr>
      <w:tr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Transport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●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●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○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○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○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Binnenklimaat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●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●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○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○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○</w:t>
            </w:r>
          </w:p>
        </w:tc>
      </w:tr>
      <w:tr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Elektrisch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●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●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○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○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○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Seveso 2024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●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●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○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○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○</w:t>
            </w:r>
          </w:p>
        </w:tc>
      </w:tr>
      <w:tr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Documentatie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●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●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○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○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○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OT Cybersecurity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●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●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○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○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○</w:t>
            </w:r>
          </w:p>
        </w:tc>
      </w:tr>
      <w:tr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Human Factors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●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●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○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○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○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Contractor PtW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●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●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○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○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○</w:t>
            </w:r>
          </w:p>
        </w:tc>
      </w:tr>
    </w:tbl>
    <w:p>
      <w:r>
        <w:br w:type="page"/>
      </w:r>
    </w:p>
    <w:p>
      <w:pPr>
        <w:pStyle w:val="Heading1"/>
      </w:pPr>
      <w:r>
        <w:t>5. Frequentie &amp; Verantwoordelijkheden (RASCI)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Rol</w:t>
            </w:r>
          </w:p>
        </w:tc>
        <w:tc>
          <w:tcPr>
            <w:tcW w:type="dxa" w:w="144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Ontwerp</w:t>
            </w:r>
          </w:p>
        </w:tc>
        <w:tc>
          <w:tcPr>
            <w:tcW w:type="dxa" w:w="144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Bouw</w:t>
            </w:r>
          </w:p>
        </w:tc>
        <w:tc>
          <w:tcPr>
            <w:tcW w:type="dxa" w:w="144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Installatie</w:t>
            </w:r>
          </w:p>
        </w:tc>
        <w:tc>
          <w:tcPr>
            <w:tcW w:type="dxa" w:w="144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Oplevering</w:t>
            </w:r>
          </w:p>
        </w:tc>
        <w:tc>
          <w:tcPr>
            <w:tcW w:type="dxa" w:w="144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Operationeel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HSEQ Manager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R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R</w:t>
            </w:r>
          </w:p>
        </w:tc>
      </w:tr>
      <w:tr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Plant Manager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A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Directie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I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I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I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I</w:t>
            </w:r>
          </w:p>
        </w:tc>
      </w:tr>
      <w:tr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Project Engineer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R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R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R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R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C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Cybersecurity Manager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R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R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R</w:t>
            </w:r>
          </w:p>
        </w:tc>
      </w:tr>
      <w:tr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Commissioning Lead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R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R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C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Contractor Manager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I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R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R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C</w:t>
            </w:r>
          </w:p>
        </w:tc>
      </w:tr>
      <w:tr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Operator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I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I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R</w:t>
            </w:r>
          </w:p>
        </w:tc>
        <w:tc>
          <w:tcPr>
            <w:tcW w:type="dxa" w:w="1440"/>
            <w:shd w:fill="F0F4F8" w:val="clear"/>
          </w:tcPr>
          <w:p>
            <w:r>
              <w:rPr>
                <w:sz w:val="18"/>
              </w:rPr>
              <w:t>R</w:t>
            </w:r>
          </w:p>
        </w:tc>
      </w:tr>
    </w:tbl>
    <w:p>
      <w:r>
        <w:br w:type="page"/>
      </w:r>
    </w:p>
    <w:p>
      <w:pPr>
        <w:pStyle w:val="Heading1"/>
      </w:pPr>
      <w:r>
        <w:t>6. Wetgevingsregister (45+ Normen)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Norm/Wet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Niveau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Onderwerp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Relevantie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Arbowet/Arbobesluit (geldend per 2026)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Nederland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Arbeidsomstandigheden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Besluit Bouwwerken Leefomgeving (Bbl)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Nederland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Bouwwijze veiligheid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H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Besluit activiteiten leefomgeving (Bal)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Nederland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Milieu/emissies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PGS 15:2025 (definitief 11-3-2025)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Nederland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Opslag gevaarlijke stoffen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H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REACH (PPORD art. 56)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EU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Chemische stoffen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CLP 1272/2008 (EU) 2024/2865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EU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Classificatie/etikettering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H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Seveso-regeling 2024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Nederland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Zware ongevallen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ATEX 2014/34/EU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EU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Explosieveilige apparatuur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H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PED 2014/68/EU (gewijzigd 2024)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EU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Drukapparatuur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Machinerichtlijn (EU) 2023/1230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EU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Machineveiligheid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H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ADR 2025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Internationaal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Vervoer gevaarlijke stoffen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NEN 1010:2020+C1:2024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Nederland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Elektrische installaties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H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IEC 61511:2024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Internationaal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Functionele veiligheid (SIL)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NEN-EN 12845:2024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Internationaal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Brandbeveiliging/blusinstallatie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H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IEC 62443 serie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Internationaal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OT Cybersecurity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NEN-EN-IEC 62443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Nederland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OT Cybersecurity (adoptie)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H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NIS2 Richtlijn (EU) 2022/2555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EU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Cybersecurity essentieel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Cybersecurity Act (EU) 2019/881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EU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Cybersecurity certificering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M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NEN-EN-ISO 11064 serie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Internationaal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Control Room design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ISA-18.2 / IEC 62682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Internationaal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Alarm Management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H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EEMUA 191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VK/Internationaal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Alarm Systems guide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EEMUA 201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VK/Internationaal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Control Room HMI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H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ISA-101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Internationaal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HMI Design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NACE MR0175 / ISO 21462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Internationaal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Materiaalselectie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H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ISO 9001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Internationaal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Kwaliteitsmanagement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REACH restrictievoorstel PFAS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EU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PFAS-beperking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M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Europese Kaderrichtlijn Water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EU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Waterkwaliteit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Asbestverwijderingsbesluit 2024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Nederland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Asbest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M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Wet vervoer gevaarlijke stoffen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Nederland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Transport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NEN-EN 14034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Internationaal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Stofexplosie karakterisering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H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NEN-EN ISO 13849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Internationaal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Veiligheidsfuncties machines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NEN-EN 13445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Internationaal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Onvlambare drukapparatuur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H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VCA** / VCA*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Nederland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Veiligheid aannemers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Arbobesluit art. 2.42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Nederland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Aansprakelijkheid opdrachtgever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H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BREF (Best Beschikbare Technieken)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EU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Milieunormen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UAV 2012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Nederland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Contracten prestatiegarantie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M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NEN-EN 12464-1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Internationaal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Verlichting werkplekken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Omgevingswet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Nederland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Kaderwet milieu/ruimte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H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Wet algemene bepalingen omgevingsrecht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Nederland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Vergunningen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Besluit kwaliteit leefomgeving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Nederland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Kwaliteitsnormen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M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Cybersecurity incident response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Best practice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IR plan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ISO 11064-4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Internationaal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Ergonomie controlekamer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M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NEN-EN-ISO 14001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Internationaal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Milieumanagement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</w:t>
            </w:r>
          </w:p>
        </w:tc>
      </w:tr>
      <w:tr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ISO 45001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Internationaal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Arbomanagement</w:t>
            </w:r>
          </w:p>
        </w:tc>
        <w:tc>
          <w:tcPr>
            <w:tcW w:type="dxa" w:w="2160"/>
            <w:shd w:fill="F0F4F8" w:val="clear"/>
          </w:tcPr>
          <w:p>
            <w:r>
              <w:rPr>
                <w:sz w:val="18"/>
              </w:rPr>
              <w:t>M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NTA 8620:2016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Nederland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Veiligheidsmanagement (update 2026)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</w:t>
            </w:r>
          </w:p>
        </w:tc>
      </w:tr>
    </w:tbl>
    <w:p>
      <w:r>
        <w:br w:type="page"/>
      </w:r>
    </w:p>
    <w:p>
      <w:pPr>
        <w:pStyle w:val="Heading1"/>
      </w:pPr>
      <w:r>
        <w:t>7. Bronnenlijst</w:t>
      </w:r>
    </w:p>
    <w:p>
      <w:pPr/>
      <w:r>
        <w:t>[1] Arbowet/Arbobesluit — Wet van 18 maart 1999, zoals geldend per 2026</w:t>
      </w:r>
    </w:p>
    <w:p>
      <w:pPr/>
      <w:r>
        <w:t>[2] Besluit Bouwwerken Leefomgeving (Bbl) — per 1 januari 2024</w:t>
      </w:r>
    </w:p>
    <w:p>
      <w:pPr/>
      <w:r>
        <w:t>[3] Besluit activiteiten leefomgeving (Bal) — per 1 januari 2024</w:t>
      </w:r>
    </w:p>
    <w:p>
      <w:pPr/>
      <w:r>
        <w:t>[4] PGS 15:2025 — Opslag gevaarlijke stoffen (definitief 11 maart 2025)</w:t>
      </w:r>
    </w:p>
    <w:p>
      <w:pPr/>
      <w:r>
        <w:t>[5] REACH Verordening (EG) 1907/2006 — PPORD art. 56(4)(b)</w:t>
      </w:r>
    </w:p>
    <w:p>
      <w:pPr/>
      <w:r>
        <w:t>[6] CLP 1272/2008 zoals gewijzigd door (EU) 2024/2865</w:t>
      </w:r>
    </w:p>
    <w:p>
      <w:pPr/>
      <w:r>
        <w:t>[7] Seveso-regeling 2024 (voorheen BRZO)</w:t>
      </w:r>
    </w:p>
    <w:p>
      <w:pPr/>
      <w:r>
        <w:t>[8] ATEX 2014/34/EU — Explosieveilige apparatuur</w:t>
      </w:r>
    </w:p>
    <w:p>
      <w:pPr/>
      <w:r>
        <w:t>[9] PED 2014/68/EU — Drukapparatuur (gewijzigd 2024)</w:t>
      </w:r>
    </w:p>
    <w:p>
      <w:pPr/>
      <w:r>
        <w:t>[10] Machinerichtlijn (EU) 2023/1230 — per 20 januari 2027</w:t>
      </w:r>
    </w:p>
    <w:p>
      <w:pPr/>
      <w:r>
        <w:t>[11] ADR 2025 — Vervoer gevaarlijke stoffen over de weg</w:t>
      </w:r>
    </w:p>
    <w:p>
      <w:pPr/>
      <w:r>
        <w:t>[12] NEN 1010:2020+C1:2024 — Elektrische installaties</w:t>
      </w:r>
    </w:p>
    <w:p>
      <w:pPr/>
      <w:r>
        <w:t>[13] IEC 62443 serie — Industrial Cybersecurity</w:t>
      </w:r>
    </w:p>
    <w:p>
      <w:pPr/>
      <w:r>
        <w:t>[14] NEN-EN-ISO 11064 serie — Control Room Design</w:t>
      </w:r>
    </w:p>
    <w:p>
      <w:pPr/>
      <w:r>
        <w:t>[15] ISA-18.2 / IEC 62682 — Alarm Management</w:t>
      </w:r>
    </w:p>
    <w:p>
      <w:pPr/>
      <w:r>
        <w:t>[16] EEMUA 191 — Alarm Systems Guide</w:t>
      </w:r>
    </w:p>
    <w:p>
      <w:pPr/>
      <w:r>
        <w:t>[17] EEMUA 201 — Control Room HMI Design</w:t>
      </w:r>
    </w:p>
    <w:p>
      <w:pPr/>
      <w:r>
        <w:t>[18] ISA-101 — Human Machine Interfaces</w:t>
      </w:r>
    </w:p>
    <w:p>
      <w:pPr/>
      <w:r>
        <w:t>[19] NIS2 Richtlijn (EU) 2022/2555 — Cybersecurity</w:t>
      </w:r>
    </w:p>
    <w:p>
      <w:pPr/>
      <w:r>
        <w:t>[20] PFAS restricties — REACH restrictievoorstel</w:t>
      </w:r>
    </w:p>
    <w:p>
      <w:pPr/>
      <w:r>
        <w:t>[21] IEC 61511:2024 — Functionele veiligheid procesindustrie</w:t>
      </w:r>
    </w:p>
    <w:p>
      <w:pPr/>
      <w:r>
        <w:t>[22] NEN-EN 12845:2024 — Brandbeveiliging/blusinstallatie</w:t>
      </w:r>
    </w:p>
    <w:p>
      <w:pPr/>
      <w:r>
        <w:t>[23] NACE MR0175 / ISO 21462 — Materiaalselectie</w:t>
      </w:r>
    </w:p>
    <w:p>
      <w:pPr/>
      <w:r>
        <w:t>[24] VCA** — Veiligheid Checklist Aannemers</w:t>
      </w:r>
    </w:p>
    <w:p>
      <w:pPr/>
      <w:r>
        <w:t>[25] NTA 8620:2016 — Veiligheidsmanagement Seveso-bedrijven</w:t>
      </w:r>
    </w:p>
    <w:p>
      <w:r>
        <w:br w:type="page"/>
      </w:r>
    </w:p>
    <w:p>
      <w:pPr>
        <w:pStyle w:val="Heading1"/>
      </w:pPr>
      <w:r>
        <w:t>8. TierVerify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Check</w:t>
            </w:r>
          </w:p>
        </w:tc>
        <w:tc>
          <w:tcPr>
            <w:tcW w:type="dxa" w:w="288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Bron</w:t>
            </w:r>
          </w:p>
        </w:tc>
        <w:tc>
          <w:tcPr>
            <w:tcW w:type="dxa" w:w="2880"/>
            <w:shd w:fill="003366" w:val="clear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Wetgevingsverwijzingen actueel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Tavily online verificatie 30-4-2026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✅ PASS</w:t>
            </w:r>
          </w:p>
        </w:tc>
      </w:tr>
      <w:tr>
        <w:tc>
          <w:tcPr>
            <w:tcW w:type="dxa" w:w="2880"/>
            <w:shd w:fill="F0F4F8" w:val="clear"/>
          </w:tcPr>
          <w:p>
            <w:r>
              <w:rPr>
                <w:sz w:val="18"/>
              </w:rPr>
              <w:t>Bbl ipv Bouwbesluit 2012</w:t>
            </w:r>
          </w:p>
        </w:tc>
        <w:tc>
          <w:tcPr>
            <w:tcW w:type="dxa" w:w="2880"/>
            <w:shd w:fill="F0F4F8" w:val="clear"/>
          </w:tcPr>
          <w:p>
            <w:r>
              <w:rPr>
                <w:sz w:val="18"/>
              </w:rPr>
              <w:t>Online geverifieerd</w:t>
            </w:r>
          </w:p>
        </w:tc>
        <w:tc>
          <w:tcPr>
            <w:tcW w:type="dxa" w:w="2880"/>
            <w:shd w:fill="F0F4F8" w:val="clear"/>
          </w:tcPr>
          <w:p>
            <w:r>
              <w:rPr>
                <w:sz w:val="18"/>
              </w:rPr>
              <w:t>✅ PASS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Bal ipv Activiteitenbesluit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Online geverifieerd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✅ PASS</w:t>
            </w:r>
          </w:p>
        </w:tc>
      </w:tr>
      <w:tr>
        <w:tc>
          <w:tcPr>
            <w:tcW w:type="dxa" w:w="2880"/>
            <w:shd w:fill="F0F4F8" w:val="clear"/>
          </w:tcPr>
          <w:p>
            <w:r>
              <w:rPr>
                <w:sz w:val="18"/>
              </w:rPr>
              <w:t>Seveso 2024 ipv BRZO</w:t>
            </w:r>
          </w:p>
        </w:tc>
        <w:tc>
          <w:tcPr>
            <w:tcW w:type="dxa" w:w="2880"/>
            <w:shd w:fill="F0F4F8" w:val="clear"/>
          </w:tcPr>
          <w:p>
            <w:r>
              <w:rPr>
                <w:sz w:val="18"/>
              </w:rPr>
              <w:t>Online geverifieerd</w:t>
            </w:r>
          </w:p>
        </w:tc>
        <w:tc>
          <w:tcPr>
            <w:tcW w:type="dxa" w:w="2880"/>
            <w:shd w:fill="F0F4F8" w:val="clear"/>
          </w:tcPr>
          <w:p>
            <w:r>
              <w:rPr>
                <w:sz w:val="18"/>
              </w:rPr>
              <w:t>✅ PASS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CLP (EU) 2024/2865 amendement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Online geverifieerd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✅ PASS</w:t>
            </w:r>
          </w:p>
        </w:tc>
      </w:tr>
      <w:tr>
        <w:tc>
          <w:tcPr>
            <w:tcW w:type="dxa" w:w="2880"/>
            <w:shd w:fill="F0F4F8" w:val="clear"/>
          </w:tcPr>
          <w:p>
            <w:r>
              <w:rPr>
                <w:sz w:val="18"/>
              </w:rPr>
              <w:t>ADR 2025</w:t>
            </w:r>
          </w:p>
        </w:tc>
        <w:tc>
          <w:tcPr>
            <w:tcW w:type="dxa" w:w="2880"/>
            <w:shd w:fill="F0F4F8" w:val="clear"/>
          </w:tcPr>
          <w:p>
            <w:r>
              <w:rPr>
                <w:sz w:val="18"/>
              </w:rPr>
              <w:t>Online geverifieerd</w:t>
            </w:r>
          </w:p>
        </w:tc>
        <w:tc>
          <w:tcPr>
            <w:tcW w:type="dxa" w:w="2880"/>
            <w:shd w:fill="F0F4F8" w:val="clear"/>
          </w:tcPr>
          <w:p>
            <w:r>
              <w:rPr>
                <w:sz w:val="18"/>
              </w:rPr>
              <w:t>✅ PASS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IEC 61511:2024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Online geverifieerd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✅ PASS</w:t>
            </w:r>
          </w:p>
        </w:tc>
      </w:tr>
      <w:tr>
        <w:tc>
          <w:tcPr>
            <w:tcW w:type="dxa" w:w="2880"/>
            <w:shd w:fill="F0F4F8" w:val="clear"/>
          </w:tcPr>
          <w:p>
            <w:r>
              <w:rPr>
                <w:sz w:val="18"/>
              </w:rPr>
              <w:t>NEN 1010:2020+C1:2024</w:t>
            </w:r>
          </w:p>
        </w:tc>
        <w:tc>
          <w:tcPr>
            <w:tcW w:type="dxa" w:w="2880"/>
            <w:shd w:fill="F0F4F8" w:val="clear"/>
          </w:tcPr>
          <w:p>
            <w:r>
              <w:rPr>
                <w:sz w:val="18"/>
              </w:rPr>
              <w:t>Online geverifieerd</w:t>
            </w:r>
          </w:p>
        </w:tc>
        <w:tc>
          <w:tcPr>
            <w:tcW w:type="dxa" w:w="2880"/>
            <w:shd w:fill="F0F4F8" w:val="clear"/>
          </w:tcPr>
          <w:p>
            <w:r>
              <w:rPr>
                <w:sz w:val="18"/>
              </w:rPr>
              <w:t>✅ PASS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PGS 15:2025 (11 maart 2025)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Online geverifieerd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✅ PASS</w:t>
            </w:r>
          </w:p>
        </w:tc>
      </w:tr>
      <w:tr>
        <w:tc>
          <w:tcPr>
            <w:tcW w:type="dxa" w:w="2880"/>
            <w:shd w:fill="F0F4F8" w:val="clear"/>
          </w:tcPr>
          <w:p>
            <w:r>
              <w:rPr>
                <w:sz w:val="18"/>
              </w:rPr>
              <w:t>NTA 8620:2016</w:t>
            </w:r>
          </w:p>
        </w:tc>
        <w:tc>
          <w:tcPr>
            <w:tcW w:type="dxa" w:w="2880"/>
            <w:shd w:fill="F0F4F8" w:val="clear"/>
          </w:tcPr>
          <w:p>
            <w:r>
              <w:rPr>
                <w:sz w:val="18"/>
              </w:rPr>
              <w:t>Online geverifieerd</w:t>
            </w:r>
          </w:p>
        </w:tc>
        <w:tc>
          <w:tcPr>
            <w:tcW w:type="dxa" w:w="2880"/>
            <w:shd w:fill="F0F4F8" w:val="clear"/>
          </w:tcPr>
          <w:p>
            <w:r>
              <w:rPr>
                <w:sz w:val="18"/>
              </w:rPr>
              <w:t>✅ PASS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5 nieuwe pijlers geïntegreerd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Specificatie Director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✅ PASS</w:t>
            </w:r>
          </w:p>
        </w:tc>
      </w:tr>
      <w:tr>
        <w:tc>
          <w:tcPr>
            <w:tcW w:type="dxa" w:w="2880"/>
            <w:shd w:fill="F0F4F8" w:val="clear"/>
          </w:tcPr>
          <w:p>
            <w:r>
              <w:rPr>
                <w:sz w:val="18"/>
              </w:rPr>
              <w:t>Safe-by-Design verdieping</w:t>
            </w:r>
          </w:p>
        </w:tc>
        <w:tc>
          <w:tcPr>
            <w:tcW w:type="dxa" w:w="2880"/>
            <w:shd w:fill="F0F4F8" w:val="clear"/>
          </w:tcPr>
          <w:p>
            <w:r>
              <w:rPr>
                <w:sz w:val="18"/>
              </w:rPr>
              <w:t>Specificatie Director</w:t>
            </w:r>
          </w:p>
        </w:tc>
        <w:tc>
          <w:tcPr>
            <w:tcW w:type="dxa" w:w="2880"/>
            <w:shd w:fill="F0F4F8" w:val="clear"/>
          </w:tcPr>
          <w:p>
            <w:r>
              <w:rPr>
                <w:sz w:val="18"/>
              </w:rPr>
              <w:t>✅ PASS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18 thema's compleet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Specificatie Director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✅ PASS</w:t>
            </w:r>
          </w:p>
        </w:tc>
      </w:tr>
      <w:tr>
        <w:tc>
          <w:tcPr>
            <w:tcW w:type="dxa" w:w="2880"/>
            <w:shd w:fill="F0F4F8" w:val="clear"/>
          </w:tcPr>
          <w:p>
            <w:r>
              <w:rPr>
                <w:sz w:val="18"/>
              </w:rPr>
              <w:t>45+ wetgevingen geregistreerd</w:t>
            </w:r>
          </w:p>
        </w:tc>
        <w:tc>
          <w:tcPr>
            <w:tcW w:type="dxa" w:w="2880"/>
            <w:shd w:fill="F0F4F8" w:val="clear"/>
          </w:tcPr>
          <w:p>
            <w:r>
              <w:rPr>
                <w:sz w:val="18"/>
              </w:rPr>
              <w:t>Checklist + online</w:t>
            </w:r>
          </w:p>
        </w:tc>
        <w:tc>
          <w:tcPr>
            <w:tcW w:type="dxa" w:w="2880"/>
            <w:shd w:fill="F0F4F8" w:val="clear"/>
          </w:tcPr>
          <w:p>
            <w:r>
              <w:rPr>
                <w:sz w:val="18"/>
              </w:rPr>
              <w:t>✅ PASS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320+ checklist items gegenereerd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DOCX + XLSX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✅ PASS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17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280"/>
        <w:sz w:val="18"/>
      </w:rPr>
      <w:t>JvG Consultancy | Safety • Governance • Advisory | ©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720000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336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336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336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