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  <w:br/>
        <w:br/>
      </w:r>
      <w:r>
        <w:drawing>
          <wp:inline xmlns:a="http://schemas.openxmlformats.org/drawingml/2006/main" xmlns:pic="http://schemas.openxmlformats.org/drawingml/2006/picture">
            <wp:extent cx="1800000" cy="1616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1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56"/>
        </w:rPr>
        <w:t>INTEGRALE MASTER CHECKLIJST</w:t>
      </w:r>
    </w:p>
    <w:p>
      <w:pPr>
        <w:jc w:val="center"/>
      </w:pPr>
      <w:r>
        <w:rPr>
          <w:color w:val="1F2937"/>
          <w:sz w:val="32"/>
        </w:rPr>
        <w:t>Phoenix Metals Pilot Plant Nieuwbouw</w:t>
        <w:br/>
        <w:t>Vanadiumextractie uit Staalslakken — IJmuiden</w:t>
      </w:r>
    </w:p>
    <w:p>
      <w:pPr>
        <w:jc w:val="center"/>
      </w:pPr>
      <w:r>
        <w:rPr>
          <w:sz w:val="24"/>
        </w:rPr>
        <w:br/>
        <w:br/>
        <w:t>Versie 1.0 | 30-04-2026</w:t>
        <w:br/>
        <w:br/>
        <w:t>JvG Consultancy | Safety • Governance • Advisory</w:t>
      </w:r>
    </w:p>
    <w:p>
      <w:r>
        <w:br w:type="page"/>
      </w:r>
    </w:p>
    <w:p>
      <w:pPr>
        <w:pStyle w:val="Heading1"/>
      </w:pPr>
      <w: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Phoenix Metals Pilot Plant</w:t>
            </w:r>
          </w:p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Type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Integrale Master Checklist</w:t>
            </w:r>
          </w:p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HSEQ Specialist via Kas</w:t>
            </w:r>
          </w:p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1.0</w:t>
            </w:r>
          </w:p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2026-04-30</w:t>
            </w:r>
          </w:p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Final</w:t>
            </w:r>
          </w:p>
        </w:tc>
      </w:tr>
      <w:tr>
        <w:tc>
          <w:tcPr>
            <w:tcW w:type="dxa" w:w="4320"/>
            <w:shd w:fill="F8F9FA"/>
          </w:tcPr>
          <w:p>
            <w:r/>
            <w:r>
              <w:rPr>
                <w:rFonts w:ascii="Calibri" w:hAnsi="Calibri"/>
                <w:b/>
                <w:sz w:val="20"/>
              </w:rPr>
              <w:t>Classificatie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20"/>
              </w:rPr>
              <w:t>Vertrouwelijk</w:t>
            </w:r>
          </w:p>
        </w:tc>
      </w:tr>
    </w:tbl>
    <w:p/>
    <w:p>
      <w:pPr>
        <w:pStyle w:val="Heading2"/>
      </w:pPr>
      <w:r>
        <w:t>Versiehistorie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Auteur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Wijziging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0.1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2026-04-28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HSEQ Specialist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Initiële opzet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1.0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HSEQ Specialist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Eerste release</w:t>
            </w:r>
          </w:p>
        </w:tc>
      </w:tr>
    </w:tbl>
    <w:p>
      <w:r>
        <w:br w:type="page"/>
      </w:r>
    </w:p>
    <w:p>
      <w:pPr>
        <w:pStyle w:val="Heading1"/>
      </w:pPr>
      <w:r>
        <w:t>Inhoudsopgave</w:t>
      </w:r>
    </w:p>
    <w:p>
      <w:r>
        <w:t>1. Inleiding</w:t>
      </w:r>
    </w:p>
    <w:p>
      <w:r>
        <w:t>2. Projectfases Checklist</w:t>
      </w:r>
    </w:p>
    <w:p>
      <w:r>
        <w:t>3. Thematische Checklists</w:t>
      </w:r>
    </w:p>
    <w:p>
      <w:r>
        <w:t>4. Matrix: Thema × Fase</w:t>
      </w:r>
    </w:p>
    <w:p>
      <w:r>
        <w:t>5. Frequentie &amp; Verantwoordelijkheden</w:t>
      </w:r>
    </w:p>
    <w:p>
      <w:r>
        <w:t>6. Wetgevingsregister</w:t>
      </w:r>
    </w:p>
    <w:p>
      <w:r>
        <w:t>7. Bronnenlijst</w:t>
      </w:r>
    </w:p>
    <w:p>
      <w:r>
        <w:t>8. TierVerify Log</w:t>
      </w:r>
    </w:p>
    <w:p>
      <w:r>
        <w:br w:type="page"/>
      </w:r>
    </w:p>
    <w:p>
      <w:pPr>
        <w:pStyle w:val="Heading1"/>
      </w:pPr>
      <w:r>
        <w:t>1. Inleiding</w:t>
      </w:r>
    </w:p>
    <w:p>
      <w:r>
        <w:t>Doel: structurele waarborg dat alle wettelijke, normatieve en best-practice eisen gedurende elke projectfase worden geïdentificeerd, gedocumenteerd en geverifieerd [1][2].</w:t>
      </w:r>
    </w:p>
    <w:p>
      <w:r>
        <w:t>Scope: nieuwbouw pilot plant voor vanadiumextractie uit staalslakken op industrieterrein IJmuiden, inclusief opslag gevaarlijke stoffen (zuren, loggers, vanadiumverbindingen), drukapparatuur en hydrometallurgische procesinstallatie [3].</w:t>
      </w:r>
    </w:p>
    <w:p>
      <w:r>
        <w:t>Kader: Arbowet/Arbobesluit zoals geldend per 2026/Arbobesluit zoals geldend per 2026, Omgevingswet, Besluit Bouwwerken Leefomgeving (Bbl), BRZO 2015/Seveso III, REACH/CLP, PGS 15:2025, PED 2014/68/EU, Machinerichtlijn (EU) 2023/1230 (per 20-1-2027, nu nog 2006/42/EG), ATEX 2014/34/EU en relevante NEN-normen [1][2][4][5].</w:t>
      </w:r>
    </w:p>
    <w:p>
      <w:r>
        <w:br w:type="page"/>
      </w:r>
    </w:p>
    <w:p>
      <w:pPr>
        <w:pStyle w:val="Heading1"/>
      </w:pPr>
      <w:r>
        <w:t>2. Projectfases Checklist</w:t>
      </w:r>
    </w:p>
    <w:p>
      <w:pPr>
        <w:pStyle w:val="Heading2"/>
      </w:pPr>
      <w:r>
        <w:t>2.1 Ontwerpfase (Design for Safety)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Controlepunt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Wet/Norm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Prio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Inherently Safe Design (ISD) principes toegepast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art. 3.6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HAZID studie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NEN-EN-ISO 31000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HAZOP studie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IEC 61882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LOPA / SIL classificatie bepaald</w:t>
            </w:r>
          </w:p>
        </w:tc>
        <w:tc>
          <w:tcPr>
            <w:tcW w:type="dxa" w:w="1728"/>
          </w:tcPr>
          <w:p>
            <w:r>
              <w:t>IEC 61511:2024:2024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ATEX zones gedefinieerd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ATEX 2014/34/EU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RI&amp;E opgesteld (ontwerpfase)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 art. 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 toetsing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Omgevingsvergunning aangevraagd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O-09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Waterschapsvergunning aangevraagd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Waterwet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MER-procedure gestart (indien van toepassing)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milieubeheer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Geluidonderzoek (ontwerp)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geluidhinder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Bodemonderzoek (startnotie)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bodembescherming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Luchtkwaliteitsonderzoek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milieubeheer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Externe veiligheid beoordeeld (QRA)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Bevi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Transportrisico's geanalyseerd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vgs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Brandweer overleg gestart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Regionaal beleid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BIM/3D model opgezet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D4EDDA"/>
          </w:tcPr>
          <w:p>
            <w:r/>
            <w:r>
              <w:rPr>
                <w:rFonts w:ascii="Calibri" w:hAnsi="Calibri"/>
                <w:b w:val="0"/>
                <w:sz w:val="18"/>
              </w:rPr>
              <w:t>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Constructieberekeningen goedgekeurd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Eurocode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O-19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Funderingsontwerp goedgekeurd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1997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O-20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Brandscheiding/compartimentering ontwerp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2.2 Bouwfase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Controlepunt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Wet/Norm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Prio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Bouw- en aanlegplan (B&amp;A) goedgekeurd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VCA** gecertificeerd aannemer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VCA 2017/6.0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Veiligheidsplan opgesteld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Aanrijdbeveiliging geplaatst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ISO 3691-8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Valbeveiliging (daken, hoogwerk)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363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Bodembeschermingsmaatregelen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bodembescherming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Afvalplan opgesteld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LAP3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Geluidsbeperking bouwfase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geluidhinder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B-09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Stofbeheersingsplan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B-10</w:t>
            </w:r>
          </w:p>
        </w:tc>
        <w:tc>
          <w:tcPr>
            <w:tcW w:type="dxa" w:w="1728"/>
          </w:tcPr>
          <w:p>
            <w:r>
              <w:t>Tijdelijke elektra conform 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>
              <w:t>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B-11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Hijsplan opgesteld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1991-3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Confined space procedure actief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3.5a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B-13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Tussentijdse bouwinspecties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B-14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Materiaalcertificaten opgevraagd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B-15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Funderingsinspectie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1997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2.3 Installatie &amp; Inbedrijfname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Controlepunt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Wet/Norm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Prio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Factory Acceptance Test (FAT)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Site Acceptance Test (SAT)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Pre-Startup Safety Review (PSSR) voltooid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LOTO procedure actief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3.5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Drukproeven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I-06</w:t>
            </w:r>
          </w:p>
        </w:tc>
        <w:tc>
          <w:tcPr>
            <w:tcW w:type="dxa" w:w="1728"/>
          </w:tcPr>
          <w:p>
            <w:r>
              <w:t>Elektra-keuringen NEN 1010:2020+C1:2024:2020+C1:2024/NEN 3140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>
              <w:t>NEN 1010:2020+C1:2024:2020+C1:2024/NEN 3140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Aardingsysteem gekeurd</w:t>
            </w:r>
          </w:p>
        </w:tc>
        <w:tc>
          <w:tcPr>
            <w:tcW w:type="dxa" w:w="1728"/>
          </w:tcPr>
          <w:p>
            <w:r>
              <w:t>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Brandwerendheid constructies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I-09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Blusinstallatie getest</w:t>
            </w:r>
          </w:p>
        </w:tc>
        <w:tc>
          <w:tcPr>
            <w:tcW w:type="dxa" w:w="1728"/>
          </w:tcPr>
          <w:p>
            <w:r>
              <w:t>NEN-EN 12845:2024 (delen 1-3):2024 (delen 1-3)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I-10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Gasdetectie getest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60079-29-1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I-11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Ventilatiesysteem getest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Leidingensysteem lektest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I-13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Instrumentatie gekalibreerd</w:t>
            </w:r>
          </w:p>
        </w:tc>
        <w:tc>
          <w:tcPr>
            <w:tcW w:type="dxa" w:w="1728"/>
          </w:tcPr>
          <w:p>
            <w:r>
              <w:t>IEC 61511:2024:2024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I-14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Veiligheidskleppen getest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I-15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Noodverlichting getest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1838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2.4 Commissie &amp; Oplevering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Controlepunt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Wet/Norm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Prio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Opleveringsprotocol UAV 2012 afgerond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UAV 2012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GAR oplevering voltooid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As-built documentatie compleet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Certificaten verzameld en gearchiveerd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Diverse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Noodplan (intern) opgesteld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BHV-plan actueel en getest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 art. 15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CE-markeringen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EU-richtlijnen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Brandweer overleg afrondend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Regionaal beleid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C-09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Defectenlijst opgesteld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UAV 2012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C-10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Garantievoorwaarden gedocumenteerd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UAV 2012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C-11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Oplevering installaties getekend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UAV 2012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C-12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Inbedrijfnamerapport compleet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/>
    <w:p>
      <w:pPr>
        <w:pStyle w:val="Heading2"/>
      </w:pPr>
      <w:r>
        <w:t>2.5 Operationeel (eerste 6 maanden)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Controlepunt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Wet/Norm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Prio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RI&amp;E (operationeel) compleet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 art. 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OP-02</w:t>
            </w:r>
          </w:p>
        </w:tc>
        <w:tc>
          <w:tcPr>
            <w:tcW w:type="dxa" w:w="1728"/>
          </w:tcPr>
          <w:p>
            <w:r>
              <w:t>VBS/NTA 8620:2016 (update verwacht 2026):2016 (update verwacht 2026) veiligheidsbeheerssysteem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>
              <w:t>NTA 8620:2016 (update verwacht 2026):2016 (update verwacht 2026)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Training en instructie personeel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 art. 8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Certificate of Fitness (CoW)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Management of Change (MoC) procedure</w:t>
            </w:r>
          </w:p>
        </w:tc>
        <w:tc>
          <w:tcPr>
            <w:tcW w:type="dxa" w:w="1728"/>
          </w:tcPr>
          <w:p>
            <w:r>
              <w:t>NTA 8620:2016 (update verwacht 2026):2016 (update verwacht 2026)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Onderhoudsplan opgesteld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7.1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Critical Equipment (SCE) gedefinieerd</w:t>
            </w:r>
          </w:p>
        </w:tc>
        <w:tc>
          <w:tcPr>
            <w:tcW w:type="dxa" w:w="1728"/>
          </w:tcPr>
          <w:p>
            <w:r>
              <w:t>IEC 61511:2024:2024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Interne audit uitgevoerd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45001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OP-09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Externe audit voorbereid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VCA/ISO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OP-10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Pre-startup review (post-first run)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/>
    <w:p>
      <w:r>
        <w:br w:type="page"/>
      </w:r>
    </w:p>
    <w:p>
      <w:pPr>
        <w:pStyle w:val="Heading1"/>
      </w:pPr>
      <w:r>
        <w:t>3. Thematische Checklists</w:t>
      </w:r>
    </w:p>
    <w:p>
      <w:pPr>
        <w:pStyle w:val="Heading2"/>
      </w:pPr>
      <w:r>
        <w:t>3.1 Arbowet/Arbobesluit zoals geldend per 2026/Arbobesluit zoals geldend per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Veilige werkplek ingericht</w:t>
            </w:r>
          </w:p>
        </w:tc>
        <w:tc>
          <w:tcPr>
            <w:tcW w:type="dxa" w:w="2160"/>
          </w:tcPr>
          <w:p>
            <w:r>
              <w:t>Arbowet/Arbobesluit zoals geldend per 2026/Arbobesluit zoals geldend per 2026 art. 3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Machines veilig (CE, afscherming)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7.1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PBM's geselecteerd en beschikbaar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2.7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Gevaarlijke stoffen geïnventariseerd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4.1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Stof (chroom-6/vanadium) blootstellingsassessment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4.2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Geluidsniveaus &lt; 80 dB(A) of gehoorbescherming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6.1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Trillingen beoordeeld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6.2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Binnenklimaat acceptabel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Verlichting conform NEN-EN 12464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12464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Ergonomie werkplekken beoordeeld</w:t>
            </w:r>
          </w:p>
        </w:tc>
        <w:tc>
          <w:tcPr>
            <w:tcW w:type="dxa" w:w="2160"/>
          </w:tcPr>
          <w:p>
            <w:r>
              <w:t>Arbowet/Arbobesluit zoals geldend per 2026/Arbobesluit zoals geldend per 2026 art. 3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PSA (hijsmiddelen) gekeurd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7.3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Aanrijdbeveiliging aanwezig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Valbeveiliging bij hoogwerk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3.16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Confined space procedure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3.5a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Elektra veilig (NEN 3140/1010)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 3140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Brandpreventie geïmplementeerd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Bouwbesluit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Eerste hulp voorzieningen</w:t>
            </w:r>
          </w:p>
        </w:tc>
        <w:tc>
          <w:tcPr>
            <w:tcW w:type="dxa" w:w="2160"/>
          </w:tcPr>
          <w:p>
            <w:r>
              <w:t>Arbowet/Arbobesluit zoals geldend per 2026/Arbobesluit zoals geldend per 2026 art. 15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BHV georganiseerd en geoefend</w:t>
            </w:r>
          </w:p>
        </w:tc>
        <w:tc>
          <w:tcPr>
            <w:tcW w:type="dxa" w:w="2160"/>
          </w:tcPr>
          <w:p>
            <w:r>
              <w:t>Arbowet/Arbobesluit zoals geldend per 2026/Arbobesluit zoals geldend per 2026 art. 15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3.2 Omgevingswet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Omgevingsvergunning verleend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Emissies lucht &lt; grenswaarden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 / PGS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Emissies water &lt; grenswaarden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Waterwet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Bodememissies voorkomen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Wet bodembescherming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Afvalscheiding en -afvoer geregeld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LAP3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Geluidsnormen gehaald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Geurhinder beheerst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Lichthinder beperkt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Energiezuinig ontwerp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Energiebesparingsplicht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Circulaire bouw overwogen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3.3 PGS 15:2025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Stoffen geclassificeerd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Hoeveelheden geïnventariseerd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Opslageisen (constructie, ventilatie)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Afstanden tot panden/terrein voldoen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Overvulbeveiliging geïnstalleerd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Lekbakken/parkeringsdorp aanwezig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Detectie (gas/vloeistof) actief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Blusvoorzieningen conform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Vergunning opslag verleend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Periodieke keuringen ingepland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3.4 REACH &amp; CLP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Vanadiumverbindingen geregistreerd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REACH (EG) 1907/2006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Classificatie en labelling (CLP)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CLP (EG) 1272/2008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Veiligheidsinformatiebladen (VIB's) beschikbaar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REACH art. 31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Autorisatie check (bijlage XIV)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REACH art. 56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Restricties check (bijlage XVII)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REACH art. 67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PPORD notificing (indien R&amp;D)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REACH art. 57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Blootstellingsscenario's opgesteld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REACH bijlage I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3.5 Brand &amp; Explosie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Brandpreventie maatregelen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Compartimentering conform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Ontruimingsplan NEN 8112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 8112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>
              <w:t>Blusinstallatie NEN-EN 12845:2024 (delen 1-3):2024 (delen 1-3)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>
              <w:t>NEN-EN 12845:2024 (delen 1-3):2024 (delen 1-3)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Branddetectie/meldsysteem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54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ATEX zones en ex-apparatuur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ATEX 2014/34/EU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Explosieveiligheidsdocument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3.5c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Stofexplosie Kst-waarde bepaald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14034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Ex-zones gedefinieerd en geschilderd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ATEX 2014/34/EU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Statische elektriciteit beheerst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13463-1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3.6 Drukapparatuur PED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Drukvaten geclassificeerd (categorie I-IV)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Veiligheidskleppen dimensioneerd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Drukproeven uitgevoerd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CE-markering drukapparatuur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Periodieke keuringen ingepland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drukapparatuur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3.7 Machineveiligheid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CE-markering machines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2006/42/EG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Risicoanalyse NEN-EN ISO 12100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ISO 12100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Beveiligingen (afschermingen)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2006/42/EG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Noodstop functioneel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60204-1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Transportbanden beveiligd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ISO 14119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Crusher/molen beveiligd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2006/42/EG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Reactorinstallatie veilig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2006/42/EG / PED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3.8 Transport &amp; Logistiek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ADR verplichtingen (indien van toepassing)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ADR 2025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Aanrijdbeveiliging laad/los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Verkeersplan opgesteld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Laad/los procedures gedocumenteerd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ADR / Best practice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3.9 Binnenklimaat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Ventilatie capaciteit toereikend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Temperatuur acceptable (18-25°C)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Luchtkwaliteit (CO2, TVOC)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Fijnstof afzuiging proces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4.2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Vochtbeheersing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3.6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Procesafzuiging (zuren dampen)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4.2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3.10 Elektrisch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>
              <w:t>NEN 1010:2020+C1:2024:2020+C1:2024 laagspanning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>
              <w:t>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60204-1 machines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60204-1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Hoogspanning (indien van toepassing)</w:t>
            </w:r>
          </w:p>
        </w:tc>
        <w:tc>
          <w:tcPr>
            <w:tcW w:type="dxa" w:w="2160"/>
          </w:tcPr>
          <w:p>
            <w:r>
              <w:t>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Aardingssysteem</w:t>
            </w:r>
          </w:p>
        </w:tc>
        <w:tc>
          <w:tcPr>
            <w:tcW w:type="dxa" w:w="2160"/>
          </w:tcPr>
          <w:p>
            <w:r>
              <w:t>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Bliksembeveiliging NEN-EN 62305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62305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Overspanningsbeveiliging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62305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EMC-compliance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EMC-richtlijn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Noodstroomvoorziening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Bouwbesluit / Best practice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3.11 Seveso/BRZO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Drempelwaarden check (identificatie BRZO-plicht)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>
              <w:t>VBS conform NTA 8620:2016 (update verwacht 2026):2016 (update verwacht 2026)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>
              <w:t>NTA 8620:2016 (update verwacht 2026):2016 (update verwacht 2026)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Veiligheidsrapportage (VR) opgesteld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 art. 17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PBZO-noodplan extern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 art. 25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Noodplanning intern en extern afgestemd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pPr>
        <w:pStyle w:val="Heading2"/>
      </w:pPr>
      <w:r>
        <w:t>3.12 Documentatie &amp; Certificering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Norm/Wet</w:t>
            </w:r>
          </w:p>
        </w:tc>
        <w:tc>
          <w:tcPr>
            <w:tcW w:type="dxa" w:w="216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CE-markering compleet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Diverse EU-richtlijnen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Keuringsrapporten gearchiveerd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Diverse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As-built tekeningen compleet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P&amp;ID's actueel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Handleidingen beschikbaar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2006/42/EG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GAR geregistreerd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VCA-certificering behaald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VCA 2017/6.0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  <w:tr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ISO 45001/14001 (indien van toepassing)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ISO</w:t>
            </w:r>
          </w:p>
        </w:tc>
        <w:tc>
          <w:tcPr>
            <w:tcW w:type="dxa" w:w="2160"/>
          </w:tcPr>
          <w:p>
            <w:r/>
            <w:r>
              <w:rPr>
                <w:rFonts w:ascii="Calibri" w:hAnsi="Calibri"/>
                <w:b w:val="0"/>
                <w:sz w:val="18"/>
              </w:rPr>
              <w:t>☐</w:t>
            </w:r>
          </w:p>
        </w:tc>
      </w:tr>
    </w:tbl>
    <w:p>
      <w:r>
        <w:br w:type="page"/>
      </w:r>
    </w:p>
    <w:p>
      <w:pPr>
        <w:pStyle w:val="Heading1"/>
      </w:pPr>
      <w:r>
        <w:t>4. Matrix: Thema × Fase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Thema</w:t>
            </w:r>
          </w:p>
        </w:tc>
        <w:tc>
          <w:tcPr>
            <w:tcW w:type="dxa" w:w="144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Ontwerp</w:t>
            </w:r>
          </w:p>
        </w:tc>
        <w:tc>
          <w:tcPr>
            <w:tcW w:type="dxa" w:w="144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Bouw</w:t>
            </w:r>
          </w:p>
        </w:tc>
        <w:tc>
          <w:tcPr>
            <w:tcW w:type="dxa" w:w="144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Installatie</w:t>
            </w:r>
          </w:p>
        </w:tc>
        <w:tc>
          <w:tcPr>
            <w:tcW w:type="dxa" w:w="144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Oplevering</w:t>
            </w:r>
          </w:p>
        </w:tc>
        <w:tc>
          <w:tcPr>
            <w:tcW w:type="dxa" w:w="1440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Operationeel</w:t>
            </w:r>
          </w:p>
        </w:tc>
      </w:tr>
      <w:tr>
        <w:tc>
          <w:tcPr>
            <w:tcW w:type="dxa" w:w="1440"/>
          </w:tcPr>
          <w:p>
            <w:r>
              <w:t>Arbowet/Arbobesluit zoals geldend per 2026/Arbobesluit zoals geldend per 2026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Omgevingswet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PGS 15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REACH/CLP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Brand &amp; Explosie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PED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Machineveiligheid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Transport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Binnenklimaat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Elektrisch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Seveso/BRZO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Calibri" w:hAnsi="Calibri"/>
                <w:b/>
                <w:sz w:val="18"/>
              </w:rPr>
              <w:t>Documentatie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  <w:tc>
          <w:tcPr>
            <w:tcW w:type="dxa" w:w="1440"/>
          </w:tcPr>
          <w:p>
            <w:r/>
            <w:r>
              <w:rPr>
                <w:rFonts w:ascii="Calibri" w:hAnsi="Calibri"/>
                <w:b w:val="0"/>
                <w:sz w:val="18"/>
              </w:rPr>
              <w:t>●</w:t>
            </w:r>
          </w:p>
        </w:tc>
      </w:tr>
    </w:tbl>
    <w:p/>
    <w:p>
      <w:r>
        <w:t>Legenda: ● = Relevant per thema-fase combinatie. Prioriteit: H=rood, M=amber, L=groen. Gedetailleerde prioriteitsmatrix in Excel-register.</w:t>
      </w:r>
    </w:p>
    <w:p>
      <w:r>
        <w:br w:type="page"/>
      </w:r>
    </w:p>
    <w:p>
      <w:pPr>
        <w:pStyle w:val="Heading1"/>
      </w:pPr>
      <w:r>
        <w:t>5. Frequentie &amp; Verantwoordelijkheden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Aspect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RI&amp;E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1x/jaar + bij wijziging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HSEQ Manager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 art. 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Inspectie ronde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Wekelijks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Operationeel Manager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Interne checklist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Brandveiligheid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Kwartaal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Brandpreventie-adviseur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>
              <w:t>NEN-EN 12845:2024 (delen 1-3):2024 (delen 1-3)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Noodoefening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2x/jaar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BHV-coördinator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 art. 15</w:t>
            </w: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Externe audit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Jaarlijks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HSEQ Manager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VCA/ISO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Elektrakeuring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1x/jaar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Installateur (RI&amp;E-erkend)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 3140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Drukapparatuur keuring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Volgens schema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Keuringsinstantie (CI)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PED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PBM keuring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Volgens leverancier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HSEQ Manager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Luchtmetingen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1x/jaar (min)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Arbeidshygiënist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 4.2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MoC beoordeling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Bij elke wijziging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Project Manager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>
              <w:t>NTA 8620:2016 (update verwacht 2026):2016 (update verwacht 2026)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VCA audit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Jaarlijks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Externe auditor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VCA 2017/6.0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Bodemonderzoek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Start + afsluiting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Milieuadviseur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bodembescherming</w:t>
            </w:r>
          </w:p>
        </w:tc>
      </w:tr>
    </w:tbl>
    <w:p>
      <w:r>
        <w:br w:type="page"/>
      </w:r>
    </w:p>
    <w:p>
      <w:pPr>
        <w:pStyle w:val="Heading1"/>
      </w:pPr>
      <w:r>
        <w:t>6. Wetgevingsregister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Wetgeving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Artikel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Relevant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Impact</w:t>
            </w:r>
          </w:p>
        </w:tc>
      </w:tr>
      <w:tr>
        <w:tc>
          <w:tcPr>
            <w:tcW w:type="dxa" w:w="1728"/>
          </w:tcPr>
          <w:p>
            <w:r>
              <w:t>Arbowet/Arbobesluit zoals geldend per 2026/Arbobesluit zoals geldend per 2026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3-15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Arbeidsomstandigheden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Kernkader veiligheid en gezondheid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Arbobesluit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2-9</w:t>
            </w:r>
          </w:p>
        </w:tc>
        <w:tc>
          <w:tcPr>
            <w:tcW w:type="dxa" w:w="1728"/>
          </w:tcPr>
          <w:p>
            <w:r>
              <w:t>Uitvoering Arbowet/Arbobesluit zoals geldend per 2026/Arbobesluit zoals geldend per 2026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Detailregeling RI&amp;E, stoffen, machines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Bouwwerken Leefomgeving (Bbl)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2.1-7.3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Bouweisen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Constructieve en brandveiligheid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2.1-18.6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Milieuvergunning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Vergunningsplicht en voorwaarden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1-27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Seveso III implementatie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Indien drempelwaarden overschreden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REACH (EG) 1907/2006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1-141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Chemische stoffen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Registratie, autorisatie, restricties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CLP (EG) 1272/2008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1-53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Classificatie etikettering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Gevaaraanduiding stoffen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PED 2014/68/EU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1-20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Drukapparatuur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CE, keuring, classificatie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Machinerichtlijn (EU) 2023/1230 (per 20-1-2027, nu nog 2006/42/EG)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1-24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Machineveiligheid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CE, risicoanalyse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ATEX 2014/34/EU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Explosieveiligheid apparatuur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Ex-apparatuur, zones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ATEX 1999/92/EG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Explosieveiligheid werkplek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Ex-zones, document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ADR 2025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1.1-9.6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Vervoer gevaarlijke stoffen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Wegvervoer classificatie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Waterwet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1-22.6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Waterzuivering/lozing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Lozingsvergunning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bodembescherming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1-29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Bodem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Bodembeheer, sanering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geluidhinder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1-11.4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Geluid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Geluidszone, grenswaarden</w:t>
            </w:r>
          </w:p>
        </w:tc>
      </w:tr>
      <w:tr>
        <w:tc>
          <w:tcPr>
            <w:tcW w:type="dxa" w:w="1728"/>
          </w:tcPr>
          <w:p>
            <w:r>
              <w:t>NEN 1010:2020+C1:2024:2020+C1:2024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Laagspanning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Elektrische installaties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 3140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Elektra bedrijf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Bedrijfsvoering elektra</w:t>
            </w:r>
          </w:p>
        </w:tc>
      </w:tr>
      <w:tr>
        <w:tc>
          <w:tcPr>
            <w:tcW w:type="dxa" w:w="1728"/>
          </w:tcPr>
          <w:p>
            <w:r>
              <w:t>NEN-EN 12845:2024 (delen 1-3):2024 (delen 1-3)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Blusinstallatie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Sprinklerinstallaties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 8112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Ontruiming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Ontruimingsplan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ISO 12100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Machineveiligheid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Risicoanalyse</w:t>
            </w:r>
          </w:p>
        </w:tc>
      </w:tr>
      <w:tr>
        <w:tc>
          <w:tcPr>
            <w:tcW w:type="dxa" w:w="1728"/>
          </w:tcPr>
          <w:p>
            <w:r>
              <w:t>IEC 61511:2024:2024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Functieveiligheid (SIS)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SIL, LOPA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IEC 61882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HAZOP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Geleidewoorden methode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Opslag gevaarlijke stoffen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Opslagvereisten</w:t>
            </w:r>
          </w:p>
        </w:tc>
      </w:tr>
      <w:tr>
        <w:tc>
          <w:tcPr>
            <w:tcW w:type="dxa" w:w="1728"/>
          </w:tcPr>
          <w:p>
            <w:r>
              <w:t>NTA 8620:2016 (update verwacht 2026):2016 (update verwacht 2026)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VBS Seveso-inrichtingen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Veiligheidsbeheerssysteem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UAV 2012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Aanneming contract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Oplevering, garanties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Energiebesparingsplicht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2.30 Ow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Energiezuinigheid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Energiebesparing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LAP3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Afvalbeleid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Afvalhiërarchie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milieubeheer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1-19.16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MER, emissies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MER-plicht, emissies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drukapparatuur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Nationale uitv. PED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Keuringsregime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Besluit externe veiligheid inrichtingen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1-4.20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Externe veiligheid</w:t>
            </w:r>
          </w:p>
        </w:tc>
        <w:tc>
          <w:tcPr>
            <w:tcW w:type="dxa" w:w="1728"/>
            <w:shd w:fill="FFCCCC"/>
          </w:tcPr>
          <w:p>
            <w:r/>
            <w:r>
              <w:rPr>
                <w:rFonts w:ascii="Calibri" w:hAnsi="Calibri"/>
                <w:b w:val="0"/>
                <w:sz w:val="18"/>
              </w:rPr>
              <w:t>H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Groepsrisico, plaatsgebonden risico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Wet vervoer gevaarlijke stoffen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1-20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Transport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Vervoer over weg/water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EMC-richtlijn 2014/30/EU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Art. 1-14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EMC</w:t>
            </w:r>
          </w:p>
        </w:tc>
        <w:tc>
          <w:tcPr>
            <w:tcW w:type="dxa" w:w="1728"/>
            <w:shd w:fill="D4EDDA"/>
          </w:tcPr>
          <w:p>
            <w:r/>
            <w:r>
              <w:rPr>
                <w:rFonts w:ascii="Calibri" w:hAnsi="Calibri"/>
                <w:b w:val="0"/>
                <w:sz w:val="18"/>
              </w:rPr>
              <w:t>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Elektromagnetische compatibiliteit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NEN-EN 62305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—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Bliksembeveiliging</w:t>
            </w:r>
          </w:p>
        </w:tc>
        <w:tc>
          <w:tcPr>
            <w:tcW w:type="dxa" w:w="1728"/>
            <w:shd w:fill="FFF3CD"/>
          </w:tcPr>
          <w:p>
            <w:r/>
            <w:r>
              <w:rPr>
                <w:rFonts w:ascii="Calibri" w:hAnsi="Calibri"/>
                <w:b w:val="0"/>
                <w:sz w:val="18"/>
              </w:rPr>
              <w:t>M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Bliksemafleiding</w:t>
            </w:r>
          </w:p>
        </w:tc>
      </w:tr>
    </w:tbl>
    <w:p>
      <w:r>
        <w:br w:type="page"/>
      </w:r>
    </w:p>
    <w:p>
      <w:pPr>
        <w:pStyle w:val="Heading1"/>
      </w:pPr>
      <w:r>
        <w:t>7. Bronnenlijst</w:t>
      </w:r>
    </w:p>
    <w:p>
      <w:r>
        <w:t>[1] Arbowet/Arbobesluit zoals geldend per 2026/Arbobesluit zoals geldend per 2026 (Arbeidsomstandighedenwet), Wet van 10 maart 1998, Stb. 1998, 188.</w:t>
      </w:r>
    </w:p>
    <w:p>
      <w:r>
        <w:t>[2] Omgevingswet, Wet van 23 maart 2016, Stb. 2016, 156.</w:t>
      </w:r>
    </w:p>
    <w:p>
      <w:r>
        <w:t>[3] Phoenix Metals — Projectinformatie Pilot Plant Vanadiumextractie, IJmuiden, 2026.</w:t>
      </w:r>
    </w:p>
    <w:p>
      <w:r>
        <w:t>[4] BRZO 2015 (Besluit risico's zware ongevallen 2015), Stb. 2015, 371.</w:t>
      </w:r>
    </w:p>
    <w:p>
      <w:r>
        <w:t>[5] Besluit Bouwwerken Leefomgeving (Bbl), Stb. 2011, 416.</w:t>
      </w:r>
    </w:p>
    <w:p>
      <w:r>
        <w:t>[6] REACH Verordening (EG) Nr. 1907/2006.</w:t>
      </w:r>
    </w:p>
    <w:p>
      <w:r>
        <w:t>[7] CLP Verordening (EG) Nr. 1272/2008.</w:t>
      </w:r>
    </w:p>
    <w:p>
      <w:r>
        <w:t>[8] PED 2014/68/EU (Drukapparatuurrichtlijn).</w:t>
      </w:r>
    </w:p>
    <w:p>
      <w:r>
        <w:t>[9] Machinerichtlijn (EU) 2023/1230 (per 20-1-2027, nu nog 2006/42/EG).</w:t>
      </w:r>
    </w:p>
    <w:p>
      <w:r>
        <w:t>[10] ATEX 2014/34/EU (Explosieveiligheid).</w:t>
      </w:r>
    </w:p>
    <w:p>
      <w:r>
        <w:t>[11] PGS 15:2025 — Publicatiereeks Gevaarlijke Stoffen, Opslag.</w:t>
      </w:r>
    </w:p>
    <w:p>
      <w:r>
        <w:t>[12] NTA 8620:2016 (update verwacht 2026):2016 (update verwacht 2026):2020 — Veiligheidsbeheerssysteem Seveso-inrichtingen.</w:t>
      </w:r>
    </w:p>
    <w:p>
      <w:r>
        <w:t>[13] NEN-EN 12845:2024 (delen 1-3):2024 (delen 1-3) — Vaste blusinstallaties.</w:t>
      </w:r>
    </w:p>
    <w:p>
      <w:r>
        <w:t>[14] IEC 61511:2024:2024 — Functionele veiligheid (SIS).</w:t>
      </w:r>
    </w:p>
    <w:p>
      <w:r>
        <w:t>[15] UAV 2012 — Uniforme Administratieve Voorwaarden.</w:t>
      </w:r>
    </w:p>
    <w:p>
      <w:r>
        <w:br w:type="page"/>
      </w:r>
    </w:p>
    <w:p>
      <w:pPr>
        <w:pStyle w:val="Heading1"/>
      </w:pPr>
      <w:r>
        <w:t>8. 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Tier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72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T1</w:t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2026geving compliance check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>
              <w:t>Arbowet/Arbobesluit zoals geldend per 2026/Arbobesluit zoals geldend per 2026/Stb.</w:t>
            </w:r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 vergunningscheck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Omgevingswet/Stb.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T1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BRZO drempelwaarden beoordeeld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BRZO 2015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PGS 15:2025 opslagvereisten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PGS 15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NEN-normen toepasbaarheid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NEN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REACH/CLP classificatie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ECHA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Best practice ISD/HAZOP/LOPA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Branchestandaarden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T3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Golden Standard toetsing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JvG Consultancy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✅ Geverifieerd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2026-04-30</w:t>
            </w:r>
          </w:p>
        </w:tc>
      </w:tr>
    </w:tbl>
    <w:p/>
    <w:p>
      <w:pPr>
        <w:jc w:val="center"/>
      </w:pPr>
      <w:r>
        <w:rPr>
          <w:color w:val="374151"/>
          <w:sz w:val="18"/>
        </w:rPr>
        <w:t>JvG Consultancy | Safety • Governance • Advisory | © 2026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