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536"/>
        <w:gridCol w:w="4536"/>
      </w:tblGrid>
      <w:tr>
        <w:tc>
          <w:tcPr>
            <w:tcW w:type="dxa" w:w="4536"/>
            <w:tcBorders>
              <w:top w:val="none" w:sz="0" w:space="0" w:color="FFFFFF"/>
              <w:bottom w:val="none" w:sz="0" w:space="0" w:color="FFFFFF"/>
              <w:left w:val="none" w:sz="0" w:space="0" w:color="FFFFFF"/>
              <w:right w:val="none" w:sz="0" w:space="0" w:color="FFFFFF"/>
            </w:tcBorders>
          </w:tcPr>
          <w:p>
            <w:r/>
          </w:p>
        </w:tc>
        <w:tc>
          <w:tcPr>
            <w:tcW w:type="dxa" w:w="4536"/>
            <w:tcBorders>
              <w:top w:val="none" w:sz="0" w:space="0" w:color="FFFFFF"/>
              <w:bottom w:val="none" w:sz="0" w:space="0" w:color="FFFFFF"/>
              <w:left w:val="none" w:sz="0" w:space="0" w:color="FFFFFF"/>
              <w:right w:val="none" w:sz="0" w:space="0" w:color="FFFFFF"/>
            </w:tcBorders>
          </w:tcPr>
          <w:p>
            <w:pPr>
              <w:jc w:val="right"/>
            </w:pPr>
            <w:r/>
            <w:r>
              <w:drawing>
                <wp:inline xmlns:a="http://schemas.openxmlformats.org/drawingml/2006/main" xmlns:pic="http://schemas.openxmlformats.org/drawingml/2006/picture">
                  <wp:extent cx="719748" cy="648384"/>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719748" cy="648384"/>
                          </a:xfrm>
                          <a:prstGeom prst="rect"/>
                        </pic:spPr>
                      </pic:pic>
                    </a:graphicData>
                  </a:graphic>
                </wp:inline>
              </w:drawing>
            </w:r>
          </w:p>
        </w:tc>
      </w:tr>
    </w:tbl>
    <w:p/>
    <w:p/>
    <w:p/>
    <w:p/>
    <w:p>
      <w:pPr>
        <w:spacing w:after="160"/>
        <w:jc w:val="left"/>
      </w:pPr>
      <w:r>
        <w:rPr>
          <w:rFonts w:ascii="Calibri" w:hAnsi="Calibri"/>
          <w:b/>
          <w:color w:val="003366"/>
          <w:sz w:val="56"/>
        </w:rPr>
        <w:t>HSEQ Intelligence Monitor</w:t>
      </w:r>
    </w:p>
    <w:p>
      <w:pPr>
        <w:spacing w:after="320"/>
        <w:jc w:val="left"/>
      </w:pPr>
      <w:r>
        <w:rPr>
          <w:rFonts w:ascii="Calibri" w:hAnsi="Calibri"/>
          <w:b/>
          <w:color w:val="003366"/>
          <w:sz w:val="44"/>
        </w:rPr>
        <w:t>Fase 0 Rapport</w:t>
      </w:r>
    </w:p>
    <w:p>
      <w:pPr>
        <w:spacing w:after="320"/>
        <w:pBdr>
          <w:bottom w:val="single" w:sz="12" w:space="1" w:color="003366"/>
        </w:pBdr>
      </w:pPr>
    </w:p>
    <w:p>
      <w:pPr>
        <w:spacing w:after="800"/>
        <w:jc w:val="left"/>
      </w:pPr>
      <w:r>
        <w:rPr>
          <w:rFonts w:ascii="Calibri" w:hAnsi="Calibri"/>
          <w:color w:val="003366"/>
          <w:sz w:val="28"/>
        </w:rPr>
        <w:t>Compliance Gap Analysis &amp; Consultancy Kansen</w:t>
      </w:r>
    </w:p>
    <w:tbl>
      <w:tblPr>
        <w:tblW w:type="auto" w:w="0"/>
        <w:jc w:val="left"/>
        <w:tblLook w:firstColumn="1" w:firstRow="1" w:lastColumn="0" w:lastRow="0" w:noHBand="0" w:noVBand="1" w:val="04A0"/>
      </w:tblPr>
      <w:tblGrid>
        <w:gridCol w:w="4536"/>
        <w:gridCol w:w="4536"/>
      </w:tblGrid>
      <w:tr>
        <w:tc>
          <w:tcPr>
            <w:tcW w:type="dxa" w:w="4536"/>
            <w:tcBorders>
              <w:top w:val="none" w:sz="0" w:space="0" w:color="FFFFFF"/>
              <w:bottom w:val="none" w:sz="0" w:space="0" w:color="FFFFFF"/>
              <w:left w:val="none" w:sz="0" w:space="0" w:color="FFFFFF"/>
              <w:right w:val="none" w:sz="0" w:space="0" w:color="FFFFFF"/>
            </w:tcBorders>
          </w:tcPr>
          <w:p>
            <w:r/>
            <w:r>
              <w:rPr>
                <w:rFonts w:ascii="Calibri" w:hAnsi="Calibri"/>
                <w:b/>
                <w:color w:val="003366"/>
                <w:sz w:val="22"/>
              </w:rPr>
              <w:t>Versie:</w:t>
            </w:r>
          </w:p>
        </w:tc>
        <w:tc>
          <w:tcPr>
            <w:tcW w:type="dxa" w:w="4536"/>
            <w:tcBorders>
              <w:top w:val="none" w:sz="0" w:space="0" w:color="FFFFFF"/>
              <w:bottom w:val="none" w:sz="0" w:space="0" w:color="FFFFFF"/>
              <w:left w:val="none" w:sz="0" w:space="0" w:color="FFFFFF"/>
              <w:right w:val="none" w:sz="0" w:space="0" w:color="FFFFFF"/>
            </w:tcBorders>
          </w:tcPr>
          <w:p>
            <w:r/>
            <w:r>
              <w:rPr>
                <w:rFonts w:ascii="Calibri" w:hAnsi="Calibri"/>
                <w:sz w:val="22"/>
              </w:rPr>
              <w:t>v0.1-DRAFT</w:t>
            </w:r>
          </w:p>
        </w:tc>
      </w:tr>
      <w:tr>
        <w:tc>
          <w:tcPr>
            <w:tcW w:type="dxa" w:w="4536"/>
            <w:tcBorders>
              <w:top w:val="none" w:sz="0" w:space="0" w:color="FFFFFF"/>
              <w:bottom w:val="none" w:sz="0" w:space="0" w:color="FFFFFF"/>
              <w:left w:val="none" w:sz="0" w:space="0" w:color="FFFFFF"/>
              <w:right w:val="none" w:sz="0" w:space="0" w:color="FFFFFF"/>
            </w:tcBorders>
          </w:tcPr>
          <w:p>
            <w:r/>
            <w:r>
              <w:rPr>
                <w:rFonts w:ascii="Calibri" w:hAnsi="Calibri"/>
                <w:b/>
                <w:color w:val="003366"/>
                <w:sz w:val="22"/>
              </w:rPr>
              <w:t>Datum:</w:t>
            </w:r>
          </w:p>
        </w:tc>
        <w:tc>
          <w:tcPr>
            <w:tcW w:type="dxa" w:w="4536"/>
            <w:tcBorders>
              <w:top w:val="none" w:sz="0" w:space="0" w:color="FFFFFF"/>
              <w:bottom w:val="none" w:sz="0" w:space="0" w:color="FFFFFF"/>
              <w:left w:val="none" w:sz="0" w:space="0" w:color="FFFFFF"/>
              <w:right w:val="none" w:sz="0" w:space="0" w:color="FFFFFF"/>
            </w:tcBorders>
          </w:tcPr>
          <w:p>
            <w:r/>
            <w:r>
              <w:rPr>
                <w:rFonts w:ascii="Calibri" w:hAnsi="Calibri"/>
                <w:sz w:val="22"/>
              </w:rPr>
              <w:t>1 april 2026</w:t>
            </w:r>
          </w:p>
        </w:tc>
      </w:tr>
      <w:tr>
        <w:tc>
          <w:tcPr>
            <w:tcW w:type="dxa" w:w="4536"/>
            <w:tcBorders>
              <w:top w:val="none" w:sz="0" w:space="0" w:color="FFFFFF"/>
              <w:bottom w:val="none" w:sz="0" w:space="0" w:color="FFFFFF"/>
              <w:left w:val="none" w:sz="0" w:space="0" w:color="FFFFFF"/>
              <w:right w:val="none" w:sz="0" w:space="0" w:color="FFFFFF"/>
            </w:tcBorders>
          </w:tcPr>
          <w:p>
            <w:r/>
            <w:r>
              <w:rPr>
                <w:rFonts w:ascii="Calibri" w:hAnsi="Calibri"/>
                <w:b/>
                <w:color w:val="003366"/>
                <w:sz w:val="22"/>
              </w:rPr>
              <w:t>Auteur:</w:t>
            </w:r>
          </w:p>
        </w:tc>
        <w:tc>
          <w:tcPr>
            <w:tcW w:type="dxa" w:w="4536"/>
            <w:tcBorders>
              <w:top w:val="none" w:sz="0" w:space="0" w:color="FFFFFF"/>
              <w:bottom w:val="none" w:sz="0" w:space="0" w:color="FFFFFF"/>
              <w:left w:val="none" w:sz="0" w:space="0" w:color="FFFFFF"/>
              <w:right w:val="none" w:sz="0" w:space="0" w:color="FFFFFF"/>
            </w:tcBorders>
          </w:tcPr>
          <w:p>
            <w:r/>
            <w:r>
              <w:rPr>
                <w:rFonts w:ascii="Calibri" w:hAnsi="Calibri"/>
                <w:sz w:val="22"/>
              </w:rPr>
              <w:t>EA_04 (data) | EA_05 (formatting)</w:t>
            </w:r>
          </w:p>
        </w:tc>
      </w:tr>
      <w:tr>
        <w:tc>
          <w:tcPr>
            <w:tcW w:type="dxa" w:w="4536"/>
            <w:tcBorders>
              <w:top w:val="none" w:sz="0" w:space="0" w:color="FFFFFF"/>
              <w:bottom w:val="none" w:sz="0" w:space="0" w:color="FFFFFF"/>
              <w:left w:val="none" w:sz="0" w:space="0" w:color="FFFFFF"/>
              <w:right w:val="none" w:sz="0" w:space="0" w:color="FFFFFF"/>
            </w:tcBorders>
          </w:tcPr>
          <w:p>
            <w:r/>
            <w:r>
              <w:rPr>
                <w:rFonts w:ascii="Calibri" w:hAnsi="Calibri"/>
                <w:b/>
                <w:color w:val="003366"/>
                <w:sz w:val="22"/>
              </w:rPr>
              <w:t>Status:</w:t>
            </w:r>
          </w:p>
        </w:tc>
        <w:tc>
          <w:tcPr>
            <w:tcW w:type="dxa" w:w="4536"/>
            <w:tcBorders>
              <w:top w:val="none" w:sz="0" w:space="0" w:color="FFFFFF"/>
              <w:bottom w:val="none" w:sz="0" w:space="0" w:color="FFFFFF"/>
              <w:left w:val="none" w:sz="0" w:space="0" w:color="FFFFFF"/>
              <w:right w:val="none" w:sz="0" w:space="0" w:color="FFFFFF"/>
            </w:tcBorders>
          </w:tcPr>
          <w:p>
            <w:r/>
            <w:r>
              <w:rPr>
                <w:rFonts w:ascii="Calibri" w:hAnsi="Calibri"/>
                <w:b/>
                <w:color w:val="FD7E14"/>
                <w:sz w:val="22"/>
              </w:rPr>
              <w:t>DRAFT — WACHT OP GO</w:t>
            </w:r>
          </w:p>
        </w:tc>
      </w:tr>
    </w:tbl>
    <w:p/>
    <w:p/>
    <w:p/>
    <w:p/>
    <w:p/>
    <w:p/>
    <w:p>
      <w:pPr>
        <w:jc w:val="center"/>
      </w:pPr>
      <w:r>
        <w:rPr>
          <w:rFonts w:ascii="Calibri" w:hAnsi="Calibri"/>
          <w:b/>
          <w:color w:val="003366"/>
          <w:sz w:val="20"/>
        </w:rPr>
        <w:t>JvG Consultancy</w:t>
      </w:r>
      <w:r>
        <w:rPr>
          <w:rFonts w:ascii="Calibri" w:hAnsi="Calibri"/>
          <w:color w:val="666666"/>
          <w:sz w:val="20"/>
        </w:rPr>
        <w:t xml:space="preserve">  |  Safety • Governance • Advisory</w:t>
      </w:r>
    </w:p>
    <w:p>
      <w:pPr>
        <w:sectPr>
          <w:pgSz w:w="11906" w:h="16838"/>
          <w:pgMar w:top="1417" w:right="1417" w:bottom="1134" w:left="1417" w:header="720" w:footer="720" w:gutter="0"/>
          <w:cols w:space="720"/>
          <w:docGrid w:linePitch="360"/>
        </w:sectPr>
      </w:pPr>
    </w:p>
    <w:p>
      <w:pPr>
        <w:pStyle w:val="Heading1"/>
      </w:pPr>
      <w:r>
        <w:rPr>
          <w:rFonts w:ascii="Calibri" w:hAnsi="Calibri"/>
          <w:b/>
          <w:color w:val="003366"/>
          <w:sz w:val="36"/>
        </w:rPr>
        <w:t>Inhoudsopgave</w:t>
      </w:r>
    </w:p>
    <w:p>
      <w:pPr>
        <w:spacing w:after="120"/>
      </w:pPr>
      <w:r>
        <w:rPr>
          <w:rFonts w:ascii="Calibri" w:hAnsi="Calibri"/>
          <w:color w:val="003366"/>
          <w:sz w:val="22"/>
        </w:rPr>
        <w:t>1.  Executive Summary</w:t>
      </w:r>
    </w:p>
    <w:p>
      <w:pPr>
        <w:spacing w:after="120"/>
      </w:pPr>
      <w:r>
        <w:rPr>
          <w:rFonts w:ascii="Calibri" w:hAnsi="Calibri"/>
          <w:color w:val="003366"/>
          <w:sz w:val="22"/>
        </w:rPr>
        <w:t>2.  Kennisbank Inventarisatie</w:t>
      </w:r>
    </w:p>
    <w:p>
      <w:pPr>
        <w:spacing w:after="120"/>
      </w:pPr>
      <w:r>
        <w:rPr>
          <w:rFonts w:ascii="Calibri" w:hAnsi="Calibri"/>
          <w:color w:val="003366"/>
          <w:sz w:val="22"/>
        </w:rPr>
        <w:t>3.  Bronnenoverzicht</w:t>
      </w:r>
    </w:p>
    <w:p>
      <w:pPr>
        <w:spacing w:after="120"/>
      </w:pPr>
      <w:r>
        <w:rPr>
          <w:rFonts w:ascii="Calibri" w:hAnsi="Calibri"/>
          <w:color w:val="003366"/>
          <w:sz w:val="22"/>
        </w:rPr>
        <w:t>4.  Compliance Gap Analysis</w:t>
      </w:r>
    </w:p>
    <w:p>
      <w:pPr>
        <w:spacing w:after="120"/>
      </w:pPr>
      <w:r>
        <w:rPr>
          <w:rFonts w:ascii="Calibri" w:hAnsi="Calibri"/>
          <w:color w:val="003366"/>
          <w:sz w:val="22"/>
        </w:rPr>
        <w:t>5.  Consultancy Kansen</w:t>
      </w:r>
    </w:p>
    <w:p>
      <w:pPr>
        <w:spacing w:after="120"/>
      </w:pPr>
      <w:r>
        <w:rPr>
          <w:rFonts w:ascii="Calibri" w:hAnsi="Calibri"/>
          <w:color w:val="003366"/>
          <w:sz w:val="22"/>
        </w:rPr>
        <w:t>6.  Directe Acties</w:t>
      </w:r>
    </w:p>
    <w:p>
      <w:pPr>
        <w:spacing w:after="120"/>
      </w:pPr>
      <w:r>
        <w:rPr>
          <w:rFonts w:ascii="Calibri" w:hAnsi="Calibri"/>
          <w:color w:val="003366"/>
          <w:sz w:val="22"/>
        </w:rPr>
        <w:t>7.  Bijlagen</w:t>
      </w:r>
    </w:p>
    <w:p>
      <w:r>
        <w:br w:type="page"/>
      </w:r>
    </w:p>
    <w:p>
      <w:pPr>
        <w:pStyle w:val="Heading1"/>
      </w:pPr>
      <w:r>
        <w:rPr>
          <w:rFonts w:ascii="Calibri" w:hAnsi="Calibri"/>
          <w:b/>
          <w:color w:val="003366"/>
          <w:sz w:val="36"/>
        </w:rPr>
        <w:t>1. Executive Summary</w:t>
      </w:r>
    </w:p>
    <w:p>
      <w:pPr>
        <w:spacing w:after="120" w:line="320" w:lineRule="exact"/>
      </w:pPr>
      <w:r>
        <w:rPr>
          <w:rFonts w:ascii="Calibri" w:hAnsi="Calibri"/>
          <w:b w:val="0"/>
          <w:i w:val="0"/>
          <w:sz w:val="22"/>
        </w:rPr>
        <w:t>Deze rapportage presenteert de bevindingen van de Fase 0 inventarisatie van het HSEQ Intelligence Monitor project. Het doel van deze fase is het in kaart brengen van de huidige kennisbank, het identificeren van compliance gaps en het signaleren van marktkansen voor JvG Consultancy.</w:t>
      </w:r>
    </w:p>
    <w:p>
      <w:pPr>
        <w:pStyle w:val="Heading2"/>
      </w:pPr>
      <w:r>
        <w:rPr>
          <w:rFonts w:ascii="Calibri" w:hAnsi="Calibri"/>
          <w:b/>
          <w:color w:val="003366"/>
          <w:sz w:val="28"/>
        </w:rPr>
        <w:t>3-Tier Knowledge Architecture Status</w:t>
      </w:r>
    </w:p>
    <w:tbl>
      <w:tblPr>
        <w:tblW w:type="auto" w:w="0"/>
        <w:jc w:val="center"/>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Pr>
                <w:b/>
                <w:color w:val="FFFFFF"/>
                <w:sz w:val="20"/>
              </w:rPr>
            </w:r>
            <w:r>
              <w:rPr>
                <w:rFonts w:ascii="Calibri" w:hAnsi="Calibri"/>
                <w:b/>
                <w:color w:val="FFFFFF"/>
                <w:sz w:val="20"/>
              </w:rPr>
              <w:t>Tier</w:t>
            </w:r>
          </w:p>
        </w:tc>
        <w:tc>
          <w:tcPr>
            <w:tcW w:type="dxa" w:w="2268"/>
            <w:shd w:fill="003366"/>
          </w:tcPr>
          <w:p>
            <w:pPr>
              <w:jc w:val="center"/>
            </w:pPr>
            <w:r>
              <w:rPr>
                <w:b/>
                <w:color w:val="FFFFFF"/>
                <w:sz w:val="20"/>
              </w:rPr>
            </w:r>
            <w:r>
              <w:rPr>
                <w:rFonts w:ascii="Calibri" w:hAnsi="Calibri"/>
                <w:b/>
                <w:color w:val="FFFFFF"/>
                <w:sz w:val="20"/>
              </w:rPr>
              <w:t>Omschrijving</w:t>
            </w:r>
          </w:p>
        </w:tc>
        <w:tc>
          <w:tcPr>
            <w:tcW w:type="dxa" w:w="2268"/>
            <w:shd w:fill="003366"/>
          </w:tcPr>
          <w:p>
            <w:pPr>
              <w:jc w:val="center"/>
            </w:pPr>
            <w:r>
              <w:rPr>
                <w:b/>
                <w:color w:val="FFFFFF"/>
                <w:sz w:val="20"/>
              </w:rPr>
            </w:r>
            <w:r>
              <w:rPr>
                <w:rFonts w:ascii="Calibri" w:hAnsi="Calibri"/>
                <w:b/>
                <w:color w:val="FFFFFF"/>
                <w:sz w:val="20"/>
              </w:rPr>
              <w:t>Status</w:t>
            </w:r>
          </w:p>
        </w:tc>
        <w:tc>
          <w:tcPr>
            <w:tcW w:type="dxa" w:w="2268"/>
            <w:shd w:fill="003366"/>
          </w:tcPr>
          <w:p>
            <w:pPr>
              <w:jc w:val="center"/>
            </w:pPr>
            <w:r>
              <w:rPr>
                <w:b/>
                <w:color w:val="FFFFFF"/>
                <w:sz w:val="20"/>
              </w:rPr>
            </w:r>
            <w:r>
              <w:rPr>
                <w:rFonts w:ascii="Calibri" w:hAnsi="Calibri"/>
                <w:b/>
                <w:color w:val="FFFFFF"/>
                <w:sz w:val="20"/>
              </w:rPr>
              <w:t>Inhoud</w:t>
            </w:r>
          </w:p>
        </w:tc>
      </w:tr>
      <w:tr>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Tier 1</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Interne Procedures</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DC3545"/>
                <w:sz w:val="20"/>
              </w:rPr>
              <w:t>LEEG</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0 bestanden</w:t>
            </w:r>
          </w:p>
        </w:tc>
      </w:tr>
      <w:tr>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Tier 2</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Wetgeving &amp; Regels</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DC3545"/>
                <w:sz w:val="20"/>
              </w:rPr>
              <w:t>LEEG</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0 bestanden</w:t>
            </w:r>
          </w:p>
        </w:tc>
      </w:tr>
      <w:tr>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Tier 3</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Externe Bronnen (Scraped_Data)</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28A745"/>
                <w:sz w:val="20"/>
              </w:rPr>
              <w:t>ACTIEF</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2 bestanden</w:t>
            </w:r>
          </w:p>
        </w:tc>
      </w:tr>
    </w:tbl>
    <w:p/>
    <w:p>
      <w:pPr>
        <w:pStyle w:val="Heading2"/>
      </w:pPr>
      <w:r>
        <w:rPr>
          <w:rFonts w:ascii="Calibri" w:hAnsi="Calibri"/>
          <w:b/>
          <w:color w:val="003366"/>
          <w:sz w:val="28"/>
        </w:rPr>
        <w:t>Kernbevindingen</w:t>
      </w:r>
    </w:p>
    <w:p>
      <w:pPr>
        <w:pStyle w:val="ListBullet"/>
        <w:spacing w:after="60"/>
      </w:pPr>
      <w:r>
        <w:rPr>
          <w:rFonts w:ascii="Calibri" w:hAnsi="Calibri"/>
          <w:sz w:val="22"/>
        </w:rPr>
        <w:t xml:space="preserve"> De HSEQ-kennisbank bevat 91 PDF's maar mist kritieke structuur: Tier 1 (procedures) en Tier 2 (regulations) zijn volledig leeg, wat effectieve RAG-query's voor operationele vraagstukken blokkeert.</w:t>
      </w:r>
    </w:p>
    <w:p>
      <w:pPr>
        <w:pStyle w:val="ListBullet"/>
        <w:spacing w:after="60"/>
      </w:pPr>
      <w:r>
        <w:rPr>
          <w:rFonts w:ascii="Calibri" w:hAnsi="Calibri"/>
          <w:sz w:val="22"/>
        </w:rPr>
        <w:t xml:space="preserve"> Er zijn 10 compliance gaps geidentificeerd, waarvan 2 kritiek (PGS-reeks, DGS-reeks) en 5 hoog (Seveso-III, ISO 45001, Omgevingswet, PSA, ATEX).</w:t>
      </w:r>
    </w:p>
    <w:p>
      <w:pPr>
        <w:pStyle w:val="ListBullet"/>
        <w:spacing w:after="60"/>
      </w:pPr>
      <w:r>
        <w:rPr>
          <w:rFonts w:ascii="Calibri" w:hAnsi="Calibri"/>
          <w:sz w:val="22"/>
        </w:rPr>
        <w:t xml:space="preserve"> De markt biedt 12 concrete consultancy kansen, gecategoriseerd in vier segments: Shell-niveau, Arcadis-niveau, MKB Industrie en Overheid.</w:t>
      </w:r>
    </w:p>
    <w:p>
      <w:pPr>
        <w:pStyle w:val="ListBullet"/>
        <w:spacing w:after="60"/>
      </w:pPr>
      <w:r>
        <w:rPr>
          <w:rFonts w:ascii="Calibri" w:hAnsi="Calibri"/>
          <w:sz w:val="22"/>
        </w:rPr>
        <w:t xml:space="preserve"> 20 relevante externe bronnen zijn geverifieerd en gecategoriseerd voor geautomatiseerde monitoring (Harvester).</w:t>
      </w:r>
    </w:p>
    <w:p>
      <w:pPr>
        <w:pStyle w:val="Heading2"/>
      </w:pPr>
      <w:r>
        <w:rPr>
          <w:rFonts w:ascii="Calibri" w:hAnsi="Calibri"/>
          <w:b/>
          <w:color w:val="003366"/>
          <w:sz w:val="28"/>
        </w:rPr>
        <w:t>Top 3 Acties</w:t>
      </w:r>
    </w:p>
    <w:p>
      <w:pPr>
        <w:spacing w:after="120" w:line="320" w:lineRule="exact"/>
      </w:pPr>
      <w:r>
        <w:rPr>
          <w:rFonts w:ascii="Calibri" w:hAnsi="Calibri"/>
          <w:b/>
          <w:i w:val="0"/>
          <w:sz w:val="22"/>
        </w:rPr>
        <w:t>1. Kennisbank structuur herstellen — Relevante PDF's categoriseren naar Tier 1 en Tier 2; procedures-templates en geconsolideerde wetteksten importeren.</w:t>
      </w:r>
    </w:p>
    <w:p>
      <w:pPr>
        <w:spacing w:after="120" w:line="320" w:lineRule="exact"/>
      </w:pPr>
      <w:r>
        <w:rPr>
          <w:rFonts w:ascii="Calibri" w:hAnsi="Calibri"/>
          <w:b/>
          <w:i w:val="0"/>
          <w:sz w:val="22"/>
        </w:rPr>
        <w:t>2. PGS- en DGS-reeks activeren — Kritieke publicatiereeksen downloaden en opnemen in Tier 2. Essentieel voor Seveso-compliance dienstverlening.</w:t>
      </w:r>
    </w:p>
    <w:p>
      <w:pPr>
        <w:spacing w:after="120" w:line="320" w:lineRule="exact"/>
      </w:pPr>
      <w:r>
        <w:rPr>
          <w:rFonts w:ascii="Calibri" w:hAnsi="Calibri"/>
          <w:b/>
          <w:i w:val="0"/>
          <w:sz w:val="22"/>
        </w:rPr>
        <w:t>3. Omgevingswet-campagne lanceren — De Omgevingswet is per 1 januari 2026 in werking. Bedrijven hebben direct ondersteuning nodig. JvG positioneren als first-mover.</w:t>
      </w:r>
    </w:p>
    <w:p>
      <w:r>
        <w:br w:type="page"/>
      </w:r>
    </w:p>
    <w:p>
      <w:pPr>
        <w:pStyle w:val="Heading1"/>
      </w:pPr>
      <w:r>
        <w:rPr>
          <w:rFonts w:ascii="Calibri" w:hAnsi="Calibri"/>
          <w:b/>
          <w:color w:val="003366"/>
          <w:sz w:val="36"/>
        </w:rPr>
        <w:t>2. Kennisbank Inventarisatie</w:t>
      </w:r>
    </w:p>
    <w:p>
      <w:pPr>
        <w:spacing w:after="120" w:line="320" w:lineRule="exact"/>
      </w:pPr>
      <w:r>
        <w:rPr>
          <w:rFonts w:ascii="Calibri" w:hAnsi="Calibri"/>
          <w:b w:val="0"/>
          <w:i w:val="0"/>
          <w:sz w:val="22"/>
        </w:rPr>
        <w:t>De HSEQ-kennisbank is onderzocht op inhoud, structuur en bruikbaarheid voor het HSEQ Intelligence Monitor systeem. Hieronder de bevindingen per categorie.</w:t>
      </w:r>
    </w:p>
    <w:p>
      <w:pPr>
        <w:pStyle w:val="Heading2"/>
      </w:pPr>
      <w:r>
        <w:rPr>
          <w:rFonts w:ascii="Calibri" w:hAnsi="Calibri"/>
          <w:b/>
          <w:color w:val="003366"/>
          <w:sz w:val="28"/>
        </w:rPr>
        <w:t>2.1 PDF Inventarisatie (91 bestanden)</w:t>
      </w:r>
    </w:p>
    <w:p>
      <w:pPr>
        <w:spacing w:after="120" w:line="320" w:lineRule="exact"/>
      </w:pPr>
      <w:r>
        <w:rPr>
          <w:rFonts w:ascii="Calibri" w:hAnsi="Calibri"/>
          <w:b w:val="0"/>
          <w:i w:val="0"/>
          <w:sz w:val="22"/>
        </w:rPr>
        <w:t>De kennisbank bevat in totaal 91 PDF-bestanden, gedownload op 13 maart 2026. De bestanden zijn als volgt gecategoriseerd:</w:t>
      </w:r>
    </w:p>
    <w:tbl>
      <w:tblPr>
        <w:tblW w:type="auto" w:w="0"/>
        <w:jc w:val="center"/>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3024"/>
        <w:gridCol w:w="3024"/>
        <w:gridCol w:w="3024"/>
      </w:tblGrid>
      <w:tr>
        <w:tc>
          <w:tcPr>
            <w:tcW w:type="dxa" w:w="3024"/>
            <w:shd w:fill="003366"/>
          </w:tcPr>
          <w:p>
            <w:pPr>
              <w:jc w:val="center"/>
            </w:pPr>
            <w:r>
              <w:rPr>
                <w:b/>
                <w:color w:val="FFFFFF"/>
                <w:sz w:val="20"/>
              </w:rPr>
            </w:r>
            <w:r>
              <w:rPr>
                <w:rFonts w:ascii="Calibri" w:hAnsi="Calibri"/>
                <w:b/>
                <w:color w:val="FFFFFF"/>
                <w:sz w:val="20"/>
              </w:rPr>
              <w:t>Categorie</w:t>
            </w:r>
          </w:p>
        </w:tc>
        <w:tc>
          <w:tcPr>
            <w:tcW w:type="dxa" w:w="3024"/>
            <w:shd w:fill="003366"/>
          </w:tcPr>
          <w:p>
            <w:pPr>
              <w:jc w:val="center"/>
            </w:pPr>
            <w:r>
              <w:rPr>
                <w:b/>
                <w:color w:val="FFFFFF"/>
                <w:sz w:val="20"/>
              </w:rPr>
            </w:r>
            <w:r>
              <w:rPr>
                <w:rFonts w:ascii="Calibri" w:hAnsi="Calibri"/>
                <w:b/>
                <w:color w:val="FFFFFF"/>
                <w:sz w:val="20"/>
              </w:rPr>
              <w:t>Aantal</w:t>
            </w:r>
          </w:p>
        </w:tc>
        <w:tc>
          <w:tcPr>
            <w:tcW w:type="dxa" w:w="3024"/>
            <w:shd w:fill="003366"/>
          </w:tcPr>
          <w:p>
            <w:pPr>
              <w:jc w:val="center"/>
            </w:pPr>
            <w:r>
              <w:rPr>
                <w:b/>
                <w:color w:val="FFFFFF"/>
                <w:sz w:val="20"/>
              </w:rPr>
            </w:r>
            <w:r>
              <w:rPr>
                <w:rFonts w:ascii="Calibri" w:hAnsi="Calibri"/>
                <w:b/>
                <w:color w:val="FFFFFF"/>
                <w:sz w:val="20"/>
              </w:rPr>
              <w:t>Opmerkingen</w:t>
            </w:r>
          </w:p>
        </w:tc>
      </w:tr>
      <w:tr>
        <w:tc>
          <w:tcPr>
            <w:tcW w:type="dxa" w:w="3024"/>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AI-bladen</w:t>
            </w:r>
          </w:p>
        </w:tc>
        <w:tc>
          <w:tcPr>
            <w:tcW w:type="dxa" w:w="3024"/>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35+</w:t>
            </w:r>
          </w:p>
        </w:tc>
        <w:tc>
          <w:tcPr>
            <w:tcW w:type="dxa" w:w="3024"/>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AI-01 t/m AI-83, Arbo Informatieblad reeks</w:t>
            </w:r>
          </w:p>
        </w:tc>
      </w:tr>
      <w:tr>
        <w:tc>
          <w:tcPr>
            <w:tcW w:type="dxa" w:w="3024"/>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Handboeken</w:t>
            </w:r>
          </w:p>
        </w:tc>
        <w:tc>
          <w:tcPr>
            <w:tcW w:type="dxa" w:w="3024"/>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6</w:t>
            </w:r>
          </w:p>
        </w:tc>
        <w:tc>
          <w:tcPr>
            <w:tcW w:type="dxa" w:w="3024"/>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Arbowet, Arbobesluit, Arboregeling, ATW, Fysieke belasting, Arbobeleidsregels</w:t>
            </w:r>
          </w:p>
        </w:tc>
      </w:tr>
      <w:tr>
        <w:tc>
          <w:tcPr>
            <w:tcW w:type="dxa" w:w="3024"/>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Wetgeving</w:t>
            </w:r>
          </w:p>
        </w:tc>
        <w:tc>
          <w:tcPr>
            <w:tcW w:type="dxa" w:w="3024"/>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3</w:t>
            </w:r>
          </w:p>
        </w:tc>
        <w:tc>
          <w:tcPr>
            <w:tcW w:type="dxa" w:w="3024"/>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Arbowet, Arbobesluit, Mijnbouwwet (allen d.d. mei 2025)</w:t>
            </w:r>
          </w:p>
        </w:tc>
      </w:tr>
      <w:tr>
        <w:tc>
          <w:tcPr>
            <w:tcW w:type="dxa" w:w="3024"/>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V&amp;G-documentatie</w:t>
            </w:r>
          </w:p>
        </w:tc>
        <w:tc>
          <w:tcPr>
            <w:tcW w:type="dxa" w:w="3024"/>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5</w:t>
            </w:r>
          </w:p>
        </w:tc>
        <w:tc>
          <w:tcPr>
            <w:tcW w:type="dxa" w:w="3024"/>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VG-plannen, stappenplannen</w:t>
            </w:r>
          </w:p>
        </w:tc>
      </w:tr>
      <w:tr>
        <w:tc>
          <w:tcPr>
            <w:tcW w:type="dxa" w:w="3024"/>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Thema-dossiers</w:t>
            </w:r>
          </w:p>
        </w:tc>
        <w:tc>
          <w:tcPr>
            <w:tcW w:type="dxa" w:w="3024"/>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5+</w:t>
            </w:r>
          </w:p>
        </w:tc>
        <w:tc>
          <w:tcPr>
            <w:tcW w:type="dxa" w:w="3024"/>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Asbest, Chroom-6, Legionella, PSA, Nanotech</w:t>
            </w:r>
          </w:p>
        </w:tc>
      </w:tr>
      <w:tr>
        <w:tc>
          <w:tcPr>
            <w:tcW w:type="dxa" w:w="3024"/>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Overig</w:t>
            </w:r>
          </w:p>
        </w:tc>
        <w:tc>
          <w:tcPr>
            <w:tcW w:type="dxa" w:w="3024"/>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~37</w:t>
            </w:r>
          </w:p>
        </w:tc>
        <w:tc>
          <w:tcPr>
            <w:tcW w:type="dxa" w:w="3024"/>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Divers, deels overlap met bovenstaande</w:t>
            </w:r>
          </w:p>
        </w:tc>
      </w:tr>
    </w:tbl>
    <w:p/>
    <w:p>
      <w:pPr>
        <w:pStyle w:val="Heading2"/>
      </w:pPr>
      <w:r>
        <w:rPr>
          <w:rFonts w:ascii="Calibri" w:hAnsi="Calibri"/>
          <w:b/>
          <w:color w:val="003366"/>
          <w:sz w:val="28"/>
        </w:rPr>
        <w:t>2.2 3-Tier Architecture Detail</w:t>
      </w:r>
    </w:p>
    <w:p>
      <w:pPr>
        <w:spacing w:after="120" w:line="320" w:lineRule="exact"/>
      </w:pPr>
      <w:r>
        <w:rPr>
          <w:rFonts w:ascii="Calibri" w:hAnsi="Calibri"/>
          <w:b w:val="0"/>
          <w:i w:val="0"/>
          <w:sz w:val="22"/>
        </w:rPr>
        <w:t>De kennisbank is ontworpen volgens een 3-Tier Knowledge Architecture. Deze structuur is essentieel voor effectieve Retrieval-Augmented Generation (RAG) query's binnen het HSEQ Intelligence Monitor systeem.</w:t>
      </w:r>
    </w:p>
    <w:p>
      <w:pPr>
        <w:pStyle w:val="Heading3"/>
      </w:pPr>
      <w:r>
        <w:rPr>
          <w:rFonts w:ascii="Calibri" w:hAnsi="Calibri"/>
          <w:b/>
          <w:color w:val="003366"/>
          <w:sz w:val="24"/>
        </w:rPr>
        <w:t>Tier 1 — Interne Procedures (LEEG)</w:t>
      </w:r>
    </w:p>
    <w:p>
      <w:pPr>
        <w:spacing w:after="120" w:line="320" w:lineRule="exact"/>
      </w:pPr>
      <w:r>
        <w:rPr>
          <w:rFonts w:ascii="Calibri" w:hAnsi="Calibri"/>
          <w:b/>
          <w:i w:val="0"/>
          <w:sz w:val="22"/>
        </w:rPr>
        <w:t xml:space="preserve">Status: </w:t>
      </w:r>
      <w:r>
        <w:rPr>
          <w:rFonts w:ascii="Calibri" w:hAnsi="Calibri"/>
          <w:b/>
          <w:color w:val="DC3545"/>
          <w:sz w:val="22"/>
        </w:rPr>
        <w:t>LEEG — Kritieke gap</w:t>
      </w:r>
    </w:p>
    <w:p>
      <w:pPr>
        <w:spacing w:after="120" w:line="320" w:lineRule="exact"/>
      </w:pPr>
      <w:r>
        <w:rPr>
          <w:rFonts w:ascii="Calibri" w:hAnsi="Calibri"/>
          <w:b w:val="0"/>
          <w:i w:val="0"/>
          <w:sz w:val="22"/>
        </w:rPr>
        <w:t>Verwachte inhoud:</w:t>
      </w:r>
    </w:p>
    <w:p>
      <w:pPr>
        <w:pStyle w:val="ListBullet"/>
        <w:spacing w:after="60"/>
      </w:pPr>
      <w:r>
        <w:rPr>
          <w:rFonts w:ascii="Calibri" w:hAnsi="Calibri"/>
          <w:sz w:val="22"/>
        </w:rPr>
        <w:t>HSEQ-procedures (werk-instructies)</w:t>
      </w:r>
    </w:p>
    <w:p>
      <w:pPr>
        <w:pStyle w:val="ListBullet"/>
        <w:spacing w:after="60"/>
      </w:pPr>
      <w:r>
        <w:rPr>
          <w:rFonts w:ascii="Calibri" w:hAnsi="Calibri"/>
          <w:sz w:val="22"/>
        </w:rPr>
        <w:t>TRA-templates</w:t>
      </w:r>
    </w:p>
    <w:p>
      <w:pPr>
        <w:pStyle w:val="ListBullet"/>
        <w:spacing w:after="60"/>
      </w:pPr>
      <w:r>
        <w:rPr>
          <w:rFonts w:ascii="Calibri" w:hAnsi="Calibri"/>
          <w:sz w:val="22"/>
        </w:rPr>
        <w:t>RI&amp;E-documentatie</w:t>
      </w:r>
    </w:p>
    <w:p>
      <w:pPr>
        <w:pStyle w:val="ListBullet"/>
        <w:spacing w:after="60"/>
      </w:pPr>
      <w:r>
        <w:rPr>
          <w:rFonts w:ascii="Calibri" w:hAnsi="Calibri"/>
          <w:sz w:val="22"/>
        </w:rPr>
        <w:t>V&amp;G-plannen templates</w:t>
      </w:r>
    </w:p>
    <w:p>
      <w:pPr>
        <w:pStyle w:val="ListBullet"/>
        <w:spacing w:after="60"/>
      </w:pPr>
      <w:r>
        <w:rPr>
          <w:rFonts w:ascii="Calibri" w:hAnsi="Calibri"/>
          <w:sz w:val="22"/>
        </w:rPr>
        <w:t>Bedrijfshulpverlening procedures</w:t>
      </w:r>
    </w:p>
    <w:p>
      <w:pPr>
        <w:pStyle w:val="ListBullet"/>
        <w:spacing w:after="60"/>
      </w:pPr>
      <w:r>
        <w:rPr>
          <w:rFonts w:ascii="Calibri" w:hAnsi="Calibri"/>
          <w:sz w:val="22"/>
        </w:rPr>
        <w:t>Inkoop- en selectieprocedures</w:t>
      </w:r>
    </w:p>
    <w:p>
      <w:pPr>
        <w:pStyle w:val="ListBullet"/>
        <w:spacing w:after="60"/>
      </w:pPr>
      <w:r>
        <w:rPr>
          <w:rFonts w:ascii="Calibri" w:hAnsi="Calibri"/>
          <w:sz w:val="22"/>
        </w:rPr>
        <w:t>Bevoegdheidslijsten</w:t>
      </w:r>
    </w:p>
    <w:p>
      <w:pPr>
        <w:pStyle w:val="Heading3"/>
      </w:pPr>
      <w:r>
        <w:rPr>
          <w:rFonts w:ascii="Calibri" w:hAnsi="Calibri"/>
          <w:b/>
          <w:color w:val="003366"/>
          <w:sz w:val="24"/>
        </w:rPr>
        <w:t>Tier 2 — Wetgeving &amp; Regels (LEEG)</w:t>
      </w:r>
    </w:p>
    <w:p>
      <w:pPr>
        <w:spacing w:after="120" w:line="320" w:lineRule="exact"/>
      </w:pPr>
      <w:r>
        <w:rPr>
          <w:rFonts w:ascii="Calibri" w:hAnsi="Calibri"/>
          <w:b/>
          <w:i w:val="0"/>
          <w:sz w:val="22"/>
        </w:rPr>
        <w:t xml:space="preserve">Status: </w:t>
      </w:r>
      <w:r>
        <w:rPr>
          <w:rFonts w:ascii="Calibri" w:hAnsi="Calibri"/>
          <w:b/>
          <w:color w:val="DC3545"/>
          <w:sz w:val="22"/>
        </w:rPr>
        <w:t>LEEG — Kritieke gap</w:t>
      </w:r>
    </w:p>
    <w:p>
      <w:pPr>
        <w:spacing w:after="120" w:line="320" w:lineRule="exact"/>
      </w:pPr>
      <w:r>
        <w:rPr>
          <w:rFonts w:ascii="Calibri" w:hAnsi="Calibri"/>
          <w:b w:val="0"/>
          <w:i w:val="0"/>
          <w:sz w:val="22"/>
        </w:rPr>
        <w:t>Verwachte inhoud:</w:t>
      </w:r>
    </w:p>
    <w:p>
      <w:pPr>
        <w:pStyle w:val="ListBullet"/>
        <w:spacing w:after="60"/>
      </w:pPr>
      <w:r>
        <w:rPr>
          <w:rFonts w:ascii="Calibri" w:hAnsi="Calibri"/>
          <w:sz w:val="22"/>
        </w:rPr>
        <w:t>Arbowet (geconsolideerd)</w:t>
      </w:r>
    </w:p>
    <w:p>
      <w:pPr>
        <w:pStyle w:val="ListBullet"/>
        <w:spacing w:after="60"/>
      </w:pPr>
      <w:r>
        <w:rPr>
          <w:rFonts w:ascii="Calibri" w:hAnsi="Calibri"/>
          <w:sz w:val="22"/>
        </w:rPr>
        <w:t>Arbobesluit (geconsolideerd)</w:t>
      </w:r>
    </w:p>
    <w:p>
      <w:pPr>
        <w:pStyle w:val="ListBullet"/>
        <w:spacing w:after="60"/>
      </w:pPr>
      <w:r>
        <w:rPr>
          <w:rFonts w:ascii="Calibri" w:hAnsi="Calibri"/>
          <w:sz w:val="22"/>
        </w:rPr>
        <w:t>Arboregeling</w:t>
      </w:r>
    </w:p>
    <w:p>
      <w:pPr>
        <w:pStyle w:val="ListBullet"/>
        <w:spacing w:after="60"/>
      </w:pPr>
      <w:r>
        <w:rPr>
          <w:rFonts w:ascii="Calibri" w:hAnsi="Calibri"/>
          <w:sz w:val="22"/>
        </w:rPr>
        <w:t>Arbeidstijdenwet</w:t>
      </w:r>
    </w:p>
    <w:p>
      <w:pPr>
        <w:pStyle w:val="ListBullet"/>
        <w:spacing w:after="60"/>
      </w:pPr>
      <w:r>
        <w:rPr>
          <w:rFonts w:ascii="Calibri" w:hAnsi="Calibri"/>
          <w:sz w:val="22"/>
        </w:rPr>
        <w:t>Mijnbouwwet</w:t>
      </w:r>
    </w:p>
    <w:p>
      <w:pPr>
        <w:pStyle w:val="ListBullet"/>
        <w:spacing w:after="60"/>
      </w:pPr>
      <w:r>
        <w:rPr>
          <w:rFonts w:ascii="Calibri" w:hAnsi="Calibri"/>
          <w:sz w:val="22"/>
        </w:rPr>
        <w:t>Omgevingswet (relevante delen)</w:t>
      </w:r>
    </w:p>
    <w:p>
      <w:pPr>
        <w:pStyle w:val="ListBullet"/>
        <w:spacing w:after="60"/>
      </w:pPr>
      <w:r>
        <w:rPr>
          <w:rFonts w:ascii="Calibri" w:hAnsi="Calibri"/>
          <w:sz w:val="22"/>
        </w:rPr>
        <w:t>Brzo / Besluit risico's zware ongevallen</w:t>
      </w:r>
    </w:p>
    <w:p>
      <w:pPr>
        <w:pStyle w:val="ListBullet"/>
        <w:spacing w:after="60"/>
      </w:pPr>
      <w:r>
        <w:rPr>
          <w:rFonts w:ascii="Calibri" w:hAnsi="Calibri"/>
          <w:sz w:val="22"/>
        </w:rPr>
        <w:t>PGS-richtlijnen</w:t>
      </w:r>
    </w:p>
    <w:p>
      <w:pPr>
        <w:pStyle w:val="Heading3"/>
      </w:pPr>
      <w:r>
        <w:rPr>
          <w:rFonts w:ascii="Calibri" w:hAnsi="Calibri"/>
          <w:b/>
          <w:color w:val="003366"/>
          <w:sz w:val="24"/>
        </w:rPr>
        <w:t>Tier 3 — Externe Bronnen / Scraped_Data (ACTIEF)</w:t>
      </w:r>
    </w:p>
    <w:p>
      <w:pPr>
        <w:spacing w:after="120" w:line="320" w:lineRule="exact"/>
      </w:pPr>
      <w:r>
        <w:rPr>
          <w:rFonts w:ascii="Calibri" w:hAnsi="Calibri"/>
          <w:b/>
          <w:i w:val="0"/>
          <w:sz w:val="22"/>
        </w:rPr>
        <w:t xml:space="preserve">Status: </w:t>
      </w:r>
      <w:r>
        <w:rPr>
          <w:rFonts w:ascii="Calibri" w:hAnsi="Calibri"/>
          <w:b/>
          <w:color w:val="28A745"/>
          <w:sz w:val="22"/>
        </w:rPr>
        <w:t>ACTIEF — 2 bestanden</w:t>
      </w:r>
    </w:p>
    <w:p>
      <w:pPr>
        <w:spacing w:after="120" w:line="320" w:lineRule="exact"/>
      </w:pPr>
      <w:r>
        <w:rPr>
          <w:rFonts w:ascii="Calibri" w:hAnsi="Calibri"/>
          <w:b w:val="0"/>
          <w:i w:val="0"/>
          <w:sz w:val="22"/>
        </w:rPr>
        <w:t>Huidige bestanden: 2025-0151.pdf, KN-2026-0010.pdf</w:t>
      </w:r>
    </w:p>
    <w:p>
      <w:pPr>
        <w:spacing w:after="120" w:line="320" w:lineRule="exact"/>
      </w:pPr>
      <w:r>
        <w:rPr>
          <w:rFonts w:ascii="Calibri" w:hAnsi="Calibri"/>
          <w:b w:val="0"/>
          <w:i w:val="0"/>
          <w:sz w:val="22"/>
        </w:rPr>
        <w:t>Deze tier wordt automatisch gevuld door de Harvester-module die de 20 geidentificeerde externe bronnen monitort. Na de eerste volledige harvest-run zal deze tier substantieel groeien.</w:t>
      </w:r>
    </w:p>
    <w:p>
      <w:pPr>
        <w:pStyle w:val="Heading2"/>
      </w:pPr>
      <w:r>
        <w:rPr>
          <w:rFonts w:ascii="Calibri" w:hAnsi="Calibri"/>
          <w:b/>
          <w:color w:val="003366"/>
          <w:sz w:val="28"/>
        </w:rPr>
        <w:t>2.3 Datum-analyse</w:t>
      </w:r>
    </w:p>
    <w:p>
      <w:pPr>
        <w:pStyle w:val="ListBullet"/>
        <w:spacing w:after="60"/>
      </w:pPr>
      <w:r>
        <w:rPr>
          <w:rFonts w:ascii="Calibri" w:hAnsi="Calibri"/>
          <w:sz w:val="22"/>
        </w:rPr>
        <w:t xml:space="preserve"> Alle bestanden gedownload op: 13 maart 2026</w:t>
      </w:r>
    </w:p>
    <w:p>
      <w:pPr>
        <w:pStyle w:val="ListBullet"/>
        <w:spacing w:after="60"/>
      </w:pPr>
      <w:r>
        <w:rPr>
          <w:rFonts w:ascii="Calibri" w:hAnsi="Calibri"/>
          <w:sz w:val="22"/>
        </w:rPr>
        <w:t xml:space="preserve"> Wetgevingsbestanden zijn gedateerd mei 2025 — actualisatie noodzakelijk</w:t>
      </w:r>
    </w:p>
    <w:p>
      <w:pPr>
        <w:pStyle w:val="ListBullet"/>
        <w:spacing w:after="60"/>
      </w:pPr>
      <w:r>
        <w:rPr>
          <w:rFonts w:ascii="Calibri" w:hAnsi="Calibri"/>
          <w:sz w:val="22"/>
        </w:rPr>
        <w:t xml:space="preserve"> Advies: Her-download recente wetgeving-updates voorafgaand aan productie-gebruik</w:t>
      </w:r>
    </w:p>
    <w:p>
      <w:r>
        <w:br w:type="page"/>
      </w:r>
    </w:p>
    <w:p>
      <w:pPr>
        <w:pStyle w:val="Heading1"/>
      </w:pPr>
      <w:r>
        <w:rPr>
          <w:rFonts w:ascii="Calibri" w:hAnsi="Calibri"/>
          <w:b/>
          <w:color w:val="003366"/>
          <w:sz w:val="36"/>
        </w:rPr>
        <w:t>3. Bronnenoverzicht</w:t>
      </w:r>
    </w:p>
    <w:p>
      <w:pPr>
        <w:spacing w:after="120" w:line="320" w:lineRule="exact"/>
      </w:pPr>
      <w:r>
        <w:rPr>
          <w:rFonts w:ascii="Calibri" w:hAnsi="Calibri"/>
          <w:b w:val="0"/>
          <w:i w:val="0"/>
          <w:sz w:val="22"/>
        </w:rPr>
        <w:t>Onderstaande tabel bevat alle 20 geidentificeerde en geverifieerde externe bronnen voor de HSEQ Intelligence Monitor. Bronnen zijn gegroepeerd op prioriteit: Kritiek, Hoog, Medium, Laag.</w:t>
      </w:r>
    </w:p>
    <w:tbl>
      <w:tblPr>
        <w:tblW w:type="auto" w:w="0"/>
        <w:jc w:val="center"/>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96"/>
        <w:gridCol w:w="1296"/>
        <w:gridCol w:w="1296"/>
        <w:gridCol w:w="1296"/>
        <w:gridCol w:w="1296"/>
        <w:gridCol w:w="1296"/>
        <w:gridCol w:w="1296"/>
      </w:tblGrid>
      <w:tr>
        <w:tc>
          <w:tcPr>
            <w:tcW w:type="dxa" w:w="850"/>
            <w:shd w:fill="003366"/>
          </w:tcPr>
          <w:p>
            <w:pPr>
              <w:jc w:val="center"/>
            </w:pPr>
            <w:r>
              <w:rPr>
                <w:b/>
                <w:color w:val="FFFFFF"/>
                <w:sz w:val="20"/>
              </w:rPr>
            </w:r>
            <w:r>
              <w:rPr>
                <w:rFonts w:ascii="Calibri" w:hAnsi="Calibri"/>
                <w:b/>
                <w:color w:val="FFFFFF"/>
                <w:sz w:val="20"/>
              </w:rPr>
              <w:t>ID</w:t>
            </w:r>
          </w:p>
        </w:tc>
        <w:tc>
          <w:tcPr>
            <w:tcW w:type="dxa" w:w="2268"/>
            <w:shd w:fill="003366"/>
          </w:tcPr>
          <w:p>
            <w:pPr>
              <w:jc w:val="center"/>
            </w:pPr>
            <w:r>
              <w:rPr>
                <w:b/>
                <w:color w:val="FFFFFF"/>
                <w:sz w:val="20"/>
              </w:rPr>
            </w:r>
            <w:r>
              <w:rPr>
                <w:rFonts w:ascii="Calibri" w:hAnsi="Calibri"/>
                <w:b/>
                <w:color w:val="FFFFFF"/>
                <w:sz w:val="20"/>
              </w:rPr>
              <w:t>Naam</w:t>
            </w:r>
          </w:p>
        </w:tc>
        <w:tc>
          <w:tcPr>
            <w:tcW w:type="dxa" w:w="2551"/>
            <w:shd w:fill="003366"/>
          </w:tcPr>
          <w:p>
            <w:pPr>
              <w:jc w:val="center"/>
            </w:pPr>
            <w:r>
              <w:rPr>
                <w:b/>
                <w:color w:val="FFFFFF"/>
                <w:sz w:val="20"/>
              </w:rPr>
            </w:r>
            <w:r>
              <w:rPr>
                <w:rFonts w:ascii="Calibri" w:hAnsi="Calibri"/>
                <w:b/>
                <w:color w:val="FFFFFF"/>
                <w:sz w:val="20"/>
              </w:rPr>
              <w:t>URL</w:t>
            </w:r>
          </w:p>
        </w:tc>
        <w:tc>
          <w:tcPr>
            <w:tcW w:type="dxa" w:w="850"/>
            <w:shd w:fill="003366"/>
          </w:tcPr>
          <w:p>
            <w:pPr>
              <w:jc w:val="center"/>
            </w:pPr>
            <w:r>
              <w:rPr>
                <w:b/>
                <w:color w:val="FFFFFF"/>
                <w:sz w:val="20"/>
              </w:rPr>
            </w:r>
            <w:r>
              <w:rPr>
                <w:rFonts w:ascii="Calibri" w:hAnsi="Calibri"/>
                <w:b/>
                <w:color w:val="FFFFFF"/>
                <w:sz w:val="20"/>
              </w:rPr>
              <w:t>Type</w:t>
            </w:r>
          </w:p>
        </w:tc>
        <w:tc>
          <w:tcPr>
            <w:tcW w:type="dxa" w:w="737"/>
            <w:shd w:fill="003366"/>
          </w:tcPr>
          <w:p>
            <w:pPr>
              <w:jc w:val="center"/>
            </w:pPr>
            <w:r>
              <w:rPr>
                <w:b/>
                <w:color w:val="FFFFFF"/>
                <w:sz w:val="20"/>
              </w:rPr>
            </w:r>
            <w:r>
              <w:rPr>
                <w:rFonts w:ascii="Calibri" w:hAnsi="Calibri"/>
                <w:b/>
                <w:color w:val="FFFFFF"/>
                <w:sz w:val="20"/>
              </w:rPr>
              <w:t>Freq.</w:t>
            </w:r>
          </w:p>
        </w:tc>
        <w:tc>
          <w:tcPr>
            <w:tcW w:type="dxa" w:w="850"/>
            <w:shd w:fill="003366"/>
          </w:tcPr>
          <w:p>
            <w:pPr>
              <w:jc w:val="center"/>
            </w:pPr>
            <w:r>
              <w:rPr>
                <w:b/>
                <w:color w:val="FFFFFF"/>
                <w:sz w:val="20"/>
              </w:rPr>
            </w:r>
            <w:r>
              <w:rPr>
                <w:rFonts w:ascii="Calibri" w:hAnsi="Calibri"/>
                <w:b/>
                <w:color w:val="FFFFFF"/>
                <w:sz w:val="20"/>
              </w:rPr>
              <w:t>Prioriteit</w:t>
            </w:r>
          </w:p>
        </w:tc>
        <w:tc>
          <w:tcPr>
            <w:tcW w:type="dxa" w:w="680"/>
            <w:shd w:fill="003366"/>
          </w:tcPr>
          <w:p>
            <w:pPr>
              <w:jc w:val="center"/>
            </w:pPr>
            <w:r>
              <w:rPr>
                <w:b/>
                <w:color w:val="FFFFFF"/>
                <w:sz w:val="20"/>
              </w:rPr>
            </w:r>
            <w:r>
              <w:rPr>
                <w:rFonts w:ascii="Calibri" w:hAnsi="Calibri"/>
                <w:b/>
                <w:color w:val="FFFFFF"/>
                <w:sz w:val="20"/>
              </w:rPr>
              <w:t>Status</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SRC-001</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Overheid.nl — Wetten en Besluiten</w:t>
            </w:r>
          </w:p>
        </w:tc>
        <w:tc>
          <w:tcPr>
            <w:tcW w:type="dxa" w:w="2551"/>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https://wetten.overheid.nl/</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web scrape</w:t>
            </w:r>
          </w:p>
        </w:tc>
        <w:tc>
          <w:tcPr>
            <w:tcW w:type="dxa" w:w="73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daily</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DC3545"/>
                <w:sz w:val="20"/>
              </w:rPr>
              <w:t>KRITIEK</w:t>
            </w:r>
          </w:p>
        </w:tc>
        <w:tc>
          <w:tcPr>
            <w:tcW w:type="dxa" w:w="68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active</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SRC-003</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Inspectie SZW (voorheen Arbeidsinspectie)</w:t>
            </w:r>
          </w:p>
        </w:tc>
        <w:tc>
          <w:tcPr>
            <w:tcW w:type="dxa" w:w="2551"/>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https://www.inspectieszv.nl/</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web scrape</w:t>
            </w:r>
          </w:p>
        </w:tc>
        <w:tc>
          <w:tcPr>
            <w:tcW w:type="dxa" w:w="73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daily</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DC3545"/>
                <w:sz w:val="20"/>
              </w:rPr>
              <w:t>KRITIEK</w:t>
            </w:r>
          </w:p>
        </w:tc>
        <w:tc>
          <w:tcPr>
            <w:tcW w:type="dxa" w:w="68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active</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SRC-004</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Staatstoezicht op de Mijnen (SodM)</w:t>
            </w:r>
          </w:p>
        </w:tc>
        <w:tc>
          <w:tcPr>
            <w:tcW w:type="dxa" w:w="2551"/>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https://www.sodm.nl/</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web scrape</w:t>
            </w:r>
          </w:p>
        </w:tc>
        <w:tc>
          <w:tcPr>
            <w:tcW w:type="dxa" w:w="73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daily</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DC3545"/>
                <w:sz w:val="20"/>
              </w:rPr>
              <w:t>KRITIEK</w:t>
            </w:r>
          </w:p>
        </w:tc>
        <w:tc>
          <w:tcPr>
            <w:tcW w:type="dxa" w:w="68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active</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SRC-011</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PGS — Publicatiereeks Gevaarlijke Stoffen</w:t>
            </w:r>
          </w:p>
        </w:tc>
        <w:tc>
          <w:tcPr>
            <w:tcW w:type="dxa" w:w="2551"/>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https://www.publicatiereeksgevaarlijk...</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web scrape</w:t>
            </w:r>
          </w:p>
        </w:tc>
        <w:tc>
          <w:tcPr>
            <w:tcW w:type="dxa" w:w="73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weekly</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DC3545"/>
                <w:sz w:val="20"/>
              </w:rPr>
              <w:t>KRITIEK</w:t>
            </w:r>
          </w:p>
        </w:tc>
        <w:tc>
          <w:tcPr>
            <w:tcW w:type="dxa" w:w="68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active</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SRC-014</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Brzo — Besluit risico's zware ongevallen</w:t>
            </w:r>
          </w:p>
        </w:tc>
        <w:tc>
          <w:tcPr>
            <w:tcW w:type="dxa" w:w="2551"/>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https://www.rivm.nl/brzo</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web scrape</w:t>
            </w:r>
          </w:p>
        </w:tc>
        <w:tc>
          <w:tcPr>
            <w:tcW w:type="dxa" w:w="73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weekly</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DC3545"/>
                <w:sz w:val="20"/>
              </w:rPr>
              <w:t>KRITIEK</w:t>
            </w:r>
          </w:p>
        </w:tc>
        <w:tc>
          <w:tcPr>
            <w:tcW w:type="dxa" w:w="68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active</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SRC-002</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Overheid.nl — Zoekresultaten Arbowetgeving</w:t>
            </w:r>
          </w:p>
        </w:tc>
        <w:tc>
          <w:tcPr>
            <w:tcW w:type="dxa" w:w="2551"/>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https://zoeken.overheid.nl/zoekresult...</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web scrape</w:t>
            </w:r>
          </w:p>
        </w:tc>
        <w:tc>
          <w:tcPr>
            <w:tcW w:type="dxa" w:w="73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daily</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FD7E14"/>
                <w:sz w:val="20"/>
              </w:rPr>
              <w:t>HOOG</w:t>
            </w:r>
          </w:p>
        </w:tc>
        <w:tc>
          <w:tcPr>
            <w:tcW w:type="dxa" w:w="68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active</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SRC-005</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NLA — Nederlandse Liftinrichting Autoriteit</w:t>
            </w:r>
          </w:p>
        </w:tc>
        <w:tc>
          <w:tcPr>
            <w:tcW w:type="dxa" w:w="2551"/>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https://www.nla-info.nl/</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web scrape</w:t>
            </w:r>
          </w:p>
        </w:tc>
        <w:tc>
          <w:tcPr>
            <w:tcW w:type="dxa" w:w="73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weekly</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FD7E14"/>
                <w:sz w:val="20"/>
              </w:rPr>
              <w:t>HOOG</w:t>
            </w:r>
          </w:p>
        </w:tc>
        <w:tc>
          <w:tcPr>
            <w:tcW w:type="dxa" w:w="68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active</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SRC-006</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NOGEPA — Nederlandse Olie en Gas Exploratie en Productie Associatie</w:t>
            </w:r>
          </w:p>
        </w:tc>
        <w:tc>
          <w:tcPr>
            <w:tcW w:type="dxa" w:w="2551"/>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https://www.nogepa.org/</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web scrape</w:t>
            </w:r>
          </w:p>
        </w:tc>
        <w:tc>
          <w:tcPr>
            <w:tcW w:type="dxa" w:w="73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weekly</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FD7E14"/>
                <w:sz w:val="20"/>
              </w:rPr>
              <w:t>HOOG</w:t>
            </w:r>
          </w:p>
        </w:tc>
        <w:tc>
          <w:tcPr>
            <w:tcW w:type="dxa" w:w="68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active</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SRC-009</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NEN / Arbonorm.nl — Normeringen</w:t>
            </w:r>
          </w:p>
        </w:tc>
        <w:tc>
          <w:tcPr>
            <w:tcW w:type="dxa" w:w="2551"/>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https://www.nen.nl/</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web scrape</w:t>
            </w:r>
          </w:p>
        </w:tc>
        <w:tc>
          <w:tcPr>
            <w:tcW w:type="dxa" w:w="73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monthly</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FD7E14"/>
                <w:sz w:val="20"/>
              </w:rPr>
              <w:t>HOOG</w:t>
            </w:r>
          </w:p>
        </w:tc>
        <w:tc>
          <w:tcPr>
            <w:tcW w:type="dxa" w:w="68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active</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SRC-010</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Arboportaal — Rijksoverheid</w:t>
            </w:r>
          </w:p>
        </w:tc>
        <w:tc>
          <w:tcPr>
            <w:tcW w:type="dxa" w:w="2551"/>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https://www.arboportaal.nl/</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web scrape</w:t>
            </w:r>
          </w:p>
        </w:tc>
        <w:tc>
          <w:tcPr>
            <w:tcW w:type="dxa" w:w="73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daily</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FD7E14"/>
                <w:sz w:val="20"/>
              </w:rPr>
              <w:t>HOOG</w:t>
            </w:r>
          </w:p>
        </w:tc>
        <w:tc>
          <w:tcPr>
            <w:tcW w:type="dxa" w:w="68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active</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SRC-016</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Omgevingswet — Rijksoverheid</w:t>
            </w:r>
          </w:p>
        </w:tc>
        <w:tc>
          <w:tcPr>
            <w:tcW w:type="dxa" w:w="2551"/>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https://www.rijksoverheid.nl/onderwer...</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web scrape</w:t>
            </w:r>
          </w:p>
        </w:tc>
        <w:tc>
          <w:tcPr>
            <w:tcW w:type="dxa" w:w="73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weekly</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FD7E14"/>
                <w:sz w:val="20"/>
              </w:rPr>
              <w:t>HOOG</w:t>
            </w:r>
          </w:p>
        </w:tc>
        <w:tc>
          <w:tcPr>
            <w:tcW w:type="dxa" w:w="68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active</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SRC-007</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TNO — Veiligheid en Gezondheid</w:t>
            </w:r>
          </w:p>
        </w:tc>
        <w:tc>
          <w:tcPr>
            <w:tcW w:type="dxa" w:w="2551"/>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https://www.tno.nl/nl/over-tno/organi...</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web scrape</w:t>
            </w:r>
          </w:p>
        </w:tc>
        <w:tc>
          <w:tcPr>
            <w:tcW w:type="dxa" w:w="73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weekly</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color w:val="996600"/>
                <w:sz w:val="20"/>
              </w:rPr>
              <w:t>MEDIUM</w:t>
            </w:r>
          </w:p>
        </w:tc>
        <w:tc>
          <w:tcPr>
            <w:tcW w:type="dxa" w:w="68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active</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SRC-008</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RIVM — Rijksinstituut voor Volksgezondheid en Milieu</w:t>
            </w:r>
          </w:p>
        </w:tc>
        <w:tc>
          <w:tcPr>
            <w:tcW w:type="dxa" w:w="2551"/>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https://www.rivm.nl/</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web scrape</w:t>
            </w:r>
          </w:p>
        </w:tc>
        <w:tc>
          <w:tcPr>
            <w:tcW w:type="dxa" w:w="73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weekly</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color w:val="996600"/>
                <w:sz w:val="20"/>
              </w:rPr>
              <w:t>MEDIUM</w:t>
            </w:r>
          </w:p>
        </w:tc>
        <w:tc>
          <w:tcPr>
            <w:tcW w:type="dxa" w:w="68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active</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SRC-015</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EU-OSHA — European Agency for Safety and Health</w:t>
            </w:r>
          </w:p>
        </w:tc>
        <w:tc>
          <w:tcPr>
            <w:tcW w:type="dxa" w:w="2551"/>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https://osha.europa.eu/nl</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web scrape</w:t>
            </w:r>
          </w:p>
        </w:tc>
        <w:tc>
          <w:tcPr>
            <w:tcW w:type="dxa" w:w="73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weekly</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color w:val="996600"/>
                <w:sz w:val="20"/>
              </w:rPr>
              <w:t>MEDIUM</w:t>
            </w:r>
          </w:p>
        </w:tc>
        <w:tc>
          <w:tcPr>
            <w:tcW w:type="dxa" w:w="68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active</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SRC-018</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DGA — Dutch Gas Association</w:t>
            </w:r>
          </w:p>
        </w:tc>
        <w:tc>
          <w:tcPr>
            <w:tcW w:type="dxa" w:w="2551"/>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https://www.dutchgasassociation.com/</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web scrape</w:t>
            </w:r>
          </w:p>
        </w:tc>
        <w:tc>
          <w:tcPr>
            <w:tcW w:type="dxa" w:w="73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monthly</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color w:val="996600"/>
                <w:sz w:val="20"/>
              </w:rPr>
              <w:t>MEDIUM</w:t>
            </w:r>
          </w:p>
        </w:tc>
        <w:tc>
          <w:tcPr>
            <w:tcW w:type="dxa" w:w="68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active</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SRC-019</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EPSC — European Process Safety Centre</w:t>
            </w:r>
          </w:p>
        </w:tc>
        <w:tc>
          <w:tcPr>
            <w:tcW w:type="dxa" w:w="2551"/>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https://www.epsc.be/</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web scrape</w:t>
            </w:r>
          </w:p>
        </w:tc>
        <w:tc>
          <w:tcPr>
            <w:tcW w:type="dxa" w:w="73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monthly</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color w:val="996600"/>
                <w:sz w:val="20"/>
              </w:rPr>
              <w:t>MEDIUM</w:t>
            </w:r>
          </w:p>
        </w:tc>
        <w:tc>
          <w:tcPr>
            <w:tcW w:type="dxa" w:w="68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active</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SRC-012</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Stichting PAO — Post Academisch Onderwijs</w:t>
            </w:r>
          </w:p>
        </w:tc>
        <w:tc>
          <w:tcPr>
            <w:tcW w:type="dxa" w:w="2551"/>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https://www.paotm.nl/</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web scrape</w:t>
            </w:r>
          </w:p>
        </w:tc>
        <w:tc>
          <w:tcPr>
            <w:tcW w:type="dxa" w:w="73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monthly</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LAAG</w:t>
            </w:r>
          </w:p>
        </w:tc>
        <w:tc>
          <w:tcPr>
            <w:tcW w:type="dxa" w:w="68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active</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SRC-013</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NVVK — Nederlandse Vereniging voor Veiligheidskunde</w:t>
            </w:r>
          </w:p>
        </w:tc>
        <w:tc>
          <w:tcPr>
            <w:tcW w:type="dxa" w:w="2551"/>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https://www.nvvk.nl/</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web scrape</w:t>
            </w:r>
          </w:p>
        </w:tc>
        <w:tc>
          <w:tcPr>
            <w:tcW w:type="dxa" w:w="73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monthly</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LAAG</w:t>
            </w:r>
          </w:p>
        </w:tc>
        <w:tc>
          <w:tcPr>
            <w:tcW w:type="dxa" w:w="68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active</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SRC-017</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SER — Sociaal-Economische Raad</w:t>
            </w:r>
          </w:p>
        </w:tc>
        <w:tc>
          <w:tcPr>
            <w:tcW w:type="dxa" w:w="2551"/>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https://www.ser.nl/</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web scrape</w:t>
            </w:r>
          </w:p>
        </w:tc>
        <w:tc>
          <w:tcPr>
            <w:tcW w:type="dxa" w:w="73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monthly</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LAAG</w:t>
            </w:r>
          </w:p>
        </w:tc>
        <w:tc>
          <w:tcPr>
            <w:tcW w:type="dxa" w:w="68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active</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SRC-020</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CCPS — Center for Chemical Process Safety</w:t>
            </w:r>
          </w:p>
        </w:tc>
        <w:tc>
          <w:tcPr>
            <w:tcW w:type="dxa" w:w="2551"/>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https://www.aiche.org/ccps</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web scrape</w:t>
            </w:r>
          </w:p>
        </w:tc>
        <w:tc>
          <w:tcPr>
            <w:tcW w:type="dxa" w:w="73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monthly</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LAAG</w:t>
            </w:r>
          </w:p>
        </w:tc>
        <w:tc>
          <w:tcPr>
            <w:tcW w:type="dxa" w:w="68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active</w:t>
            </w:r>
          </w:p>
        </w:tc>
      </w:tr>
    </w:tbl>
    <w:p/>
    <w:p>
      <w:pPr>
        <w:spacing w:after="120" w:line="320" w:lineRule="exact"/>
      </w:pPr>
      <w:r>
        <w:rPr>
          <w:rFonts w:ascii="Calibri" w:hAnsi="Calibri"/>
          <w:b/>
          <w:i w:val="0"/>
          <w:sz w:val="22"/>
        </w:rPr>
        <w:t>Verdeling prioriteiten:</w:t>
      </w:r>
    </w:p>
    <w:p>
      <w:pPr>
        <w:pStyle w:val="ListBullet"/>
        <w:spacing w:after="60"/>
      </w:pPr>
      <w:r>
        <w:rPr>
          <w:rFonts w:ascii="Calibri" w:hAnsi="Calibri"/>
          <w:sz w:val="22"/>
        </w:rPr>
        <w:t xml:space="preserve"> Kritiek: 5 bronnen (daily monitoring)</w:t>
      </w:r>
    </w:p>
    <w:p>
      <w:pPr>
        <w:pStyle w:val="ListBullet"/>
        <w:spacing w:after="60"/>
      </w:pPr>
      <w:r>
        <w:rPr>
          <w:rFonts w:ascii="Calibri" w:hAnsi="Calibri"/>
          <w:sz w:val="22"/>
        </w:rPr>
        <w:t xml:space="preserve"> Hoog: 7 bronnen (daily/weekly monitoring)</w:t>
      </w:r>
    </w:p>
    <w:p>
      <w:pPr>
        <w:pStyle w:val="ListBullet"/>
        <w:spacing w:after="60"/>
      </w:pPr>
      <w:r>
        <w:rPr>
          <w:rFonts w:ascii="Calibri" w:hAnsi="Calibri"/>
          <w:sz w:val="22"/>
        </w:rPr>
        <w:t xml:space="preserve"> Medium: 6 bronnen (weekly/monthly monitoring)</w:t>
      </w:r>
    </w:p>
    <w:p>
      <w:pPr>
        <w:pStyle w:val="ListBullet"/>
        <w:spacing w:after="60"/>
      </w:pPr>
      <w:r>
        <w:rPr>
          <w:rFonts w:ascii="Calibri" w:hAnsi="Calibri"/>
          <w:sz w:val="22"/>
        </w:rPr>
        <w:t xml:space="preserve"> Laag: 2 bronnen (monthly monitoring)</w:t>
      </w:r>
    </w:p>
    <w:p>
      <w:pPr>
        <w:spacing w:after="120" w:line="320" w:lineRule="exact"/>
      </w:pPr>
      <w:r>
        <w:rPr>
          <w:rFonts w:ascii="Calibri" w:hAnsi="Calibri"/>
          <w:b w:val="0"/>
          <w:i w:val="0"/>
          <w:sz w:val="22"/>
        </w:rPr>
        <w:t>Opmerking: NLA (SRC-005) heeft performance-issues bij piekuren. Rate limiting van 1 request/seconde wordt aanbevolen voor de Harvester-module.</w:t>
      </w:r>
    </w:p>
    <w:p>
      <w:r>
        <w:br w:type="page"/>
      </w:r>
    </w:p>
    <w:p>
      <w:pPr>
        <w:pStyle w:val="Heading1"/>
      </w:pPr>
      <w:r>
        <w:rPr>
          <w:rFonts w:ascii="Calibri" w:hAnsi="Calibri"/>
          <w:b/>
          <w:color w:val="003366"/>
          <w:sz w:val="36"/>
        </w:rPr>
        <w:t>4. Compliance Gap Analysis</w:t>
      </w:r>
    </w:p>
    <w:p>
      <w:pPr>
        <w:spacing w:after="120" w:line="320" w:lineRule="exact"/>
      </w:pPr>
      <w:r>
        <w:rPr>
          <w:rFonts w:ascii="Calibri" w:hAnsi="Calibri"/>
          <w:b w:val="0"/>
          <w:i w:val="0"/>
          <w:sz w:val="22"/>
        </w:rPr>
        <w:t>Uit de inventarisatie van de kennisbank zijn 10 compliance gaps geidentificeerd. Deze gaps worden hieronder beschreven met prioriteitsclassificatie, impact-inschatting, benodigde inspanning en voorgestelde actie.</w:t>
      </w:r>
    </w:p>
    <w:p>
      <w:pPr>
        <w:pStyle w:val="Heading2"/>
      </w:pPr>
      <w:r>
        <w:rPr>
          <w:rFonts w:ascii="Calibri" w:hAnsi="Calibri"/>
          <w:b/>
          <w:color w:val="003366"/>
          <w:sz w:val="28"/>
        </w:rPr>
        <w:t>4.1 Gap Overzicht</w:t>
      </w:r>
    </w:p>
    <w:tbl>
      <w:tblPr>
        <w:tblW w:type="auto" w:w="0"/>
        <w:jc w:val="center"/>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512"/>
        <w:gridCol w:w="1512"/>
        <w:gridCol w:w="1512"/>
        <w:gridCol w:w="1512"/>
        <w:gridCol w:w="1512"/>
        <w:gridCol w:w="1512"/>
      </w:tblGrid>
      <w:tr>
        <w:tc>
          <w:tcPr>
            <w:tcW w:type="dxa" w:w="850"/>
            <w:shd w:fill="003366"/>
          </w:tcPr>
          <w:p>
            <w:pPr>
              <w:jc w:val="center"/>
            </w:pPr>
            <w:r>
              <w:rPr>
                <w:b/>
                <w:color w:val="FFFFFF"/>
                <w:sz w:val="20"/>
              </w:rPr>
            </w:r>
            <w:r>
              <w:rPr>
                <w:rFonts w:ascii="Calibri" w:hAnsi="Calibri"/>
                <w:b/>
                <w:color w:val="FFFFFF"/>
                <w:sz w:val="20"/>
              </w:rPr>
              <w:t>ID</w:t>
            </w:r>
          </w:p>
        </w:tc>
        <w:tc>
          <w:tcPr>
            <w:tcW w:type="dxa" w:w="1984"/>
            <w:shd w:fill="003366"/>
          </w:tcPr>
          <w:p>
            <w:pPr>
              <w:jc w:val="center"/>
            </w:pPr>
            <w:r>
              <w:rPr>
                <w:b/>
                <w:color w:val="FFFFFF"/>
                <w:sz w:val="20"/>
              </w:rPr>
            </w:r>
            <w:r>
              <w:rPr>
                <w:rFonts w:ascii="Calibri" w:hAnsi="Calibri"/>
                <w:b/>
                <w:color w:val="FFFFFF"/>
                <w:sz w:val="20"/>
              </w:rPr>
              <w:t>Onderwerp</w:t>
            </w:r>
          </w:p>
        </w:tc>
        <w:tc>
          <w:tcPr>
            <w:tcW w:type="dxa" w:w="850"/>
            <w:shd w:fill="003366"/>
          </w:tcPr>
          <w:p>
            <w:pPr>
              <w:jc w:val="center"/>
            </w:pPr>
            <w:r>
              <w:rPr>
                <w:b/>
                <w:color w:val="FFFFFF"/>
                <w:sz w:val="20"/>
              </w:rPr>
            </w:r>
            <w:r>
              <w:rPr>
                <w:rFonts w:ascii="Calibri" w:hAnsi="Calibri"/>
                <w:b/>
                <w:color w:val="FFFFFF"/>
                <w:sz w:val="20"/>
              </w:rPr>
              <w:t>Prioriteit</w:t>
            </w:r>
          </w:p>
        </w:tc>
        <w:tc>
          <w:tcPr>
            <w:tcW w:type="dxa" w:w="737"/>
            <w:shd w:fill="003366"/>
          </w:tcPr>
          <w:p>
            <w:pPr>
              <w:jc w:val="center"/>
            </w:pPr>
            <w:r>
              <w:rPr>
                <w:b/>
                <w:color w:val="FFFFFF"/>
                <w:sz w:val="20"/>
              </w:rPr>
            </w:r>
            <w:r>
              <w:rPr>
                <w:rFonts w:ascii="Calibri" w:hAnsi="Calibri"/>
                <w:b/>
                <w:color w:val="FFFFFF"/>
                <w:sz w:val="20"/>
              </w:rPr>
              <w:t>Impact</w:t>
            </w:r>
          </w:p>
        </w:tc>
        <w:tc>
          <w:tcPr>
            <w:tcW w:type="dxa" w:w="850"/>
            <w:shd w:fill="003366"/>
          </w:tcPr>
          <w:p>
            <w:pPr>
              <w:jc w:val="center"/>
            </w:pPr>
            <w:r>
              <w:rPr>
                <w:b/>
                <w:color w:val="FFFFFF"/>
                <w:sz w:val="20"/>
              </w:rPr>
            </w:r>
            <w:r>
              <w:rPr>
                <w:rFonts w:ascii="Calibri" w:hAnsi="Calibri"/>
                <w:b/>
                <w:color w:val="FFFFFF"/>
                <w:sz w:val="20"/>
              </w:rPr>
              <w:t>Inspanning</w:t>
            </w:r>
          </w:p>
        </w:tc>
        <w:tc>
          <w:tcPr>
            <w:tcW w:type="dxa" w:w="3515"/>
            <w:shd w:fill="003366"/>
          </w:tcPr>
          <w:p>
            <w:pPr>
              <w:jc w:val="center"/>
            </w:pPr>
            <w:r>
              <w:rPr>
                <w:b/>
                <w:color w:val="FFFFFF"/>
                <w:sz w:val="20"/>
              </w:rPr>
            </w:r>
            <w:r>
              <w:rPr>
                <w:rFonts w:ascii="Calibri" w:hAnsi="Calibri"/>
                <w:b/>
                <w:color w:val="FFFFFF"/>
                <w:sz w:val="20"/>
              </w:rPr>
              <w:t>Actie</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GAP-001</w:t>
            </w:r>
          </w:p>
        </w:tc>
        <w:tc>
          <w:tcPr>
            <w:tcW w:type="dxa" w:w="1984"/>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Ontbrekende PGS-reeks</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DC3545"/>
                <w:sz w:val="20"/>
              </w:rPr>
              <w:t>KRITIEK</w:t>
            </w:r>
          </w:p>
        </w:tc>
        <w:tc>
          <w:tcPr>
            <w:tcW w:type="dxa" w:w="73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Hoog</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Laag</w:t>
            </w:r>
          </w:p>
        </w:tc>
        <w:tc>
          <w:tcPr>
            <w:tcW w:type="dxa" w:w="3515"/>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Importeer alle actieve PGS-richtlijnen. Prioriteit: PGS 15, 31, 37.</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GAP-002</w:t>
            </w:r>
          </w:p>
        </w:tc>
        <w:tc>
          <w:tcPr>
            <w:tcW w:type="dxa" w:w="1984"/>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DGS-reeks (Diverse Gevaarlijke Stoffen)</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DC3545"/>
                <w:sz w:val="20"/>
              </w:rPr>
              <w:t>KRITIEK</w:t>
            </w:r>
          </w:p>
        </w:tc>
        <w:tc>
          <w:tcPr>
            <w:tcW w:type="dxa" w:w="73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Medium</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Medium</w:t>
            </w:r>
          </w:p>
        </w:tc>
        <w:tc>
          <w:tcPr>
            <w:tcW w:type="dxa" w:w="3515"/>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DGS-publicaties van Rijksoverheid toevoegen. IMDG/ADR/RID dekking.</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GAP-003</w:t>
            </w:r>
          </w:p>
        </w:tc>
        <w:tc>
          <w:tcPr>
            <w:tcW w:type="dxa" w:w="1984"/>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Seveso-III Uitvoeringsregels</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FD7E14"/>
                <w:sz w:val="20"/>
              </w:rPr>
              <w:t>HOOG</w:t>
            </w:r>
          </w:p>
        </w:tc>
        <w:tc>
          <w:tcPr>
            <w:tcW w:type="dxa" w:w="73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Hoog</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Medium</w:t>
            </w:r>
          </w:p>
        </w:tc>
        <w:tc>
          <w:tcPr>
            <w:tcW w:type="dxa" w:w="3515"/>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Volledige Seveso-III documentatie importeren van RIVM. MMS en ZRA-methodieken.</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GAP-004</w:t>
            </w:r>
          </w:p>
        </w:tc>
        <w:tc>
          <w:tcPr>
            <w:tcW w:type="dxa" w:w="1984"/>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ISO 45001:2018 Implementatie</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FD7E14"/>
                <w:sz w:val="20"/>
              </w:rPr>
              <w:t>HOOG</w:t>
            </w:r>
          </w:p>
        </w:tc>
        <w:tc>
          <w:tcPr>
            <w:tcW w:type="dxa" w:w="73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Medium</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Laag</w:t>
            </w:r>
          </w:p>
        </w:tc>
        <w:tc>
          <w:tcPr>
            <w:tcW w:type="dxa" w:w="3515"/>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NEN-specifieke ISO 45001 publicaties en audit-checklists toevoegen.</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GAP-005</w:t>
            </w:r>
          </w:p>
        </w:tc>
        <w:tc>
          <w:tcPr>
            <w:tcW w:type="dxa" w:w="1984"/>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Omgevingswet Implementatie</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FD7E14"/>
                <w:sz w:val="20"/>
              </w:rPr>
              <w:t>HOOG</w:t>
            </w:r>
          </w:p>
        </w:tc>
        <w:tc>
          <w:tcPr>
            <w:tcW w:type="dxa" w:w="73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Hoog</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Hoog</w:t>
            </w:r>
          </w:p>
        </w:tc>
        <w:tc>
          <w:tcPr>
            <w:tcW w:type="dxa" w:w="3515"/>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Rijksoverheid monitoren voor Omgevingswet-updates. Implementatiehandleidingen toevoegen.</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GAP-006</w:t>
            </w:r>
          </w:p>
        </w:tc>
        <w:tc>
          <w:tcPr>
            <w:tcW w:type="dxa" w:w="1984"/>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Psychosociale Arbeidsbelasting (PSA)</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FD7E14"/>
                <w:sz w:val="20"/>
              </w:rPr>
              <w:t>HOOG</w:t>
            </w:r>
          </w:p>
        </w:tc>
        <w:tc>
          <w:tcPr>
            <w:tcW w:type="dxa" w:w="73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Hoog</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Medium</w:t>
            </w:r>
          </w:p>
        </w:tc>
        <w:tc>
          <w:tcPr>
            <w:tcW w:type="dxa" w:w="3515"/>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PSA-tools, werkdrukprotocollen en risico-inventarisatie-instrumenten toevoegen.</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GAP-007</w:t>
            </w:r>
          </w:p>
        </w:tc>
        <w:tc>
          <w:tcPr>
            <w:tcW w:type="dxa" w:w="1984"/>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Explosieveiligheid (ATEX)</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FD7E14"/>
                <w:sz w:val="20"/>
              </w:rPr>
              <w:t>HOOG</w:t>
            </w:r>
          </w:p>
        </w:tc>
        <w:tc>
          <w:tcPr>
            <w:tcW w:type="dxa" w:w="73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Medium</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Medium</w:t>
            </w:r>
          </w:p>
        </w:tc>
        <w:tc>
          <w:tcPr>
            <w:tcW w:type="dxa" w:w="3515"/>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ATEX 114/UE-richtlijn documentatie en zone-classificatie guides importeren.</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GAP-008</w:t>
            </w:r>
          </w:p>
        </w:tc>
        <w:tc>
          <w:tcPr>
            <w:tcW w:type="dxa" w:w="1984"/>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PFAS &amp; Forever Chemicals</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color w:val="996600"/>
                <w:sz w:val="20"/>
              </w:rPr>
              <w:t>MEDIUM</w:t>
            </w:r>
          </w:p>
        </w:tc>
        <w:tc>
          <w:tcPr>
            <w:tcW w:type="dxa" w:w="73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Medium</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Medium</w:t>
            </w:r>
          </w:p>
        </w:tc>
        <w:tc>
          <w:tcPr>
            <w:tcW w:type="dxa" w:w="3515"/>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REACH-classificatie en saneringsverplichtingen documenteren.</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GAP-009</w:t>
            </w:r>
          </w:p>
        </w:tc>
        <w:tc>
          <w:tcPr>
            <w:tcW w:type="dxa" w:w="1984"/>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Lithium-ion Batterijveiligheid</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color w:val="996600"/>
                <w:sz w:val="20"/>
              </w:rPr>
              <w:t>MEDIUM</w:t>
            </w:r>
          </w:p>
        </w:tc>
        <w:tc>
          <w:tcPr>
            <w:tcW w:type="dxa" w:w="73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Medium</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Medium</w:t>
            </w:r>
          </w:p>
        </w:tc>
        <w:tc>
          <w:tcPr>
            <w:tcW w:type="dxa" w:w="3515"/>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Nieuwe PGS-richtlijnen monitoren. Brandveiligheidsadviezen opnemen.</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GAP-010</w:t>
            </w:r>
          </w:p>
        </w:tc>
        <w:tc>
          <w:tcPr>
            <w:tcW w:type="dxa" w:w="1984"/>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Hittebelasting Protocollen</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color w:val="996600"/>
                <w:sz w:val="20"/>
              </w:rPr>
              <w:t>MEDIUM</w:t>
            </w:r>
          </w:p>
        </w:tc>
        <w:tc>
          <w:tcPr>
            <w:tcW w:type="dxa" w:w="73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Laag</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Laag</w:t>
            </w:r>
          </w:p>
        </w:tc>
        <w:tc>
          <w:tcPr>
            <w:tcW w:type="dxa" w:w="3515"/>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Hitteprotocollen implementeren. AI-bladen hitte koppelen aan praktijkgidsen.</w:t>
            </w:r>
          </w:p>
        </w:tc>
      </w:tr>
    </w:tbl>
    <w:p/>
    <w:p>
      <w:pPr>
        <w:pStyle w:val="Heading2"/>
      </w:pPr>
      <w:r>
        <w:rPr>
          <w:rFonts w:ascii="Calibri" w:hAnsi="Calibri"/>
          <w:b/>
          <w:color w:val="003366"/>
          <w:sz w:val="28"/>
        </w:rPr>
        <w:t>4.2 Wettelijk Kader Coverage</w:t>
      </w:r>
    </w:p>
    <w:tbl>
      <w:tblPr>
        <w:tblW w:type="auto" w:w="0"/>
        <w:jc w:val="center"/>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Pr>
                <w:b/>
                <w:color w:val="FFFFFF"/>
                <w:sz w:val="20"/>
              </w:rPr>
            </w:r>
            <w:r>
              <w:rPr>
                <w:rFonts w:ascii="Calibri" w:hAnsi="Calibri"/>
                <w:b/>
                <w:color w:val="FFFFFF"/>
                <w:sz w:val="20"/>
              </w:rPr>
              <w:t>Wettelijk Kader</w:t>
            </w:r>
          </w:p>
        </w:tc>
        <w:tc>
          <w:tcPr>
            <w:tcW w:type="dxa" w:w="2268"/>
            <w:shd w:fill="003366"/>
          </w:tcPr>
          <w:p>
            <w:pPr>
              <w:jc w:val="center"/>
            </w:pPr>
            <w:r>
              <w:rPr>
                <w:b/>
                <w:color w:val="FFFFFF"/>
                <w:sz w:val="20"/>
              </w:rPr>
            </w:r>
            <w:r>
              <w:rPr>
                <w:rFonts w:ascii="Calibri" w:hAnsi="Calibri"/>
                <w:b/>
                <w:color w:val="FFFFFF"/>
                <w:sz w:val="20"/>
              </w:rPr>
              <w:t>Coverage</w:t>
            </w:r>
          </w:p>
        </w:tc>
        <w:tc>
          <w:tcPr>
            <w:tcW w:type="dxa" w:w="2268"/>
            <w:shd w:fill="003366"/>
          </w:tcPr>
          <w:p>
            <w:pPr>
              <w:jc w:val="center"/>
            </w:pPr>
            <w:r>
              <w:rPr>
                <w:b/>
                <w:color w:val="FFFFFF"/>
                <w:sz w:val="20"/>
              </w:rPr>
            </w:r>
            <w:r>
              <w:rPr>
                <w:rFonts w:ascii="Calibri" w:hAnsi="Calibri"/>
                <w:b/>
                <w:color w:val="FFFFFF"/>
                <w:sz w:val="20"/>
              </w:rPr>
              <w:t>Bestanden</w:t>
            </w:r>
          </w:p>
        </w:tc>
        <w:tc>
          <w:tcPr>
            <w:tcW w:type="dxa" w:w="2268"/>
            <w:shd w:fill="003366"/>
          </w:tcPr>
          <w:p>
            <w:pPr>
              <w:jc w:val="center"/>
            </w:pPr>
            <w:r>
              <w:rPr>
                <w:b/>
                <w:color w:val="FFFFFF"/>
                <w:sz w:val="20"/>
              </w:rPr>
            </w:r>
            <w:r>
              <w:rPr>
                <w:rFonts w:ascii="Calibri" w:hAnsi="Calibri"/>
                <w:b/>
                <w:color w:val="FFFFFF"/>
                <w:sz w:val="20"/>
              </w:rPr>
              <w:t>Gaps</w:t>
            </w:r>
          </w:p>
        </w:tc>
      </w:tr>
      <w:tr>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Arbowet / Arbobesluit</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28A745"/>
                <w:sz w:val="20"/>
              </w:rPr>
              <w:t>COMPLEET</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Handboek + 30+ AI-bladen</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Geen</w:t>
            </w:r>
          </w:p>
        </w:tc>
      </w:tr>
      <w:tr>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Arbeidstijdenwet</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28A745"/>
                <w:sz w:val="20"/>
              </w:rPr>
              <w:t>COMPLEET</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Handboek ATW, AI-38</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Geen</w:t>
            </w:r>
          </w:p>
        </w:tc>
      </w:tr>
      <w:tr>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Mijnbouwwet</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28A745"/>
                <w:sz w:val="20"/>
              </w:rPr>
              <w:t>COMPLEET</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Mijnbouwwet_26-05-2025.pdf</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Geen</w:t>
            </w:r>
          </w:p>
        </w:tc>
      </w:tr>
      <w:tr>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Brzo / Seveso-III</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FD7E14"/>
                <w:sz w:val="20"/>
              </w:rPr>
              <w:t>DEELS</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Preventie zware ongevallen</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PGS-reeks, ZRA-methodiek</w:t>
            </w:r>
          </w:p>
        </w:tc>
      </w:tr>
      <w:tr>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Omgevingswet</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FD7E14"/>
                <w:sz w:val="20"/>
              </w:rPr>
              <w:t>DEELS</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AI-78</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Implementatiehandleidingen</w:t>
            </w:r>
          </w:p>
        </w:tc>
      </w:tr>
      <w:tr>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ADR / RID / IMDG</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DC3545"/>
                <w:sz w:val="20"/>
              </w:rPr>
              <w:t>ONTBREKT</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AI-81 (algemeen)</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Volledige DGS-reeks</w:t>
            </w:r>
          </w:p>
        </w:tc>
      </w:tr>
      <w:tr>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PGS-reeks</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DC3545"/>
                <w:sz w:val="20"/>
              </w:rPr>
              <w:t>ONTBREKT</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Geen</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Alle PGS 1-37</w:t>
            </w:r>
          </w:p>
        </w:tc>
      </w:tr>
      <w:tr>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ISO 45001</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FD7E14"/>
                <w:sz w:val="20"/>
              </w:rPr>
              <w:t>DEELS</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KAM-managementsystemen</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NEN-specifieke implementatie</w:t>
            </w:r>
          </w:p>
        </w:tc>
      </w:tr>
    </w:tbl>
    <w:p/>
    <w:p>
      <w:pPr>
        <w:pStyle w:val="Heading2"/>
      </w:pPr>
      <w:r>
        <w:rPr>
          <w:rFonts w:ascii="Calibri" w:hAnsi="Calibri"/>
          <w:b/>
          <w:color w:val="003366"/>
          <w:sz w:val="28"/>
        </w:rPr>
        <w:t>4.3 RACI Matrix — Gap-afsluiting</w:t>
      </w:r>
    </w:p>
    <w:p>
      <w:pPr>
        <w:spacing w:after="120" w:line="320" w:lineRule="exact"/>
      </w:pPr>
      <w:r>
        <w:rPr>
          <w:rFonts w:ascii="Calibri" w:hAnsi="Calibri"/>
          <w:b w:val="0"/>
          <w:i w:val="0"/>
          <w:sz w:val="22"/>
        </w:rPr>
        <w:t>Onderstaande RACI matrix definieert de verantwoordelijkheden per gap-afsluiting. R = Responsible, A = Accountable, C = Consulted, I = Informed.</w:t>
      </w:r>
    </w:p>
    <w:tbl>
      <w:tblPr>
        <w:tblW w:type="auto" w:w="0"/>
        <w:jc w:val="center"/>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512"/>
        <w:gridCol w:w="1512"/>
        <w:gridCol w:w="1512"/>
        <w:gridCol w:w="1512"/>
        <w:gridCol w:w="1512"/>
        <w:gridCol w:w="1512"/>
      </w:tblGrid>
      <w:tr>
        <w:tc>
          <w:tcPr>
            <w:tcW w:type="dxa" w:w="1512"/>
            <w:shd w:fill="003366"/>
          </w:tcPr>
          <w:p>
            <w:pPr>
              <w:jc w:val="center"/>
            </w:pPr>
            <w:r>
              <w:rPr>
                <w:b/>
                <w:color w:val="FFFFFF"/>
                <w:sz w:val="20"/>
              </w:rPr>
            </w:r>
            <w:r>
              <w:rPr>
                <w:rFonts w:ascii="Calibri" w:hAnsi="Calibri"/>
                <w:b/>
                <w:color w:val="FFFFFF"/>
                <w:sz w:val="20"/>
              </w:rPr>
              <w:t>Gap</w:t>
            </w:r>
          </w:p>
        </w:tc>
        <w:tc>
          <w:tcPr>
            <w:tcW w:type="dxa" w:w="1512"/>
            <w:shd w:fill="003366"/>
          </w:tcPr>
          <w:p>
            <w:pPr>
              <w:jc w:val="center"/>
            </w:pPr>
            <w:r>
              <w:rPr>
                <w:b/>
                <w:color w:val="FFFFFF"/>
                <w:sz w:val="20"/>
              </w:rPr>
            </w:r>
            <w:r>
              <w:rPr>
                <w:rFonts w:ascii="Calibri" w:hAnsi="Calibri"/>
                <w:b/>
                <w:color w:val="FFFFFF"/>
                <w:sz w:val="20"/>
              </w:rPr>
              <w:t>EA_01</w:t>
              <w:br/>
              <w:t>Director</w:t>
            </w:r>
          </w:p>
        </w:tc>
        <w:tc>
          <w:tcPr>
            <w:tcW w:type="dxa" w:w="1512"/>
            <w:shd w:fill="003366"/>
          </w:tcPr>
          <w:p>
            <w:pPr>
              <w:jc w:val="center"/>
            </w:pPr>
            <w:r>
              <w:rPr>
                <w:b/>
                <w:color w:val="FFFFFF"/>
                <w:sz w:val="20"/>
              </w:rPr>
            </w:r>
            <w:r>
              <w:rPr>
                <w:rFonts w:ascii="Calibri" w:hAnsi="Calibri"/>
                <w:b/>
                <w:color w:val="FFFFFF"/>
                <w:sz w:val="20"/>
              </w:rPr>
              <w:t>EA_04</w:t>
              <w:br/>
              <w:t>HSEQ Spec.</w:t>
            </w:r>
          </w:p>
        </w:tc>
        <w:tc>
          <w:tcPr>
            <w:tcW w:type="dxa" w:w="1512"/>
            <w:shd w:fill="003366"/>
          </w:tcPr>
          <w:p>
            <w:pPr>
              <w:jc w:val="center"/>
            </w:pPr>
            <w:r>
              <w:rPr>
                <w:b/>
                <w:color w:val="FFFFFF"/>
                <w:sz w:val="20"/>
              </w:rPr>
            </w:r>
            <w:r>
              <w:rPr>
                <w:rFonts w:ascii="Calibri" w:hAnsi="Calibri"/>
                <w:b/>
                <w:color w:val="FFFFFF"/>
                <w:sz w:val="20"/>
              </w:rPr>
              <w:t>EA_05</w:t>
              <w:br/>
              <w:t>Office Mgr.</w:t>
            </w:r>
          </w:p>
        </w:tc>
        <w:tc>
          <w:tcPr>
            <w:tcW w:type="dxa" w:w="1512"/>
            <w:shd w:fill="003366"/>
          </w:tcPr>
          <w:p>
            <w:pPr>
              <w:jc w:val="center"/>
            </w:pPr>
            <w:r>
              <w:rPr>
                <w:b/>
                <w:color w:val="FFFFFF"/>
                <w:sz w:val="20"/>
              </w:rPr>
            </w:r>
            <w:r>
              <w:rPr>
                <w:rFonts w:ascii="Calibri" w:hAnsi="Calibri"/>
                <w:b/>
                <w:color w:val="FFFFFF"/>
                <w:sz w:val="20"/>
              </w:rPr>
              <w:t>EA_03</w:t>
              <w:br/>
              <w:t>Tech Lead</w:t>
            </w:r>
          </w:p>
        </w:tc>
        <w:tc>
          <w:tcPr>
            <w:tcW w:type="dxa" w:w="1512"/>
            <w:shd w:fill="003366"/>
          </w:tcPr>
          <w:p>
            <w:pPr>
              <w:jc w:val="center"/>
            </w:pPr>
            <w:r>
              <w:rPr>
                <w:b/>
                <w:color w:val="FFFFFF"/>
                <w:sz w:val="20"/>
              </w:rPr>
            </w:r>
            <w:r>
              <w:rPr>
                <w:rFonts w:ascii="Calibri" w:hAnsi="Calibri"/>
                <w:b/>
                <w:color w:val="FFFFFF"/>
                <w:sz w:val="20"/>
              </w:rPr>
              <w:t>Extern</w:t>
              <w:br/>
              <w:t>Adviseur</w:t>
            </w:r>
          </w:p>
        </w:tc>
      </w:tr>
      <w:tr>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GAP-001 PGS-reeks</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DC3545"/>
                <w:sz w:val="20"/>
              </w:rPr>
              <w:t>A</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003366"/>
                <w:sz w:val="20"/>
              </w:rPr>
              <w:t>R</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C</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C</w:t>
            </w:r>
          </w:p>
        </w:tc>
      </w:tr>
      <w:tr>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GAP-002 DGS-reeks</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DC3545"/>
                <w:sz w:val="20"/>
              </w:rPr>
              <w:t>A</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003366"/>
                <w:sz w:val="20"/>
              </w:rPr>
              <w:t>R</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C</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C</w:t>
            </w:r>
          </w:p>
        </w:tc>
      </w:tr>
      <w:tr>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GAP-003 Seveso-III</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DC3545"/>
                <w:sz w:val="20"/>
              </w:rPr>
              <w:t>A</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003366"/>
                <w:sz w:val="20"/>
              </w:rPr>
              <w:t>R</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C</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003366"/>
                <w:sz w:val="20"/>
              </w:rPr>
              <w:t>R</w:t>
            </w:r>
          </w:p>
        </w:tc>
      </w:tr>
      <w:tr>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GAP-004 ISO 45001</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003366"/>
                <w:sz w:val="20"/>
              </w:rPr>
              <w:t>R</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C</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C</w:t>
            </w:r>
          </w:p>
        </w:tc>
      </w:tr>
      <w:tr>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GAP-005 Omgevingswet</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DC3545"/>
                <w:sz w:val="20"/>
              </w:rPr>
              <w:t>A</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003366"/>
                <w:sz w:val="20"/>
              </w:rPr>
              <w:t>R</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C</w:t>
            </w:r>
          </w:p>
        </w:tc>
      </w:tr>
      <w:tr>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GAP-006 PSA</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003366"/>
                <w:sz w:val="20"/>
              </w:rPr>
              <w:t>R</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C</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C</w:t>
            </w:r>
          </w:p>
        </w:tc>
      </w:tr>
      <w:tr>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GAP-007 ATEX</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003366"/>
                <w:sz w:val="20"/>
              </w:rPr>
              <w:t>R</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003366"/>
                <w:sz w:val="20"/>
              </w:rPr>
              <w:t>R</w:t>
            </w:r>
          </w:p>
        </w:tc>
      </w:tr>
      <w:tr>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GAP-008 PFAS</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DC3545"/>
                <w:sz w:val="20"/>
              </w:rPr>
              <w:t>A</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003366"/>
                <w:sz w:val="20"/>
              </w:rPr>
              <w:t>R</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C</w:t>
            </w:r>
          </w:p>
        </w:tc>
      </w:tr>
      <w:tr>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GAP-009 Li-ion</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003366"/>
                <w:sz w:val="20"/>
              </w:rPr>
              <w:t>R</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512"/>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C</w:t>
            </w:r>
          </w:p>
        </w:tc>
      </w:tr>
      <w:tr>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GAP-010 Hitte</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003366"/>
                <w:sz w:val="20"/>
              </w:rPr>
              <w:t>R</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C</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512"/>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r>
    </w:tbl>
    <w:p>
      <w:r>
        <w:br w:type="page"/>
      </w:r>
    </w:p>
    <w:p>
      <w:pPr>
        <w:pStyle w:val="Heading1"/>
      </w:pPr>
      <w:r>
        <w:rPr>
          <w:rFonts w:ascii="Calibri" w:hAnsi="Calibri"/>
          <w:b/>
          <w:color w:val="003366"/>
          <w:sz w:val="36"/>
        </w:rPr>
        <w:t>5. Consultancy Kansen</w:t>
      </w:r>
    </w:p>
    <w:p>
      <w:pPr>
        <w:spacing w:after="120" w:line="320" w:lineRule="exact"/>
      </w:pPr>
      <w:r>
        <w:rPr>
          <w:rFonts w:ascii="Calibri" w:hAnsi="Calibri"/>
          <w:b w:val="0"/>
          <w:i w:val="0"/>
          <w:sz w:val="22"/>
        </w:rPr>
        <w:t>Uit de marktanalyse zijn 12 consultancy kansen geidentificeerd voor JvG Consultancy. De HSEQ-markt ondergaat drie parallele transities: (1) Omgevingswet implementatie, (2) PSA-wetgeving die organisatie-brede aanpak vereist, en (3) digitalisering met smart monitoring oplossingen. JvG Consultancy is gepositioneerd om op alle drie te kapitaliseren.</w:t>
      </w:r>
    </w:p>
    <w:p>
      <w:pPr>
        <w:pStyle w:val="Heading2"/>
      </w:pPr>
      <w:r>
        <w:rPr>
          <w:rFonts w:ascii="Calibri" w:hAnsi="Calibri"/>
          <w:b/>
          <w:color w:val="003366"/>
          <w:sz w:val="28"/>
        </w:rPr>
        <w:t>5.1 Hoogwaardige Kansen (4x)</w:t>
      </w:r>
    </w:p>
    <w:p>
      <w:r>
        <w:rPr>
          <w:rFonts w:ascii="Calibri" w:hAnsi="Calibri"/>
          <w:b/>
          <w:color w:val="003366"/>
          <w:sz w:val="24"/>
        </w:rPr>
        <w:t>Omgevingswet Implementatie</w:t>
      </w:r>
    </w:p>
    <w:p>
      <w:r>
        <w:rPr>
          <w:rFonts w:ascii="Calibri" w:hAnsi="Calibri"/>
          <w:i/>
          <w:color w:val="666666"/>
          <w:sz w:val="18"/>
        </w:rPr>
        <w:t>Regelgeving-gedreven | Q1-Q2 2026</w:t>
      </w:r>
    </w:p>
    <w:p>
      <w:pPr>
        <w:spacing w:after="120" w:line="320" w:lineRule="exact"/>
      </w:pPr>
      <w:r>
        <w:rPr>
          <w:rFonts w:ascii="Calibri" w:hAnsi="Calibri"/>
          <w:b/>
          <w:i w:val="0"/>
          <w:sz w:val="22"/>
        </w:rPr>
        <w:t>Markt drivers:</w:t>
      </w:r>
    </w:p>
    <w:p>
      <w:pPr>
        <w:pStyle w:val="ListBullet"/>
        <w:spacing w:after="60"/>
      </w:pPr>
      <w:r>
        <w:rPr>
          <w:rFonts w:ascii="Calibri" w:hAnsi="Calibri"/>
          <w:sz w:val="22"/>
        </w:rPr>
        <w:t>Omgevingswet volledig in werking (1-1-2026)</w:t>
      </w:r>
    </w:p>
    <w:p>
      <w:pPr>
        <w:pStyle w:val="ListBullet"/>
        <w:spacing w:after="60"/>
      </w:pPr>
      <w:r>
        <w:rPr>
          <w:rFonts w:ascii="Calibri" w:hAnsi="Calibri"/>
          <w:sz w:val="22"/>
        </w:rPr>
        <w:t>Bedrijven moeten vergunningen herzien</w:t>
      </w:r>
    </w:p>
    <w:p>
      <w:pPr>
        <w:pStyle w:val="ListBullet"/>
        <w:spacing w:after="60"/>
      </w:pPr>
      <w:r>
        <w:rPr>
          <w:rFonts w:ascii="Calibri" w:hAnsi="Calibri"/>
          <w:sz w:val="22"/>
        </w:rPr>
        <w:t>Digitaal stelsel verplicht nieuwe processen</w:t>
      </w:r>
    </w:p>
    <w:p>
      <w:pPr>
        <w:spacing w:after="120" w:line="320" w:lineRule="exact"/>
      </w:pPr>
      <w:r>
        <w:rPr>
          <w:rFonts w:ascii="Calibri" w:hAnsi="Calibri"/>
          <w:b/>
          <w:i w:val="0"/>
          <w:sz w:val="22"/>
        </w:rPr>
        <w:t>JvG meerwaarde:</w:t>
      </w:r>
    </w:p>
    <w:p>
      <w:pPr>
        <w:pStyle w:val="ListBullet"/>
        <w:spacing w:after="60"/>
      </w:pPr>
      <w:r>
        <w:rPr>
          <w:rFonts w:ascii="Calibri" w:hAnsi="Calibri"/>
          <w:sz w:val="22"/>
        </w:rPr>
        <w:t>Impact-analyses op bestaande vergunningen</w:t>
      </w:r>
    </w:p>
    <w:p>
      <w:pPr>
        <w:pStyle w:val="ListBullet"/>
        <w:spacing w:after="60"/>
      </w:pPr>
      <w:r>
        <w:rPr>
          <w:rFonts w:ascii="Calibri" w:hAnsi="Calibri"/>
          <w:sz w:val="22"/>
        </w:rPr>
        <w:t>Integratie arboregelgeving met Omgevingsloket</w:t>
      </w:r>
    </w:p>
    <w:p>
      <w:pPr>
        <w:pStyle w:val="ListBullet"/>
        <w:spacing w:after="60"/>
      </w:pPr>
      <w:r>
        <w:rPr>
          <w:rFonts w:ascii="Calibri" w:hAnsi="Calibri"/>
          <w:sz w:val="22"/>
        </w:rPr>
        <w:t>Training operationeel management</w:t>
      </w:r>
    </w:p>
    <w:p>
      <w:pPr>
        <w:spacing w:after="240"/>
      </w:pPr>
      <w:r>
        <w:rPr>
          <w:rFonts w:ascii="Calibri" w:hAnsi="Calibri"/>
          <w:b/>
          <w:sz w:val="20"/>
        </w:rPr>
        <w:t xml:space="preserve">Revenue potentieel: </w:t>
      </w:r>
      <w:r>
        <w:rPr>
          <w:rFonts w:ascii="Calibri" w:hAnsi="Calibri"/>
          <w:b/>
          <w:color w:val="28A745"/>
          <w:sz w:val="20"/>
        </w:rPr>
        <w:t>EUR 15-25k per organisatie</w:t>
      </w:r>
    </w:p>
    <w:p>
      <w:r>
        <w:rPr>
          <w:rFonts w:ascii="Calibri" w:hAnsi="Calibri"/>
          <w:b/>
          <w:color w:val="003366"/>
          <w:sz w:val="24"/>
        </w:rPr>
        <w:t>PSA-beleid &amp; RI&amp;E</w:t>
      </w:r>
    </w:p>
    <w:p>
      <w:r>
        <w:rPr>
          <w:rFonts w:ascii="Calibri" w:hAnsi="Calibri"/>
          <w:i/>
          <w:color w:val="666666"/>
          <w:sz w:val="18"/>
        </w:rPr>
        <w:t>Trend-gedreven | Doorlopend</w:t>
      </w:r>
    </w:p>
    <w:p>
      <w:pPr>
        <w:spacing w:after="120" w:line="320" w:lineRule="exact"/>
      </w:pPr>
      <w:r>
        <w:rPr>
          <w:rFonts w:ascii="Calibri" w:hAnsi="Calibri"/>
          <w:b/>
          <w:i w:val="0"/>
          <w:sz w:val="22"/>
        </w:rPr>
        <w:t>Markt drivers:</w:t>
      </w:r>
    </w:p>
    <w:p>
      <w:pPr>
        <w:pStyle w:val="ListBullet"/>
        <w:spacing w:after="60"/>
      </w:pPr>
      <w:r>
        <w:rPr>
          <w:rFonts w:ascii="Calibri" w:hAnsi="Calibri"/>
          <w:sz w:val="22"/>
        </w:rPr>
        <w:t>Wetgeving PSA aangescherpt</w:t>
      </w:r>
    </w:p>
    <w:p>
      <w:pPr>
        <w:pStyle w:val="ListBullet"/>
        <w:spacing w:after="60"/>
      </w:pPr>
      <w:r>
        <w:rPr>
          <w:rFonts w:ascii="Calibri" w:hAnsi="Calibri"/>
          <w:sz w:val="22"/>
        </w:rPr>
        <w:t>Bedrijven verplicht tot PSA-RI&amp;E</w:t>
      </w:r>
    </w:p>
    <w:p>
      <w:pPr>
        <w:pStyle w:val="ListBullet"/>
        <w:spacing w:after="60"/>
      </w:pPr>
      <w:r>
        <w:rPr>
          <w:rFonts w:ascii="Calibri" w:hAnsi="Calibri"/>
          <w:sz w:val="22"/>
        </w:rPr>
        <w:t>Werkdrukprotocollen vereist bij &gt;50 werknemers</w:t>
      </w:r>
    </w:p>
    <w:p>
      <w:pPr>
        <w:spacing w:after="120" w:line="320" w:lineRule="exact"/>
      </w:pPr>
      <w:r>
        <w:rPr>
          <w:rFonts w:ascii="Calibri" w:hAnsi="Calibri"/>
          <w:b/>
          <w:i w:val="0"/>
          <w:sz w:val="22"/>
        </w:rPr>
        <w:t>JvG meerwaarde:</w:t>
      </w:r>
    </w:p>
    <w:p>
      <w:pPr>
        <w:pStyle w:val="ListBullet"/>
        <w:spacing w:after="60"/>
      </w:pPr>
      <w:r>
        <w:rPr>
          <w:rFonts w:ascii="Calibri" w:hAnsi="Calibri"/>
          <w:sz w:val="22"/>
        </w:rPr>
        <w:t>Volledige PSA-risico-inventarisatie</w:t>
      </w:r>
    </w:p>
    <w:p>
      <w:pPr>
        <w:pStyle w:val="ListBullet"/>
        <w:spacing w:after="60"/>
      </w:pPr>
      <w:r>
        <w:rPr>
          <w:rFonts w:ascii="Calibri" w:hAnsi="Calibri"/>
          <w:sz w:val="22"/>
        </w:rPr>
        <w:t>Implementatie werkdrukprotocol</w:t>
      </w:r>
    </w:p>
    <w:p>
      <w:pPr>
        <w:pStyle w:val="ListBullet"/>
        <w:spacing w:after="60"/>
      </w:pPr>
      <w:r>
        <w:rPr>
          <w:rFonts w:ascii="Calibri" w:hAnsi="Calibri"/>
          <w:sz w:val="22"/>
        </w:rPr>
        <w:t>Training leidinggevenden</w:t>
      </w:r>
    </w:p>
    <w:p>
      <w:pPr>
        <w:spacing w:after="240"/>
      </w:pPr>
      <w:r>
        <w:rPr>
          <w:rFonts w:ascii="Calibri" w:hAnsi="Calibri"/>
          <w:b/>
          <w:sz w:val="20"/>
        </w:rPr>
        <w:t xml:space="preserve">Revenue potentieel: </w:t>
      </w:r>
      <w:r>
        <w:rPr>
          <w:rFonts w:ascii="Calibri" w:hAnsi="Calibri"/>
          <w:b/>
          <w:color w:val="28A745"/>
          <w:sz w:val="20"/>
        </w:rPr>
        <w:t>EUR 10-20k per organisatie</w:t>
      </w:r>
    </w:p>
    <w:p>
      <w:r>
        <w:rPr>
          <w:rFonts w:ascii="Calibri" w:hAnsi="Calibri"/>
          <w:b/>
          <w:color w:val="003366"/>
          <w:sz w:val="24"/>
        </w:rPr>
        <w:t>Seveso-III / BRZO Herbeoordeling</w:t>
      </w:r>
    </w:p>
    <w:p>
      <w:r>
        <w:rPr>
          <w:rFonts w:ascii="Calibri" w:hAnsi="Calibri"/>
          <w:i/>
          <w:color w:val="666666"/>
          <w:sz w:val="18"/>
        </w:rPr>
        <w:t>Regelgeving-gedreven | Q2 2026</w:t>
      </w:r>
    </w:p>
    <w:p>
      <w:pPr>
        <w:spacing w:after="120" w:line="320" w:lineRule="exact"/>
      </w:pPr>
      <w:r>
        <w:rPr>
          <w:rFonts w:ascii="Calibri" w:hAnsi="Calibri"/>
          <w:b/>
          <w:i w:val="0"/>
          <w:sz w:val="22"/>
        </w:rPr>
        <w:t>Markt drivers:</w:t>
      </w:r>
    </w:p>
    <w:p>
      <w:pPr>
        <w:pStyle w:val="ListBullet"/>
        <w:spacing w:after="60"/>
      </w:pPr>
      <w:r>
        <w:rPr>
          <w:rFonts w:ascii="Calibri" w:hAnsi="Calibri"/>
          <w:sz w:val="22"/>
        </w:rPr>
        <w:t>Europese Seveso-III richtlijn updates</w:t>
      </w:r>
    </w:p>
    <w:p>
      <w:pPr>
        <w:pStyle w:val="ListBullet"/>
        <w:spacing w:after="60"/>
      </w:pPr>
      <w:r>
        <w:rPr>
          <w:rFonts w:ascii="Calibri" w:hAnsi="Calibri"/>
          <w:sz w:val="22"/>
        </w:rPr>
        <w:t>Nieuwe stoffen op de lijst (PFAS, lithium-ion)</w:t>
      </w:r>
    </w:p>
    <w:p>
      <w:pPr>
        <w:pStyle w:val="ListBullet"/>
        <w:spacing w:after="60"/>
      </w:pPr>
      <w:r>
        <w:rPr>
          <w:rFonts w:ascii="Calibri" w:hAnsi="Calibri"/>
          <w:sz w:val="22"/>
        </w:rPr>
        <w:t>VR-omgevingen verlopen, herziening verplicht</w:t>
      </w:r>
    </w:p>
    <w:p>
      <w:pPr>
        <w:spacing w:after="120" w:line="320" w:lineRule="exact"/>
      </w:pPr>
      <w:r>
        <w:rPr>
          <w:rFonts w:ascii="Calibri" w:hAnsi="Calibri"/>
          <w:b/>
          <w:i w:val="0"/>
          <w:sz w:val="22"/>
        </w:rPr>
        <w:t>JvG meerwaarde:</w:t>
      </w:r>
    </w:p>
    <w:p>
      <w:pPr>
        <w:pStyle w:val="ListBullet"/>
        <w:spacing w:after="60"/>
      </w:pPr>
      <w:r>
        <w:rPr>
          <w:rFonts w:ascii="Calibri" w:hAnsi="Calibri"/>
          <w:sz w:val="22"/>
        </w:rPr>
        <w:t>Screening Seveso-status wijzigingen</w:t>
      </w:r>
    </w:p>
    <w:p>
      <w:pPr>
        <w:pStyle w:val="ListBullet"/>
        <w:spacing w:after="60"/>
      </w:pPr>
      <w:r>
        <w:rPr>
          <w:rFonts w:ascii="Calibri" w:hAnsi="Calibri"/>
          <w:sz w:val="22"/>
        </w:rPr>
        <w:t>Veiligheidsrapportage updates</w:t>
      </w:r>
    </w:p>
    <w:p>
      <w:pPr>
        <w:pStyle w:val="ListBullet"/>
        <w:spacing w:after="60"/>
      </w:pPr>
      <w:r>
        <w:rPr>
          <w:rFonts w:ascii="Calibri" w:hAnsi="Calibri"/>
          <w:sz w:val="22"/>
        </w:rPr>
        <w:t>PGS-compliance audits</w:t>
      </w:r>
    </w:p>
    <w:p>
      <w:pPr>
        <w:spacing w:after="240"/>
      </w:pPr>
      <w:r>
        <w:rPr>
          <w:rFonts w:ascii="Calibri" w:hAnsi="Calibri"/>
          <w:b/>
          <w:sz w:val="20"/>
        </w:rPr>
        <w:t xml:space="preserve">Revenue potentieel: </w:t>
      </w:r>
      <w:r>
        <w:rPr>
          <w:rFonts w:ascii="Calibri" w:hAnsi="Calibri"/>
          <w:b/>
          <w:color w:val="28A745"/>
          <w:sz w:val="20"/>
        </w:rPr>
        <w:t>EUR 25-50k per locatie</w:t>
      </w:r>
    </w:p>
    <w:p>
      <w:r>
        <w:rPr>
          <w:rFonts w:ascii="Calibri" w:hAnsi="Calibri"/>
          <w:b/>
          <w:color w:val="003366"/>
          <w:sz w:val="24"/>
        </w:rPr>
        <w:t>Digital HSEQ Monitoring</w:t>
      </w:r>
    </w:p>
    <w:p>
      <w:r>
        <w:rPr>
          <w:rFonts w:ascii="Calibri" w:hAnsi="Calibri"/>
          <w:i/>
          <w:color w:val="666666"/>
          <w:sz w:val="18"/>
        </w:rPr>
        <w:t>Technologie-trend | Doorlopend</w:t>
      </w:r>
    </w:p>
    <w:p>
      <w:pPr>
        <w:spacing w:after="120" w:line="320" w:lineRule="exact"/>
      </w:pPr>
      <w:r>
        <w:rPr>
          <w:rFonts w:ascii="Calibri" w:hAnsi="Calibri"/>
          <w:b/>
          <w:i w:val="0"/>
          <w:sz w:val="22"/>
        </w:rPr>
        <w:t>Markt drivers:</w:t>
      </w:r>
    </w:p>
    <w:p>
      <w:pPr>
        <w:pStyle w:val="ListBullet"/>
        <w:spacing w:after="60"/>
      </w:pPr>
      <w:r>
        <w:rPr>
          <w:rFonts w:ascii="Calibri" w:hAnsi="Calibri"/>
          <w:sz w:val="22"/>
        </w:rPr>
        <w:t>IoT-sensoren voor veiligheidsmonitoring</w:t>
      </w:r>
    </w:p>
    <w:p>
      <w:pPr>
        <w:pStyle w:val="ListBullet"/>
        <w:spacing w:after="60"/>
      </w:pPr>
      <w:r>
        <w:rPr>
          <w:rFonts w:ascii="Calibri" w:hAnsi="Calibri"/>
          <w:sz w:val="22"/>
        </w:rPr>
        <w:t>Predictive maintenance groeit</w:t>
      </w:r>
    </w:p>
    <w:p>
      <w:pPr>
        <w:pStyle w:val="ListBullet"/>
        <w:spacing w:after="60"/>
      </w:pPr>
      <w:r>
        <w:rPr>
          <w:rFonts w:ascii="Calibri" w:hAnsi="Calibri"/>
          <w:sz w:val="22"/>
        </w:rPr>
        <w:t>Digital twin technologie wordt standaard</w:t>
      </w:r>
    </w:p>
    <w:p>
      <w:pPr>
        <w:spacing w:after="120" w:line="320" w:lineRule="exact"/>
      </w:pPr>
      <w:r>
        <w:rPr>
          <w:rFonts w:ascii="Calibri" w:hAnsi="Calibri"/>
          <w:b/>
          <w:i w:val="0"/>
          <w:sz w:val="22"/>
        </w:rPr>
        <w:t>JvG meerwaarde:</w:t>
      </w:r>
    </w:p>
    <w:p>
      <w:pPr>
        <w:pStyle w:val="ListBullet"/>
        <w:spacing w:after="60"/>
      </w:pPr>
      <w:r>
        <w:rPr>
          <w:rFonts w:ascii="Calibri" w:hAnsi="Calibri"/>
          <w:sz w:val="22"/>
        </w:rPr>
        <w:t>Advies digitale HSEQ-architectuur</w:t>
      </w:r>
    </w:p>
    <w:p>
      <w:pPr>
        <w:pStyle w:val="ListBullet"/>
        <w:spacing w:after="60"/>
      </w:pPr>
      <w:r>
        <w:rPr>
          <w:rFonts w:ascii="Calibri" w:hAnsi="Calibri"/>
          <w:sz w:val="22"/>
        </w:rPr>
        <w:t>Implementatie monitoring-systemen</w:t>
      </w:r>
    </w:p>
    <w:p>
      <w:pPr>
        <w:pStyle w:val="ListBullet"/>
        <w:spacing w:after="60"/>
      </w:pPr>
      <w:r>
        <w:rPr>
          <w:rFonts w:ascii="Calibri" w:hAnsi="Calibri"/>
          <w:sz w:val="22"/>
        </w:rPr>
        <w:t>Data-gedreven RI&amp;E's</w:t>
      </w:r>
    </w:p>
    <w:p>
      <w:pPr>
        <w:spacing w:after="240"/>
      </w:pPr>
      <w:r>
        <w:rPr>
          <w:rFonts w:ascii="Calibri" w:hAnsi="Calibri"/>
          <w:b/>
          <w:sz w:val="20"/>
        </w:rPr>
        <w:t xml:space="preserve">Revenue potentieel: </w:t>
      </w:r>
      <w:r>
        <w:rPr>
          <w:rFonts w:ascii="Calibri" w:hAnsi="Calibri"/>
          <w:b/>
          <w:color w:val="28A745"/>
          <w:sz w:val="20"/>
        </w:rPr>
        <w:t>EUR 20-40k per project</w:t>
      </w:r>
    </w:p>
    <w:p>
      <w:pPr>
        <w:pStyle w:val="Heading2"/>
      </w:pPr>
      <w:r>
        <w:rPr>
          <w:rFonts w:ascii="Calibri" w:hAnsi="Calibri"/>
          <w:b/>
          <w:color w:val="003366"/>
          <w:sz w:val="28"/>
        </w:rPr>
        <w:t>5.2 Opkomende Trends &amp; Niche Kansen (4x)</w:t>
      </w:r>
    </w:p>
    <w:p>
      <w:r>
        <w:rPr>
          <w:rFonts w:ascii="Calibri" w:hAnsi="Calibri"/>
          <w:b/>
          <w:color w:val="003366"/>
          <w:sz w:val="22"/>
        </w:rPr>
        <w:t>PFAS &amp; Forever Chemicals</w:t>
      </w:r>
    </w:p>
    <w:p>
      <w:r>
        <w:rPr>
          <w:rFonts w:ascii="Calibri" w:hAnsi="Calibri"/>
          <w:i/>
          <w:color w:val="666666"/>
          <w:sz w:val="18"/>
        </w:rPr>
        <w:t>Emerging risk | 2026-2027</w:t>
      </w:r>
    </w:p>
    <w:p>
      <w:pPr>
        <w:pStyle w:val="ListBullet"/>
        <w:spacing w:after="60"/>
      </w:pPr>
      <w:r>
        <w:rPr>
          <w:rFonts w:ascii="Calibri" w:hAnsi="Calibri"/>
          <w:sz w:val="22"/>
        </w:rPr>
        <w:t>PFAS-risicoscreening (nieuwe dienst)</w:t>
      </w:r>
    </w:p>
    <w:p>
      <w:pPr>
        <w:pStyle w:val="ListBullet"/>
        <w:spacing w:after="60"/>
      </w:pPr>
      <w:r>
        <w:rPr>
          <w:rFonts w:ascii="Calibri" w:hAnsi="Calibri"/>
          <w:sz w:val="22"/>
        </w:rPr>
        <w:t>Inventarisatie-advies</w:t>
      </w:r>
    </w:p>
    <w:p>
      <w:pPr>
        <w:pStyle w:val="ListBullet"/>
        <w:spacing w:after="60"/>
      </w:pPr>
      <w:r>
        <w:rPr>
          <w:rFonts w:ascii="Calibri" w:hAnsi="Calibri"/>
          <w:sz w:val="22"/>
        </w:rPr>
        <w:t>Begeleiding saneringsaanpak</w:t>
      </w:r>
    </w:p>
    <w:p>
      <w:pPr>
        <w:spacing w:after="160"/>
      </w:pPr>
      <w:r>
        <w:rPr>
          <w:rFonts w:ascii="Calibri" w:hAnsi="Calibri"/>
          <w:b/>
          <w:sz w:val="20"/>
        </w:rPr>
        <w:t xml:space="preserve">Revenue: </w:t>
      </w:r>
      <w:r>
        <w:rPr>
          <w:rFonts w:ascii="Calibri" w:hAnsi="Calibri"/>
          <w:b/>
          <w:color w:val="0066CC"/>
          <w:sz w:val="20"/>
        </w:rPr>
        <w:t>EUR 8-15k per inventarisatie</w:t>
      </w:r>
    </w:p>
    <w:p>
      <w:r>
        <w:rPr>
          <w:rFonts w:ascii="Calibri" w:hAnsi="Calibri"/>
          <w:b/>
          <w:color w:val="003366"/>
          <w:sz w:val="22"/>
        </w:rPr>
        <w:t>Lithium-ion Batterijveiligheid</w:t>
      </w:r>
    </w:p>
    <w:p>
      <w:r>
        <w:rPr>
          <w:rFonts w:ascii="Calibri" w:hAnsi="Calibri"/>
          <w:i/>
          <w:color w:val="666666"/>
          <w:sz w:val="18"/>
        </w:rPr>
        <w:t>Emerging risk | 2026+</w:t>
      </w:r>
    </w:p>
    <w:p>
      <w:pPr>
        <w:pStyle w:val="ListBullet"/>
        <w:spacing w:after="60"/>
      </w:pPr>
      <w:r>
        <w:rPr>
          <w:rFonts w:ascii="Calibri" w:hAnsi="Calibri"/>
          <w:sz w:val="22"/>
        </w:rPr>
        <w:t>Risico-inventarisatie batterijopslag</w:t>
      </w:r>
    </w:p>
    <w:p>
      <w:pPr>
        <w:pStyle w:val="ListBullet"/>
        <w:spacing w:after="60"/>
      </w:pPr>
      <w:r>
        <w:rPr>
          <w:rFonts w:ascii="Calibri" w:hAnsi="Calibri"/>
          <w:sz w:val="22"/>
        </w:rPr>
        <w:t>Brandveiligheidsadviezen</w:t>
      </w:r>
    </w:p>
    <w:p>
      <w:pPr>
        <w:pStyle w:val="ListBullet"/>
        <w:spacing w:after="60"/>
      </w:pPr>
      <w:r>
        <w:rPr>
          <w:rFonts w:ascii="Calibri" w:hAnsi="Calibri"/>
          <w:sz w:val="22"/>
        </w:rPr>
        <w:t>Training noodprocedures</w:t>
      </w:r>
    </w:p>
    <w:p>
      <w:pPr>
        <w:spacing w:after="160"/>
      </w:pPr>
      <w:r>
        <w:rPr>
          <w:rFonts w:ascii="Calibri" w:hAnsi="Calibri"/>
          <w:b/>
          <w:sz w:val="20"/>
        </w:rPr>
        <w:t xml:space="preserve">Revenue: </w:t>
      </w:r>
      <w:r>
        <w:rPr>
          <w:rFonts w:ascii="Calibri" w:hAnsi="Calibri"/>
          <w:b/>
          <w:color w:val="0066CC"/>
          <w:sz w:val="20"/>
        </w:rPr>
        <w:t>EUR 10-18k per locatie</w:t>
      </w:r>
    </w:p>
    <w:p>
      <w:r>
        <w:rPr>
          <w:rFonts w:ascii="Calibri" w:hAnsi="Calibri"/>
          <w:b/>
          <w:color w:val="003366"/>
          <w:sz w:val="22"/>
        </w:rPr>
        <w:t>Klimaatadaptatie &amp; Hittebelasting</w:t>
      </w:r>
    </w:p>
    <w:p>
      <w:r>
        <w:rPr>
          <w:rFonts w:ascii="Calibri" w:hAnsi="Calibri"/>
          <w:i/>
          <w:color w:val="666666"/>
          <w:sz w:val="18"/>
        </w:rPr>
        <w:t>Klimaat-trend | Zomers 2026+</w:t>
      </w:r>
    </w:p>
    <w:p>
      <w:pPr>
        <w:pStyle w:val="ListBullet"/>
        <w:spacing w:after="60"/>
      </w:pPr>
      <w:r>
        <w:rPr>
          <w:rFonts w:ascii="Calibri" w:hAnsi="Calibri"/>
          <w:sz w:val="22"/>
        </w:rPr>
        <w:t>Hittebelasting RI&amp;E's</w:t>
      </w:r>
    </w:p>
    <w:p>
      <w:pPr>
        <w:pStyle w:val="ListBullet"/>
        <w:spacing w:after="60"/>
      </w:pPr>
      <w:r>
        <w:rPr>
          <w:rFonts w:ascii="Calibri" w:hAnsi="Calibri"/>
          <w:sz w:val="22"/>
        </w:rPr>
        <w:t>Implementatie hitteprotocollen</w:t>
      </w:r>
    </w:p>
    <w:p>
      <w:pPr>
        <w:pStyle w:val="ListBullet"/>
        <w:spacing w:after="60"/>
      </w:pPr>
      <w:r>
        <w:rPr>
          <w:rFonts w:ascii="Calibri" w:hAnsi="Calibri"/>
          <w:sz w:val="22"/>
        </w:rPr>
        <w:t>Training supervisors</w:t>
      </w:r>
    </w:p>
    <w:p>
      <w:pPr>
        <w:spacing w:after="160"/>
      </w:pPr>
      <w:r>
        <w:rPr>
          <w:rFonts w:ascii="Calibri" w:hAnsi="Calibri"/>
          <w:b/>
          <w:sz w:val="20"/>
        </w:rPr>
        <w:t xml:space="preserve">Revenue: </w:t>
      </w:r>
      <w:r>
        <w:rPr>
          <w:rFonts w:ascii="Calibri" w:hAnsi="Calibri"/>
          <w:b/>
          <w:color w:val="0066CC"/>
          <w:sz w:val="20"/>
        </w:rPr>
        <w:t>EUR 5-12k per organisatie</w:t>
      </w:r>
    </w:p>
    <w:p>
      <w:r>
        <w:rPr>
          <w:rFonts w:ascii="Calibri" w:hAnsi="Calibri"/>
          <w:b/>
          <w:color w:val="003366"/>
          <w:sz w:val="22"/>
        </w:rPr>
        <w:t>ISO 45001:2018 Transitie</w:t>
      </w:r>
    </w:p>
    <w:p>
      <w:r>
        <w:rPr>
          <w:rFonts w:ascii="Calibri" w:hAnsi="Calibri"/>
          <w:i/>
          <w:color w:val="666666"/>
          <w:sz w:val="18"/>
        </w:rPr>
        <w:t>Certificering-gedreven | Doorlopend</w:t>
      </w:r>
    </w:p>
    <w:p>
      <w:pPr>
        <w:pStyle w:val="ListBullet"/>
        <w:spacing w:after="60"/>
      </w:pPr>
      <w:r>
        <w:rPr>
          <w:rFonts w:ascii="Calibri" w:hAnsi="Calibri"/>
          <w:sz w:val="22"/>
        </w:rPr>
        <w:t>Gap-analyse OHSAS naar ISO 45001</w:t>
      </w:r>
    </w:p>
    <w:p>
      <w:pPr>
        <w:pStyle w:val="ListBullet"/>
        <w:spacing w:after="60"/>
      </w:pPr>
      <w:r>
        <w:rPr>
          <w:rFonts w:ascii="Calibri" w:hAnsi="Calibri"/>
          <w:sz w:val="22"/>
        </w:rPr>
        <w:t>Implementatiebegeleiding</w:t>
      </w:r>
    </w:p>
    <w:p>
      <w:pPr>
        <w:pStyle w:val="ListBullet"/>
        <w:spacing w:after="60"/>
      </w:pPr>
      <w:r>
        <w:rPr>
          <w:rFonts w:ascii="Calibri" w:hAnsi="Calibri"/>
          <w:sz w:val="22"/>
        </w:rPr>
        <w:t>Interne audit voorbereiding</w:t>
      </w:r>
    </w:p>
    <w:p>
      <w:pPr>
        <w:spacing w:after="160"/>
      </w:pPr>
      <w:r>
        <w:rPr>
          <w:rFonts w:ascii="Calibri" w:hAnsi="Calibri"/>
          <w:b/>
          <w:sz w:val="20"/>
        </w:rPr>
        <w:t xml:space="preserve">Revenue: </w:t>
      </w:r>
      <w:r>
        <w:rPr>
          <w:rFonts w:ascii="Calibri" w:hAnsi="Calibri"/>
          <w:b/>
          <w:color w:val="0066CC"/>
          <w:sz w:val="20"/>
        </w:rPr>
        <w:t>EUR 12-25k per certificaat</w:t>
      </w:r>
    </w:p>
    <w:p>
      <w:pPr>
        <w:pStyle w:val="Heading2"/>
      </w:pPr>
      <w:r>
        <w:rPr>
          <w:rFonts w:ascii="Calibri" w:hAnsi="Calibri"/>
          <w:b/>
          <w:color w:val="003366"/>
          <w:sz w:val="28"/>
        </w:rPr>
        <w:t>5.3 Dienstenaanbod Groeisegmenten (4x)</w:t>
      </w:r>
    </w:p>
    <w:p>
      <w:pPr>
        <w:pStyle w:val="ListBullet"/>
        <w:spacing w:after="60"/>
      </w:pPr>
      <w:r>
        <w:rPr>
          <w:rFonts w:ascii="Calibri" w:hAnsi="Calibri"/>
          <w:sz w:val="22"/>
        </w:rPr>
        <w:t xml:space="preserve"> Arbowetgeving Compliance Check — EUR 5-10k per scan (Regelgeving-gedreven)</w:t>
      </w:r>
    </w:p>
    <w:p>
      <w:pPr>
        <w:pStyle w:val="ListBullet"/>
        <w:spacing w:after="60"/>
      </w:pPr>
      <w:r>
        <w:rPr>
          <w:rFonts w:ascii="Calibri" w:hAnsi="Calibri"/>
          <w:sz w:val="22"/>
        </w:rPr>
        <w:t xml:space="preserve"> VG-plan Ontwikkeling &amp; Review — EUR 8-15k per plan (Dienst-gedreven)</w:t>
      </w:r>
    </w:p>
    <w:p>
      <w:pPr>
        <w:pStyle w:val="ListBullet"/>
        <w:spacing w:after="60"/>
      </w:pPr>
      <w:r>
        <w:rPr>
          <w:rFonts w:ascii="Calibri" w:hAnsi="Calibri"/>
          <w:sz w:val="22"/>
        </w:rPr>
        <w:t xml:space="preserve"> HSEQ Training &amp; Workshop Programma's — EUR 3-8k per programma (Capaciteits-gedreven)</w:t>
      </w:r>
    </w:p>
    <w:p>
      <w:pPr>
        <w:pStyle w:val="ListBullet"/>
        <w:spacing w:after="60"/>
      </w:pPr>
      <w:r>
        <w:rPr>
          <w:rFonts w:ascii="Calibri" w:hAnsi="Calibri"/>
          <w:sz w:val="22"/>
        </w:rPr>
        <w:t xml:space="preserve"> Safety Culture Assessments — EUR 10-20k per assessment (Trend-gedreven)</w:t>
      </w:r>
    </w:p>
    <w:p/>
    <w:p>
      <w:pPr>
        <w:pStyle w:val="Heading2"/>
      </w:pPr>
      <w:r>
        <w:rPr>
          <w:rFonts w:ascii="Calibri" w:hAnsi="Calibri"/>
          <w:b/>
          <w:color w:val="003366"/>
          <w:sz w:val="28"/>
        </w:rPr>
        <w:t>5.4 Segmentatie &amp; Revenue Potentieel</w:t>
      </w:r>
    </w:p>
    <w:tbl>
      <w:tblPr>
        <w:tblW w:type="auto" w:w="0"/>
        <w:jc w:val="center"/>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shd w:fill="003366"/>
          </w:tcPr>
          <w:p>
            <w:pPr>
              <w:jc w:val="center"/>
            </w:pPr>
            <w:r>
              <w:rPr>
                <w:b/>
                <w:color w:val="FFFFFF"/>
                <w:sz w:val="20"/>
              </w:rPr>
            </w:r>
            <w:r>
              <w:rPr>
                <w:rFonts w:ascii="Calibri" w:hAnsi="Calibri"/>
                <w:b/>
                <w:color w:val="FFFFFF"/>
                <w:sz w:val="20"/>
              </w:rPr>
              <w:t>Segment</w:t>
            </w:r>
          </w:p>
        </w:tc>
        <w:tc>
          <w:tcPr>
            <w:tcW w:type="dxa" w:w="2268"/>
            <w:shd w:fill="003366"/>
          </w:tcPr>
          <w:p>
            <w:pPr>
              <w:jc w:val="center"/>
            </w:pPr>
            <w:r>
              <w:rPr>
                <w:b/>
                <w:color w:val="FFFFFF"/>
                <w:sz w:val="20"/>
              </w:rPr>
            </w:r>
            <w:r>
              <w:rPr>
                <w:rFonts w:ascii="Calibri" w:hAnsi="Calibri"/>
                <w:b/>
                <w:color w:val="FFFFFF"/>
                <w:sz w:val="20"/>
              </w:rPr>
              <w:t>Focus</w:t>
            </w:r>
          </w:p>
        </w:tc>
        <w:tc>
          <w:tcPr>
            <w:tcW w:type="dxa" w:w="2268"/>
            <w:shd w:fill="003366"/>
          </w:tcPr>
          <w:p>
            <w:pPr>
              <w:jc w:val="center"/>
            </w:pPr>
            <w:r>
              <w:rPr>
                <w:b/>
                <w:color w:val="FFFFFF"/>
                <w:sz w:val="20"/>
              </w:rPr>
            </w:r>
            <w:r>
              <w:rPr>
                <w:rFonts w:ascii="Calibri" w:hAnsi="Calibri"/>
                <w:b/>
                <w:color w:val="FFFFFF"/>
                <w:sz w:val="20"/>
              </w:rPr>
              <w:t>Budget Range</w:t>
            </w:r>
          </w:p>
        </w:tc>
        <w:tc>
          <w:tcPr>
            <w:tcW w:type="dxa" w:w="2268"/>
            <w:shd w:fill="003366"/>
          </w:tcPr>
          <w:p>
            <w:pPr>
              <w:jc w:val="center"/>
            </w:pPr>
            <w:r>
              <w:rPr>
                <w:b/>
                <w:color w:val="FFFFFF"/>
                <w:sz w:val="20"/>
              </w:rPr>
            </w:r>
            <w:r>
              <w:rPr>
                <w:rFonts w:ascii="Calibri" w:hAnsi="Calibri"/>
                <w:b/>
                <w:color w:val="FFFFFF"/>
                <w:sz w:val="20"/>
              </w:rPr>
              <w:t>JvG Kansen</w:t>
            </w:r>
          </w:p>
        </w:tc>
      </w:tr>
      <w:tr>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Shell-niveau (Major Hazard)</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BRZO, PGS, procesveiligheid</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EUR 50-200k/jaar</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Seveso-III, PGS-audits, Digital HSEQ</w:t>
            </w:r>
          </w:p>
        </w:tc>
      </w:tr>
      <w:tr>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Arcadis-niveau (Engineering)</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Omgevingswet, veiligheidsstudies</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EUR 25-75k/project</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Omgevingswet, ISO 45001, ATEX</w:t>
            </w:r>
          </w:p>
        </w:tc>
      </w:tr>
      <w:tr>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MKB Industrie (Growth)</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RI&amp;E, PSA, ISO 45001</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EUR 10-30k/jaar</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PSA-RI&amp;E, Omgevingswet, training</w:t>
            </w:r>
          </w:p>
        </w:tc>
      </w:tr>
      <w:tr>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Overheid &amp; Semi-overheid</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Arbowetgeving, VG-plannen</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EUR 15-50k/project</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VG-plannen, Arbo-compliance</w:t>
            </w:r>
          </w:p>
        </w:tc>
      </w:tr>
    </w:tbl>
    <w:p/>
    <w:p>
      <w:pPr>
        <w:pStyle w:val="Heading2"/>
      </w:pPr>
      <w:r>
        <w:rPr>
          <w:rFonts w:ascii="Calibri" w:hAnsi="Calibri"/>
          <w:b/>
          <w:color w:val="003366"/>
          <w:sz w:val="28"/>
        </w:rPr>
        <w:t>5.5 Top 3 Aanbevelingen</w:t>
      </w:r>
    </w:p>
    <w:p>
      <w:pPr>
        <w:spacing w:after="120" w:line="320" w:lineRule="exact"/>
      </w:pPr>
      <w:r>
        <w:rPr>
          <w:rFonts w:ascii="Calibri" w:hAnsi="Calibri"/>
          <w:b/>
          <w:i w:val="0"/>
          <w:sz w:val="22"/>
        </w:rPr>
        <w:t>1. Omgevingswet First-Mover</w:t>
      </w:r>
    </w:p>
    <w:p>
      <w:pPr>
        <w:spacing w:after="120" w:line="320" w:lineRule="exact"/>
      </w:pPr>
      <w:r>
        <w:rPr>
          <w:rFonts w:ascii="Calibri" w:hAnsi="Calibri"/>
          <w:b w:val="0"/>
          <w:i w:val="0"/>
          <w:sz w:val="22"/>
        </w:rPr>
        <w:t>De Omgevingswet is nu live. Bedrijven hebben direct ondersteuning nodig bij herziening vergunningen. Positioneer JvG als expert in integratie Arbowetgeving met Omgevingswet. Deze kans is tijdgevoelig: early movers pakken het grootste marktaandeel.</w:t>
      </w:r>
    </w:p>
    <w:p>
      <w:pPr>
        <w:spacing w:after="120" w:line="320" w:lineRule="exact"/>
      </w:pPr>
      <w:r>
        <w:rPr>
          <w:rFonts w:ascii="Calibri" w:hAnsi="Calibri"/>
          <w:b/>
          <w:i w:val="0"/>
          <w:sz w:val="22"/>
        </w:rPr>
        <w:t>2. PSA als Differentiator</w:t>
      </w:r>
    </w:p>
    <w:p>
      <w:pPr>
        <w:spacing w:after="120" w:line="320" w:lineRule="exact"/>
      </w:pPr>
      <w:r>
        <w:rPr>
          <w:rFonts w:ascii="Calibri" w:hAnsi="Calibri"/>
          <w:b w:val="0"/>
          <w:i w:val="0"/>
          <w:sz w:val="22"/>
        </w:rPr>
        <w:t>Weinig consultants bieden volledige PSA-implementatie. Ontwikkel een standaardpakket met training, RI&amp;E en protocol. Dit creert een unieke marktpositie met herhalingspotentieel.</w:t>
      </w:r>
    </w:p>
    <w:p>
      <w:pPr>
        <w:spacing w:after="120" w:line="320" w:lineRule="exact"/>
      </w:pPr>
      <w:r>
        <w:rPr>
          <w:rFonts w:ascii="Calibri" w:hAnsi="Calibri"/>
          <w:b/>
          <w:i w:val="0"/>
          <w:sz w:val="22"/>
        </w:rPr>
        <w:t>3. Kennisbank activeren als concurrentievoordeel</w:t>
      </w:r>
    </w:p>
    <w:p>
      <w:pPr>
        <w:spacing w:after="120" w:line="320" w:lineRule="exact"/>
      </w:pPr>
      <w:r>
        <w:rPr>
          <w:rFonts w:ascii="Calibri" w:hAnsi="Calibri"/>
          <w:b w:val="0"/>
          <w:i w:val="0"/>
          <w:sz w:val="22"/>
        </w:rPr>
        <w:t>De 91 PDF's in de kennisbank vormen een competitief voordeel. Activeer de HSEQ Intelligence Monitor om prospects te demonstreren dat JvG toegang heeft tot alle relevante kennis. Gebruik de Harvester-output als lead generator.</w:t>
      </w:r>
    </w:p>
    <w:p>
      <w:r>
        <w:br w:type="page"/>
      </w:r>
    </w:p>
    <w:p>
      <w:pPr>
        <w:pStyle w:val="Heading1"/>
      </w:pPr>
      <w:r>
        <w:rPr>
          <w:rFonts w:ascii="Calibri" w:hAnsi="Calibri"/>
          <w:b/>
          <w:color w:val="003366"/>
          <w:sz w:val="36"/>
        </w:rPr>
        <w:t>6. Directe Acties</w:t>
      </w:r>
    </w:p>
    <w:p>
      <w:pPr>
        <w:spacing w:after="120" w:line="320" w:lineRule="exact"/>
      </w:pPr>
      <w:r>
        <w:rPr>
          <w:rFonts w:ascii="Calibri" w:hAnsi="Calibri"/>
          <w:b w:val="0"/>
          <w:i w:val="0"/>
          <w:sz w:val="22"/>
        </w:rPr>
        <w:t>Onderstaande actielijst bevat de direct te ondernemen stappen, met eigenaar en deadline. De RASCI matrix definieert de verantwoordelijkheden: Responsible, Accountable, Supportive, Consulted, Informed.</w:t>
      </w:r>
    </w:p>
    <w:p>
      <w:pPr>
        <w:pStyle w:val="Heading2"/>
      </w:pPr>
      <w:r>
        <w:rPr>
          <w:rFonts w:ascii="Calibri" w:hAnsi="Calibri"/>
          <w:b/>
          <w:color w:val="003366"/>
          <w:sz w:val="28"/>
        </w:rPr>
        <w:t>6.1 Actielijst</w:t>
      </w:r>
    </w:p>
    <w:tbl>
      <w:tblPr>
        <w:tblW w:type="auto" w:w="0"/>
        <w:jc w:val="center"/>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454"/>
            <w:shd w:fill="003366"/>
          </w:tcPr>
          <w:p>
            <w:pPr>
              <w:jc w:val="center"/>
            </w:pPr>
            <w:r>
              <w:rPr>
                <w:b/>
                <w:color w:val="FFFFFF"/>
                <w:sz w:val="20"/>
              </w:rPr>
            </w:r>
            <w:r>
              <w:rPr>
                <w:rFonts w:ascii="Calibri" w:hAnsi="Calibri"/>
                <w:b/>
                <w:color w:val="FFFFFF"/>
                <w:sz w:val="20"/>
              </w:rPr>
              <w:t>#</w:t>
            </w:r>
          </w:p>
        </w:tc>
        <w:tc>
          <w:tcPr>
            <w:tcW w:type="dxa" w:w="5386"/>
            <w:shd w:fill="003366"/>
          </w:tcPr>
          <w:p>
            <w:pPr>
              <w:jc w:val="center"/>
            </w:pPr>
            <w:r>
              <w:rPr>
                <w:b/>
                <w:color w:val="FFFFFF"/>
                <w:sz w:val="20"/>
              </w:rPr>
            </w:r>
            <w:r>
              <w:rPr>
                <w:rFonts w:ascii="Calibri" w:hAnsi="Calibri"/>
                <w:b/>
                <w:color w:val="FFFFFF"/>
                <w:sz w:val="20"/>
              </w:rPr>
              <w:t>Actie</w:t>
            </w:r>
          </w:p>
        </w:tc>
        <w:tc>
          <w:tcPr>
            <w:tcW w:type="dxa" w:w="1417"/>
            <w:shd w:fill="003366"/>
          </w:tcPr>
          <w:p>
            <w:pPr>
              <w:jc w:val="center"/>
            </w:pPr>
            <w:r>
              <w:rPr>
                <w:b/>
                <w:color w:val="FFFFFF"/>
                <w:sz w:val="20"/>
              </w:rPr>
            </w:r>
            <w:r>
              <w:rPr>
                <w:rFonts w:ascii="Calibri" w:hAnsi="Calibri"/>
                <w:b/>
                <w:color w:val="FFFFFF"/>
                <w:sz w:val="20"/>
              </w:rPr>
              <w:t>Eigenaar</w:t>
            </w:r>
          </w:p>
        </w:tc>
        <w:tc>
          <w:tcPr>
            <w:tcW w:type="dxa" w:w="1247"/>
            <w:shd w:fill="003366"/>
          </w:tcPr>
          <w:p>
            <w:pPr>
              <w:jc w:val="center"/>
            </w:pPr>
            <w:r>
              <w:rPr>
                <w:b/>
                <w:color w:val="FFFFFF"/>
                <w:sz w:val="20"/>
              </w:rPr>
            </w:r>
            <w:r>
              <w:rPr>
                <w:rFonts w:ascii="Calibri" w:hAnsi="Calibri"/>
                <w:b/>
                <w:color w:val="FFFFFF"/>
                <w:sz w:val="20"/>
              </w:rPr>
              <w:t>Deadline</w:t>
            </w:r>
          </w:p>
        </w:tc>
      </w:tr>
      <w:tr>
        <w:tc>
          <w:tcPr>
            <w:tcW w:type="dxa" w:w="45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1</w:t>
            </w:r>
          </w:p>
        </w:tc>
        <w:tc>
          <w:tcPr>
            <w:tcW w:type="dxa" w:w="5386"/>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Kennisbank structuur herstellen — PDF's categoriseren naar Tier 1/2</w:t>
            </w:r>
          </w:p>
        </w:tc>
        <w:tc>
          <w:tcPr>
            <w:tcW w:type="dxa" w:w="1417"/>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EA_04</w:t>
            </w:r>
          </w:p>
        </w:tc>
        <w:tc>
          <w:tcPr>
            <w:tcW w:type="dxa" w:w="1247"/>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Week 1</w:t>
            </w:r>
          </w:p>
        </w:tc>
      </w:tr>
      <w:tr>
        <w:tc>
          <w:tcPr>
            <w:tcW w:type="dxa" w:w="454"/>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2</w:t>
            </w:r>
          </w:p>
        </w:tc>
        <w:tc>
          <w:tcPr>
            <w:tcW w:type="dxa" w:w="5386"/>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PGS-richtlijnen downloaden (prioriteit: PGS 15, 31, 37)</w:t>
            </w:r>
          </w:p>
        </w:tc>
        <w:tc>
          <w:tcPr>
            <w:tcW w:type="dxa" w:w="1417"/>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EA_04</w:t>
            </w:r>
          </w:p>
        </w:tc>
        <w:tc>
          <w:tcPr>
            <w:tcW w:type="dxa" w:w="1247"/>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Week 1</w:t>
            </w:r>
          </w:p>
        </w:tc>
      </w:tr>
      <w:tr>
        <w:tc>
          <w:tcPr>
            <w:tcW w:type="dxa" w:w="45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3</w:t>
            </w:r>
          </w:p>
        </w:tc>
        <w:tc>
          <w:tcPr>
            <w:tcW w:type="dxa" w:w="5386"/>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Procedures-templates importeren naar /procedures/</w:t>
            </w:r>
          </w:p>
        </w:tc>
        <w:tc>
          <w:tcPr>
            <w:tcW w:type="dxa" w:w="1417"/>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EA_05</w:t>
            </w:r>
          </w:p>
        </w:tc>
        <w:tc>
          <w:tcPr>
            <w:tcW w:type="dxa" w:w="1247"/>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Week 1</w:t>
            </w:r>
          </w:p>
        </w:tc>
      </w:tr>
      <w:tr>
        <w:tc>
          <w:tcPr>
            <w:tcW w:type="dxa" w:w="454"/>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4</w:t>
            </w:r>
          </w:p>
        </w:tc>
        <w:tc>
          <w:tcPr>
            <w:tcW w:type="dxa" w:w="5386"/>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Geconsolideerde wetteksten toevoegen aan Tier 2</w:t>
            </w:r>
          </w:p>
        </w:tc>
        <w:tc>
          <w:tcPr>
            <w:tcW w:type="dxa" w:w="1417"/>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EA_04</w:t>
            </w:r>
          </w:p>
        </w:tc>
        <w:tc>
          <w:tcPr>
            <w:tcW w:type="dxa" w:w="1247"/>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Week 2</w:t>
            </w:r>
          </w:p>
        </w:tc>
      </w:tr>
      <w:tr>
        <w:tc>
          <w:tcPr>
            <w:tcW w:type="dxa" w:w="45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5</w:t>
            </w:r>
          </w:p>
        </w:tc>
        <w:tc>
          <w:tcPr>
            <w:tcW w:type="dxa" w:w="5386"/>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DGS-reeks importeren (transportregelgeving)</w:t>
            </w:r>
          </w:p>
        </w:tc>
        <w:tc>
          <w:tcPr>
            <w:tcW w:type="dxa" w:w="1417"/>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EA_04</w:t>
            </w:r>
          </w:p>
        </w:tc>
        <w:tc>
          <w:tcPr>
            <w:tcW w:type="dxa" w:w="1247"/>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Week 2-3</w:t>
            </w:r>
          </w:p>
        </w:tc>
      </w:tr>
      <w:tr>
        <w:tc>
          <w:tcPr>
            <w:tcW w:type="dxa" w:w="454"/>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6</w:t>
            </w:r>
          </w:p>
        </w:tc>
        <w:tc>
          <w:tcPr>
            <w:tcW w:type="dxa" w:w="5386"/>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Volledige BRZO-set downloaden van RIVM</w:t>
            </w:r>
          </w:p>
        </w:tc>
        <w:tc>
          <w:tcPr>
            <w:tcW w:type="dxa" w:w="1417"/>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EA_04</w:t>
            </w:r>
          </w:p>
        </w:tc>
        <w:tc>
          <w:tcPr>
            <w:tcW w:type="dxa" w:w="1247"/>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Week 2-3</w:t>
            </w:r>
          </w:p>
        </w:tc>
      </w:tr>
      <w:tr>
        <w:tc>
          <w:tcPr>
            <w:tcW w:type="dxa" w:w="45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7</w:t>
            </w:r>
          </w:p>
        </w:tc>
        <w:tc>
          <w:tcPr>
            <w:tcW w:type="dxa" w:w="5386"/>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ATEX documentatie en zone-classificatie guides importeren</w:t>
            </w:r>
          </w:p>
        </w:tc>
        <w:tc>
          <w:tcPr>
            <w:tcW w:type="dxa" w:w="1417"/>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EA_04</w:t>
            </w:r>
          </w:p>
        </w:tc>
        <w:tc>
          <w:tcPr>
            <w:tcW w:type="dxa" w:w="1247"/>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Week 3-4</w:t>
            </w:r>
          </w:p>
        </w:tc>
      </w:tr>
      <w:tr>
        <w:tc>
          <w:tcPr>
            <w:tcW w:type="dxa" w:w="454"/>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8</w:t>
            </w:r>
          </w:p>
        </w:tc>
        <w:tc>
          <w:tcPr>
            <w:tcW w:type="dxa" w:w="5386"/>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PSA-tools en werkdrukprotocollen toevoegen</w:t>
            </w:r>
          </w:p>
        </w:tc>
        <w:tc>
          <w:tcPr>
            <w:tcW w:type="dxa" w:w="1417"/>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EA_04</w:t>
            </w:r>
          </w:p>
        </w:tc>
        <w:tc>
          <w:tcPr>
            <w:tcW w:type="dxa" w:w="1247"/>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Week 3-4</w:t>
            </w:r>
          </w:p>
        </w:tc>
      </w:tr>
      <w:tr>
        <w:tc>
          <w:tcPr>
            <w:tcW w:type="dxa" w:w="45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9</w:t>
            </w:r>
          </w:p>
        </w:tc>
        <w:tc>
          <w:tcPr>
            <w:tcW w:type="dxa" w:w="5386"/>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Harvester-module configureren voor 20 bronnen</w:t>
            </w:r>
          </w:p>
        </w:tc>
        <w:tc>
          <w:tcPr>
            <w:tcW w:type="dxa" w:w="1417"/>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EA_03</w:t>
            </w:r>
          </w:p>
        </w:tc>
        <w:tc>
          <w:tcPr>
            <w:tcW w:type="dxa" w:w="1247"/>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Week 2</w:t>
            </w:r>
          </w:p>
        </w:tc>
      </w:tr>
      <w:tr>
        <w:tc>
          <w:tcPr>
            <w:tcW w:type="dxa" w:w="454"/>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10</w:t>
            </w:r>
          </w:p>
        </w:tc>
        <w:tc>
          <w:tcPr>
            <w:tcW w:type="dxa" w:w="5386"/>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Eerste volledige harvest-run uitvoeren</w:t>
            </w:r>
          </w:p>
        </w:tc>
        <w:tc>
          <w:tcPr>
            <w:tcW w:type="dxa" w:w="1417"/>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EA_03</w:t>
            </w:r>
          </w:p>
        </w:tc>
        <w:tc>
          <w:tcPr>
            <w:tcW w:type="dxa" w:w="1247"/>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Week 3</w:t>
            </w:r>
          </w:p>
        </w:tc>
      </w:tr>
      <w:tr>
        <w:tc>
          <w:tcPr>
            <w:tcW w:type="dxa" w:w="45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11</w:t>
            </w:r>
          </w:p>
        </w:tc>
        <w:tc>
          <w:tcPr>
            <w:tcW w:type="dxa" w:w="5386"/>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Omgevingswet campagne voorbereiden</w:t>
            </w:r>
          </w:p>
        </w:tc>
        <w:tc>
          <w:tcPr>
            <w:tcW w:type="dxa" w:w="1417"/>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EA_01</w:t>
            </w:r>
          </w:p>
        </w:tc>
        <w:tc>
          <w:tcPr>
            <w:tcW w:type="dxa" w:w="1247"/>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Week 2</w:t>
            </w:r>
          </w:p>
        </w:tc>
      </w:tr>
      <w:tr>
        <w:tc>
          <w:tcPr>
            <w:tcW w:type="dxa" w:w="454"/>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12</w:t>
            </w:r>
          </w:p>
        </w:tc>
        <w:tc>
          <w:tcPr>
            <w:tcW w:type="dxa" w:w="5386"/>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PSA-dienstpakket ontwikkelen (scope + pricing)</w:t>
            </w:r>
          </w:p>
        </w:tc>
        <w:tc>
          <w:tcPr>
            <w:tcW w:type="dxa" w:w="1417"/>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EA_01 + EA_04</w:t>
            </w:r>
          </w:p>
        </w:tc>
        <w:tc>
          <w:tcPr>
            <w:tcW w:type="dxa" w:w="1247"/>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Week 3-4</w:t>
            </w:r>
          </w:p>
        </w:tc>
      </w:tr>
      <w:tr>
        <w:tc>
          <w:tcPr>
            <w:tcW w:type="dxa" w:w="45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13</w:t>
            </w:r>
          </w:p>
        </w:tc>
        <w:tc>
          <w:tcPr>
            <w:tcW w:type="dxa" w:w="5386"/>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Rapportage definitief maken en GO aanvragen</w:t>
            </w:r>
          </w:p>
        </w:tc>
        <w:tc>
          <w:tcPr>
            <w:tcW w:type="dxa" w:w="1417"/>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EA_05</w:t>
            </w:r>
          </w:p>
        </w:tc>
        <w:tc>
          <w:tcPr>
            <w:tcW w:type="dxa" w:w="1247"/>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Week 1</w:t>
            </w:r>
          </w:p>
        </w:tc>
      </w:tr>
    </w:tbl>
    <w:p/>
    <w:p>
      <w:pPr>
        <w:pStyle w:val="Heading2"/>
      </w:pPr>
      <w:r>
        <w:rPr>
          <w:rFonts w:ascii="Calibri" w:hAnsi="Calibri"/>
          <w:b/>
          <w:color w:val="003366"/>
          <w:sz w:val="28"/>
        </w:rPr>
        <w:t>6.2 RASCI Matrix</w:t>
      </w:r>
    </w:p>
    <w:tbl>
      <w:tblPr>
        <w:tblW w:type="auto" w:w="0"/>
        <w:jc w:val="center"/>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814"/>
        <w:gridCol w:w="1814"/>
        <w:gridCol w:w="1814"/>
        <w:gridCol w:w="1814"/>
        <w:gridCol w:w="1814"/>
      </w:tblGrid>
      <w:tr>
        <w:tc>
          <w:tcPr>
            <w:tcW w:type="dxa" w:w="1814"/>
            <w:shd w:fill="003366"/>
          </w:tcPr>
          <w:p>
            <w:pPr>
              <w:jc w:val="center"/>
            </w:pPr>
            <w:r>
              <w:rPr>
                <w:b/>
                <w:color w:val="FFFFFF"/>
                <w:sz w:val="20"/>
              </w:rPr>
            </w:r>
            <w:r>
              <w:rPr>
                <w:rFonts w:ascii="Calibri" w:hAnsi="Calibri"/>
                <w:b/>
                <w:color w:val="FFFFFF"/>
                <w:sz w:val="20"/>
              </w:rPr>
              <w:t>Actiedomein</w:t>
            </w:r>
          </w:p>
        </w:tc>
        <w:tc>
          <w:tcPr>
            <w:tcW w:type="dxa" w:w="1814"/>
            <w:shd w:fill="003366"/>
          </w:tcPr>
          <w:p>
            <w:pPr>
              <w:jc w:val="center"/>
            </w:pPr>
            <w:r>
              <w:rPr>
                <w:b/>
                <w:color w:val="FFFFFF"/>
                <w:sz w:val="20"/>
              </w:rPr>
            </w:r>
            <w:r>
              <w:rPr>
                <w:rFonts w:ascii="Calibri" w:hAnsi="Calibri"/>
                <w:b/>
                <w:color w:val="FFFFFF"/>
                <w:sz w:val="20"/>
              </w:rPr>
              <w:t>EA_01</w:t>
              <w:br/>
              <w:t>Director</w:t>
            </w:r>
          </w:p>
        </w:tc>
        <w:tc>
          <w:tcPr>
            <w:tcW w:type="dxa" w:w="1814"/>
            <w:shd w:fill="003366"/>
          </w:tcPr>
          <w:p>
            <w:pPr>
              <w:jc w:val="center"/>
            </w:pPr>
            <w:r>
              <w:rPr>
                <w:b/>
                <w:color w:val="FFFFFF"/>
                <w:sz w:val="20"/>
              </w:rPr>
            </w:r>
            <w:r>
              <w:rPr>
                <w:rFonts w:ascii="Calibri" w:hAnsi="Calibri"/>
                <w:b/>
                <w:color w:val="FFFFFF"/>
                <w:sz w:val="20"/>
              </w:rPr>
              <w:t>EA_03</w:t>
              <w:br/>
              <w:t>Tech Lead</w:t>
            </w:r>
          </w:p>
        </w:tc>
        <w:tc>
          <w:tcPr>
            <w:tcW w:type="dxa" w:w="1814"/>
            <w:shd w:fill="003366"/>
          </w:tcPr>
          <w:p>
            <w:pPr>
              <w:jc w:val="center"/>
            </w:pPr>
            <w:r>
              <w:rPr>
                <w:b/>
                <w:color w:val="FFFFFF"/>
                <w:sz w:val="20"/>
              </w:rPr>
            </w:r>
            <w:r>
              <w:rPr>
                <w:rFonts w:ascii="Calibri" w:hAnsi="Calibri"/>
                <w:b/>
                <w:color w:val="FFFFFF"/>
                <w:sz w:val="20"/>
              </w:rPr>
              <w:t>EA_04</w:t>
              <w:br/>
              <w:t>HSEQ Spec.</w:t>
            </w:r>
          </w:p>
        </w:tc>
        <w:tc>
          <w:tcPr>
            <w:tcW w:type="dxa" w:w="1814"/>
            <w:shd w:fill="003366"/>
          </w:tcPr>
          <w:p>
            <w:pPr>
              <w:jc w:val="center"/>
            </w:pPr>
            <w:r>
              <w:rPr>
                <w:b/>
                <w:color w:val="FFFFFF"/>
                <w:sz w:val="20"/>
              </w:rPr>
            </w:r>
            <w:r>
              <w:rPr>
                <w:rFonts w:ascii="Calibri" w:hAnsi="Calibri"/>
                <w:b/>
                <w:color w:val="FFFFFF"/>
                <w:sz w:val="20"/>
              </w:rPr>
              <w:t>EA_05</w:t>
              <w:br/>
              <w:t>Office Mgr.</w:t>
            </w:r>
          </w:p>
        </w:tc>
      </w:tr>
      <w:tr>
        <w:tc>
          <w:tcPr>
            <w:tcW w:type="dxa" w:w="181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Kennisbank structuur</w:t>
            </w:r>
          </w:p>
        </w:tc>
        <w:tc>
          <w:tcPr>
            <w:tcW w:type="dxa" w:w="181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DC3545"/>
                <w:sz w:val="20"/>
              </w:rPr>
              <w:t>A</w:t>
            </w:r>
          </w:p>
        </w:tc>
        <w:tc>
          <w:tcPr>
            <w:tcW w:type="dxa" w:w="181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S</w:t>
            </w:r>
          </w:p>
        </w:tc>
        <w:tc>
          <w:tcPr>
            <w:tcW w:type="dxa" w:w="181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003366"/>
                <w:sz w:val="20"/>
              </w:rPr>
              <w:t>R</w:t>
            </w:r>
          </w:p>
        </w:tc>
        <w:tc>
          <w:tcPr>
            <w:tcW w:type="dxa" w:w="181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S</w:t>
            </w:r>
          </w:p>
        </w:tc>
      </w:tr>
      <w:tr>
        <w:tc>
          <w:tcPr>
            <w:tcW w:type="dxa" w:w="1814"/>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PGS/DGS import</w:t>
            </w:r>
          </w:p>
        </w:tc>
        <w:tc>
          <w:tcPr>
            <w:tcW w:type="dxa" w:w="1814"/>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814"/>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S</w:t>
            </w:r>
          </w:p>
        </w:tc>
        <w:tc>
          <w:tcPr>
            <w:tcW w:type="dxa" w:w="1814"/>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003366"/>
                <w:sz w:val="20"/>
              </w:rPr>
              <w:t>R</w:t>
            </w:r>
          </w:p>
        </w:tc>
        <w:tc>
          <w:tcPr>
            <w:tcW w:type="dxa" w:w="1814"/>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r>
      <w:tr>
        <w:tc>
          <w:tcPr>
            <w:tcW w:type="dxa" w:w="181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Harvester config</w:t>
            </w:r>
          </w:p>
        </w:tc>
        <w:tc>
          <w:tcPr>
            <w:tcW w:type="dxa" w:w="181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DC3545"/>
                <w:sz w:val="20"/>
              </w:rPr>
              <w:t>A</w:t>
            </w:r>
          </w:p>
        </w:tc>
        <w:tc>
          <w:tcPr>
            <w:tcW w:type="dxa" w:w="181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003366"/>
                <w:sz w:val="20"/>
              </w:rPr>
              <w:t>R</w:t>
            </w:r>
          </w:p>
        </w:tc>
        <w:tc>
          <w:tcPr>
            <w:tcW w:type="dxa" w:w="181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C</w:t>
            </w:r>
          </w:p>
        </w:tc>
        <w:tc>
          <w:tcPr>
            <w:tcW w:type="dxa" w:w="181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r>
      <w:tr>
        <w:tc>
          <w:tcPr>
            <w:tcW w:type="dxa" w:w="1814"/>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Templates &amp; procedures</w:t>
            </w:r>
          </w:p>
        </w:tc>
        <w:tc>
          <w:tcPr>
            <w:tcW w:type="dxa" w:w="1814"/>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814"/>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814"/>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C</w:t>
            </w:r>
          </w:p>
        </w:tc>
        <w:tc>
          <w:tcPr>
            <w:tcW w:type="dxa" w:w="1814"/>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003366"/>
                <w:sz w:val="20"/>
              </w:rPr>
              <w:t>R</w:t>
            </w:r>
          </w:p>
        </w:tc>
      </w:tr>
      <w:tr>
        <w:tc>
          <w:tcPr>
            <w:tcW w:type="dxa" w:w="181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Campagne voorbereiding</w:t>
            </w:r>
          </w:p>
        </w:tc>
        <w:tc>
          <w:tcPr>
            <w:tcW w:type="dxa" w:w="181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DC3545"/>
                <w:sz w:val="20"/>
              </w:rPr>
              <w:t>R/A</w:t>
            </w:r>
          </w:p>
        </w:tc>
        <w:tc>
          <w:tcPr>
            <w:tcW w:type="dxa" w:w="181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C</w:t>
            </w:r>
          </w:p>
        </w:tc>
        <w:tc>
          <w:tcPr>
            <w:tcW w:type="dxa" w:w="181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C</w:t>
            </w:r>
          </w:p>
        </w:tc>
        <w:tc>
          <w:tcPr>
            <w:tcW w:type="dxa" w:w="1814"/>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S</w:t>
            </w:r>
          </w:p>
        </w:tc>
      </w:tr>
      <w:tr>
        <w:tc>
          <w:tcPr>
            <w:tcW w:type="dxa" w:w="1814"/>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003366"/>
                <w:sz w:val="20"/>
              </w:rPr>
              <w:t>Rapportage &amp; GO</w:t>
            </w:r>
          </w:p>
        </w:tc>
        <w:tc>
          <w:tcPr>
            <w:tcW w:type="dxa" w:w="1814"/>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DC3545"/>
                <w:sz w:val="20"/>
              </w:rPr>
              <w:t>A</w:t>
            </w:r>
          </w:p>
        </w:tc>
        <w:tc>
          <w:tcPr>
            <w:tcW w:type="dxa" w:w="1814"/>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I</w:t>
            </w:r>
          </w:p>
        </w:tc>
        <w:tc>
          <w:tcPr>
            <w:tcW w:type="dxa" w:w="1814"/>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sz w:val="20"/>
              </w:rPr>
              <w:t>C</w:t>
            </w:r>
          </w:p>
        </w:tc>
        <w:tc>
          <w:tcPr>
            <w:tcW w:type="dxa" w:w="1814"/>
            <w:shd w:fill="F8F9FA"/>
            <w:tcBorders>
              <w:top w:val="single" w:sz="4" w:space="0" w:color="E5E7EB"/>
              <w:bottom w:val="single" w:sz="4" w:space="0" w:color="E5E7EB"/>
              <w:left w:val="single" w:sz="4" w:space="0" w:color="E5E7EB"/>
              <w:right w:val="single" w:sz="4" w:space="0" w:color="E5E7EB"/>
            </w:tcBorders>
            <w:vAlign w:val="center"/>
          </w:tcPr>
          <w:p>
            <w:pPr>
              <w:jc w:val="center"/>
            </w:pPr>
            <w:r>
              <w:rPr>
                <w:sz w:val="20"/>
              </w:rPr>
            </w:r>
            <w:r>
              <w:rPr>
                <w:rFonts w:ascii="Calibri" w:hAnsi="Calibri"/>
                <w:b/>
                <w:color w:val="003366"/>
                <w:sz w:val="20"/>
              </w:rPr>
              <w:t>R</w:t>
            </w:r>
          </w:p>
        </w:tc>
      </w:tr>
    </w:tbl>
    <w:p>
      <w:r>
        <w:br w:type="page"/>
      </w:r>
    </w:p>
    <w:p>
      <w:pPr>
        <w:pStyle w:val="Heading1"/>
      </w:pPr>
      <w:r>
        <w:rPr>
          <w:rFonts w:ascii="Calibri" w:hAnsi="Calibri"/>
          <w:b/>
          <w:color w:val="003366"/>
          <w:sz w:val="36"/>
        </w:rPr>
        <w:t>7. Bijlagen</w:t>
      </w:r>
    </w:p>
    <w:p>
      <w:pPr>
        <w:pStyle w:val="Heading2"/>
      </w:pPr>
      <w:r>
        <w:rPr>
          <w:rFonts w:ascii="Calibri" w:hAnsi="Calibri"/>
          <w:b/>
          <w:color w:val="003366"/>
          <w:sz w:val="28"/>
        </w:rPr>
        <w:t>Bijlage A — Volledige Bronnenlijst (sources.json)</w:t>
      </w:r>
    </w:p>
    <w:p>
      <w:pPr>
        <w:spacing w:after="120" w:line="320" w:lineRule="exact"/>
      </w:pPr>
      <w:r>
        <w:rPr>
          <w:rFonts w:ascii="Calibri" w:hAnsi="Calibri"/>
          <w:b w:val="0"/>
          <w:i w:val="0"/>
          <w:sz w:val="22"/>
        </w:rPr>
        <w:t>Onderstaande tabel bevat de volledige bronnenlijst inclusief alle velden uit sources.json (versie 0.1, 1 april 2026).</w:t>
      </w:r>
    </w:p>
    <w:tbl>
      <w:tblPr>
        <w:tblW w:type="auto" w:w="0"/>
        <w:jc w:val="center"/>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814"/>
        <w:gridCol w:w="1814"/>
        <w:gridCol w:w="1814"/>
        <w:gridCol w:w="1814"/>
        <w:gridCol w:w="1814"/>
      </w:tblGrid>
      <w:tr>
        <w:tc>
          <w:tcPr>
            <w:tcW w:type="dxa" w:w="850"/>
            <w:shd w:fill="003366"/>
          </w:tcPr>
          <w:p>
            <w:pPr>
              <w:jc w:val="center"/>
            </w:pPr>
            <w:r>
              <w:rPr>
                <w:b/>
                <w:color w:val="FFFFFF"/>
                <w:sz w:val="20"/>
              </w:rPr>
            </w:r>
            <w:r>
              <w:rPr>
                <w:rFonts w:ascii="Calibri" w:hAnsi="Calibri"/>
                <w:b/>
                <w:color w:val="FFFFFF"/>
                <w:sz w:val="20"/>
              </w:rPr>
              <w:t>ID</w:t>
            </w:r>
          </w:p>
        </w:tc>
        <w:tc>
          <w:tcPr>
            <w:tcW w:type="dxa" w:w="2268"/>
            <w:shd w:fill="003366"/>
          </w:tcPr>
          <w:p>
            <w:pPr>
              <w:jc w:val="center"/>
            </w:pPr>
            <w:r>
              <w:rPr>
                <w:b/>
                <w:color w:val="FFFFFF"/>
                <w:sz w:val="20"/>
              </w:rPr>
            </w:r>
            <w:r>
              <w:rPr>
                <w:rFonts w:ascii="Calibri" w:hAnsi="Calibri"/>
                <w:b/>
                <w:color w:val="FFFFFF"/>
                <w:sz w:val="20"/>
              </w:rPr>
              <w:t>Naam</w:t>
            </w:r>
          </w:p>
        </w:tc>
        <w:tc>
          <w:tcPr>
            <w:tcW w:type="dxa" w:w="1417"/>
            <w:shd w:fill="003366"/>
          </w:tcPr>
          <w:p>
            <w:pPr>
              <w:jc w:val="center"/>
            </w:pPr>
            <w:r>
              <w:rPr>
                <w:b/>
                <w:color w:val="FFFFFF"/>
                <w:sz w:val="20"/>
              </w:rPr>
            </w:r>
            <w:r>
              <w:rPr>
                <w:rFonts w:ascii="Calibri" w:hAnsi="Calibri"/>
                <w:b/>
                <w:color w:val="FFFFFF"/>
                <w:sz w:val="20"/>
              </w:rPr>
              <w:t>Categorie</w:t>
            </w:r>
          </w:p>
        </w:tc>
        <w:tc>
          <w:tcPr>
            <w:tcW w:type="dxa" w:w="850"/>
            <w:shd w:fill="003366"/>
          </w:tcPr>
          <w:p>
            <w:pPr>
              <w:jc w:val="center"/>
            </w:pPr>
            <w:r>
              <w:rPr>
                <w:b/>
                <w:color w:val="FFFFFF"/>
                <w:sz w:val="20"/>
              </w:rPr>
            </w:r>
            <w:r>
              <w:rPr>
                <w:rFonts w:ascii="Calibri" w:hAnsi="Calibri"/>
                <w:b/>
                <w:color w:val="FFFFFF"/>
                <w:sz w:val="20"/>
              </w:rPr>
              <w:t>Prioriteit</w:t>
            </w:r>
          </w:p>
        </w:tc>
        <w:tc>
          <w:tcPr>
            <w:tcW w:type="dxa" w:w="3118"/>
            <w:shd w:fill="003366"/>
          </w:tcPr>
          <w:p>
            <w:pPr>
              <w:jc w:val="center"/>
            </w:pPr>
            <w:r>
              <w:rPr>
                <w:b/>
                <w:color w:val="FFFFFF"/>
                <w:sz w:val="20"/>
              </w:rPr>
            </w:r>
            <w:r>
              <w:rPr>
                <w:rFonts w:ascii="Calibri" w:hAnsi="Calibri"/>
                <w:b/>
                <w:color w:val="FFFFFF"/>
                <w:sz w:val="20"/>
              </w:rPr>
              <w:t>Opmerkingen</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SRC-001</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Overheid.nl — Wetten en Besluiten</w:t>
            </w:r>
          </w:p>
        </w:tc>
        <w:tc>
          <w:tcPr>
            <w:tcW w:type="dxa" w:w="141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wetgeving</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DC3545"/>
                <w:sz w:val="20"/>
              </w:rPr>
              <w:t>KRITIEK</w:t>
            </w:r>
          </w:p>
        </w:tc>
        <w:tc>
          <w:tcPr>
            <w:tcW w:type="dxa" w:w="311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Primaire bron voor wetswijzigingen. RSS-feed beschikbaar.</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SRC-003</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Inspectie SZW (voorheen Arbeidsinspectie)</w:t>
            </w:r>
          </w:p>
        </w:tc>
        <w:tc>
          <w:tcPr>
            <w:tcW w:type="dxa" w:w="141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toezicht</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DC3545"/>
                <w:sz w:val="20"/>
              </w:rPr>
              <w:t>KRITIEK</w:t>
            </w:r>
          </w:p>
        </w:tc>
        <w:tc>
          <w:tcPr>
            <w:tcW w:type="dxa" w:w="311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Toezichthouder arbeidsomstandigheden. Publiceert handhavingskaders en beleids...</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SRC-004</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Staatstoezicht op de Mijnen (SodM)</w:t>
            </w:r>
          </w:p>
        </w:tc>
        <w:tc>
          <w:tcPr>
            <w:tcW w:type="dxa" w:w="141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toezicht</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DC3545"/>
                <w:sz w:val="20"/>
              </w:rPr>
              <w:t>KRITIEK</w:t>
            </w:r>
          </w:p>
        </w:tc>
        <w:tc>
          <w:tcPr>
            <w:tcW w:type="dxa" w:w="311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URL stabiel. Toezichthouder voor mijnbouw, offshore en ondergrondse opslag.</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SRC-011</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PGS — Publicatiereeks Gevaarlijke Stoffen</w:t>
            </w:r>
          </w:p>
        </w:tc>
        <w:tc>
          <w:tcPr>
            <w:tcW w:type="dxa" w:w="141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branche</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DC3545"/>
                <w:sz w:val="20"/>
              </w:rPr>
              <w:t>KRITIEK</w:t>
            </w:r>
          </w:p>
        </w:tc>
        <w:tc>
          <w:tcPr>
            <w:tcW w:type="dxa" w:w="311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Richtlijnen voor opslag/overslag gevaarlijke stoffen. Essentieel Seveso.</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SRC-014</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Brzo — Besluit risico's zware ongevallen</w:t>
            </w:r>
          </w:p>
        </w:tc>
        <w:tc>
          <w:tcPr>
            <w:tcW w:type="dxa" w:w="141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wetgeving</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DC3545"/>
                <w:sz w:val="20"/>
              </w:rPr>
              <w:t>KRITIEK</w:t>
            </w:r>
          </w:p>
        </w:tc>
        <w:tc>
          <w:tcPr>
            <w:tcW w:type="dxa" w:w="311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Essentieel voor Seveso-III bedrijven.</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SRC-002</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Overheid.nl — Zoekresultaten Arbowetgeving</w:t>
            </w:r>
          </w:p>
        </w:tc>
        <w:tc>
          <w:tcPr>
            <w:tcW w:type="dxa" w:w="141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wetgeving</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FD7E14"/>
                <w:sz w:val="20"/>
              </w:rPr>
              <w:t>HOOG</w:t>
            </w:r>
          </w:p>
        </w:tc>
        <w:tc>
          <w:tcPr>
            <w:tcW w:type="dxa" w:w="311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Aggregatie van alle overheidspublicaties rondom arbowetgeving.</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SRC-005</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NLA — Nederlandse Liftinrichting Autoriteit</w:t>
            </w:r>
          </w:p>
        </w:tc>
        <w:tc>
          <w:tcPr>
            <w:tcW w:type="dxa" w:w="141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toezicht</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FD7E14"/>
                <w:sz w:val="20"/>
              </w:rPr>
              <w:t>HOOG</w:t>
            </w:r>
          </w:p>
        </w:tc>
        <w:tc>
          <w:tcPr>
            <w:tcW w:type="dxa" w:w="311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Toezichthouder voor liften en rollentrappen. [ISSUE: PERFORMANCE: Site kan tr...</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SRC-006</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NOGEPA — Nederlandse Olie en Gas Exploratie en Productie Associatie</w:t>
            </w:r>
          </w:p>
        </w:tc>
        <w:tc>
          <w:tcPr>
            <w:tcW w:type="dxa" w:w="141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branche</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FD7E14"/>
                <w:sz w:val="20"/>
              </w:rPr>
              <w:t>HOOG</w:t>
            </w:r>
          </w:p>
        </w:tc>
        <w:tc>
          <w:tcPr>
            <w:tcW w:type="dxa" w:w="311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Organisatie actief onder deze naam. Publiceert industrie-standaarden.</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SRC-009</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NEN / Arbonorm.nl — Normeringen</w:t>
            </w:r>
          </w:p>
        </w:tc>
        <w:tc>
          <w:tcPr>
            <w:tcW w:type="dxa" w:w="141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normering</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FD7E14"/>
                <w:sz w:val="20"/>
              </w:rPr>
              <w:t>HOOG</w:t>
            </w:r>
          </w:p>
        </w:tc>
        <w:tc>
          <w:tcPr>
            <w:tcW w:type="dxa" w:w="311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Veel normen betaald. Track nieuwe norm-publicaties.</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SRC-010</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Arboportaal — Rijksoverheid</w:t>
            </w:r>
          </w:p>
        </w:tc>
        <w:tc>
          <w:tcPr>
            <w:tcW w:type="dxa" w:w="141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wetgeving</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FD7E14"/>
                <w:sz w:val="20"/>
              </w:rPr>
              <w:t>HOOG</w:t>
            </w:r>
          </w:p>
        </w:tc>
        <w:tc>
          <w:tcPr>
            <w:tcW w:type="dxa" w:w="311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Centrale informatiebron over arbowetgeving.</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SRC-016</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Omgevingswet — Rijksoverheid</w:t>
            </w:r>
          </w:p>
        </w:tc>
        <w:tc>
          <w:tcPr>
            <w:tcW w:type="dxa" w:w="141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wetgeving</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b/>
                <w:color w:val="FD7E14"/>
                <w:sz w:val="20"/>
              </w:rPr>
              <w:t>HOOG</w:t>
            </w:r>
          </w:p>
        </w:tc>
        <w:tc>
          <w:tcPr>
            <w:tcW w:type="dxa" w:w="311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Omgevingswet vervangt diverse milieuvergunningen.</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SRC-007</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TNO — Veiligheid en Gezondheid</w:t>
            </w:r>
          </w:p>
        </w:tc>
        <w:tc>
          <w:tcPr>
            <w:tcW w:type="dxa" w:w="141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kennisinstelling</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MEDIUM</w:t>
            </w:r>
          </w:p>
        </w:tc>
        <w:tc>
          <w:tcPr>
            <w:tcW w:type="dxa" w:w="311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Onafhankelijk kennisinstituut. Publiceert onderzoeksrapporten.</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SRC-008</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RIVM — Rijksinstituut voor Volksgezondheid en Milieu</w:t>
            </w:r>
          </w:p>
        </w:tc>
        <w:tc>
          <w:tcPr>
            <w:tcW w:type="dxa" w:w="141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kennisinstelling</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MEDIUM</w:t>
            </w:r>
          </w:p>
        </w:tc>
        <w:tc>
          <w:tcPr>
            <w:tcW w:type="dxa" w:w="311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Expertise op gebied van milieukwaliteit en gezondheidsrisico's.</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SRC-015</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EU-OSHA — European Agency for Safety and Health</w:t>
            </w:r>
          </w:p>
        </w:tc>
        <w:tc>
          <w:tcPr>
            <w:tcW w:type="dxa" w:w="141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eu</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MEDIUM</w:t>
            </w:r>
          </w:p>
        </w:tc>
        <w:tc>
          <w:tcPr>
            <w:tcW w:type="dxa" w:w="311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Europese arbokennis. Signaleert toekomstige EU-richtlijnen.</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SRC-018</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DGA — Dutch Gas Association</w:t>
            </w:r>
          </w:p>
        </w:tc>
        <w:tc>
          <w:tcPr>
            <w:tcW w:type="dxa" w:w="141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branche</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MEDIUM</w:t>
            </w:r>
          </w:p>
        </w:tc>
        <w:tc>
          <w:tcPr>
            <w:tcW w:type="dxa" w:w="311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Gas-sector veiligheidsrichtlijnen.</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SRC-019</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EPSC — European Process Safety Centre</w:t>
            </w:r>
          </w:p>
        </w:tc>
        <w:tc>
          <w:tcPr>
            <w:tcW w:type="dxa" w:w="141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eu</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MEDIUM</w:t>
            </w:r>
          </w:p>
        </w:tc>
        <w:tc>
          <w:tcPr>
            <w:tcW w:type="dxa" w:w="311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Europese procesveiligheid kenniscentrum.</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SRC-012</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Stichting PAO — Post Academisch Onderwijs</w:t>
            </w:r>
          </w:p>
        </w:tc>
        <w:tc>
          <w:tcPr>
            <w:tcW w:type="dxa" w:w="141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kennisinstelling</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LAAG</w:t>
            </w:r>
          </w:p>
        </w:tc>
        <w:tc>
          <w:tcPr>
            <w:tcW w:type="dxa" w:w="311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Trackt actualiteiten arbeidshygiëne en veiligheidskunde.</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SRC-013</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NVVK — Nederlandse Vereniging voor Veiligheidskunde</w:t>
            </w:r>
          </w:p>
        </w:tc>
        <w:tc>
          <w:tcPr>
            <w:tcW w:type="dxa" w:w="141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branche</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LAAG</w:t>
            </w:r>
          </w:p>
        </w:tc>
        <w:tc>
          <w:tcPr>
            <w:tcW w:type="dxa" w:w="311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Brancheorganisatie veiligheidskundigen.</w:t>
            </w:r>
          </w:p>
        </w:tc>
      </w:tr>
      <w:tr>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SRC-017</w:t>
            </w:r>
          </w:p>
        </w:tc>
        <w:tc>
          <w:tcPr>
            <w:tcW w:type="dxa" w:w="226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SER — Sociaal-Economische Raad</w:t>
            </w:r>
          </w:p>
        </w:tc>
        <w:tc>
          <w:tcPr>
            <w:tcW w:type="dxa" w:w="1417"/>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wetgeving</w:t>
            </w:r>
          </w:p>
        </w:tc>
        <w:tc>
          <w:tcPr>
            <w:tcW w:type="dxa" w:w="850"/>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LAAG</w:t>
            </w:r>
          </w:p>
        </w:tc>
        <w:tc>
          <w:tcPr>
            <w:tcW w:type="dxa" w:w="3118"/>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Adviesorgaan arbeidsmarktvraagstukken.</w:t>
            </w:r>
          </w:p>
        </w:tc>
      </w:tr>
      <w:tr>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SRC-020</w:t>
            </w:r>
          </w:p>
        </w:tc>
        <w:tc>
          <w:tcPr>
            <w:tcW w:type="dxa" w:w="226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CCPS — Center for Chemical Process Safety</w:t>
            </w:r>
          </w:p>
        </w:tc>
        <w:tc>
          <w:tcPr>
            <w:tcW w:type="dxa" w:w="1417"/>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internationaal</w:t>
            </w:r>
          </w:p>
        </w:tc>
        <w:tc>
          <w:tcPr>
            <w:tcW w:type="dxa" w:w="850"/>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LAAG</w:t>
            </w:r>
          </w:p>
        </w:tc>
        <w:tc>
          <w:tcPr>
            <w:tcW w:type="dxa" w:w="3118"/>
            <w:shd w:fill="F8F9FA"/>
            <w:tcBorders>
              <w:top w:val="single" w:sz="4" w:space="0" w:color="E5E7EB"/>
              <w:bottom w:val="single" w:sz="4" w:space="0" w:color="E5E7EB"/>
              <w:left w:val="single" w:sz="4" w:space="0" w:color="E5E7EB"/>
              <w:right w:val="single" w:sz="4" w:space="0" w:color="E5E7EB"/>
            </w:tcBorders>
            <w:vAlign w:val="center"/>
          </w:tcPr>
          <w:p>
            <w:r>
              <w:rPr>
                <w:sz w:val="20"/>
              </w:rPr>
            </w:r>
            <w:r>
              <w:rPr>
                <w:rFonts w:ascii="Calibri" w:hAnsi="Calibri"/>
                <w:sz w:val="20"/>
              </w:rPr>
              <w:t>Amerikaans kenniscentrum. Globale procesveiligheid standaarden.</w:t>
            </w:r>
          </w:p>
        </w:tc>
      </w:tr>
    </w:tbl>
    <w:p/>
    <w:p/>
    <w:p>
      <w:pPr>
        <w:jc w:val="center"/>
      </w:pPr>
      <w:r>
        <w:rPr>
          <w:rFonts w:ascii="Calibri" w:hAnsi="Calibri"/>
          <w:b/>
          <w:color w:val="003366"/>
          <w:sz w:val="22"/>
        </w:rPr>
        <w:t>— Einde Rapport —</w:t>
      </w:r>
    </w:p>
    <w:p/>
    <w:p>
      <w:pPr>
        <w:jc w:val="center"/>
      </w:pPr>
      <w:r>
        <w:rPr>
          <w:rFonts w:ascii="Calibri" w:hAnsi="Calibri"/>
          <w:i/>
          <w:color w:val="999999"/>
          <w:sz w:val="16"/>
        </w:rPr>
        <w:t>Dit rapport is opgesteld door JvG Consultancy en is vertrouwelijk. Verspreiding buiten de organisatie is niet toegestaan zonder schriftelijke toestemming.</w:t>
      </w:r>
    </w:p>
    <w:sectPr w:rsidR="00FC693F" w:rsidRPr="0006063C" w:rsidSect="00034616">
      <w:headerReference w:type="default" r:id="rId10"/>
      <w:footerReference w:type="default" r:id="rId11"/>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3024"/>
      <w:gridCol w:w="3024"/>
      <w:gridCol w:w="3024"/>
    </w:tblGrid>
    <w:tr>
      <w:tc>
        <w:tcPr>
          <w:tcW w:type="dxa" w:w="4535"/>
          <w:tcBorders>
            <w:top w:val="none" w:sz="0" w:space="0" w:color="FFFFFF"/>
            <w:bottom w:val="none" w:sz="0" w:space="0" w:color="FFFFFF"/>
            <w:left w:val="none" w:sz="0" w:space="0" w:color="FFFFFF"/>
            <w:right w:val="none" w:sz="0" w:space="0" w:color="FFFFFF"/>
          </w:tcBorders>
        </w:tcPr>
        <w:p>
          <w:r/>
          <w:r>
            <w:rPr>
              <w:rFonts w:ascii="Calibri" w:hAnsi="Calibri"/>
              <w:color w:val="999999"/>
              <w:sz w:val="16"/>
            </w:rPr>
            <w:t>JvG Consultancy | Safety • Governance • Advisory | 1 april 2026</w:t>
          </w:r>
        </w:p>
      </w:tc>
      <w:tc>
        <w:tcPr>
          <w:tcW w:type="dxa" w:w="1134"/>
          <w:tcBorders>
            <w:top w:val="none" w:sz="0" w:space="0" w:color="FFFFFF"/>
            <w:bottom w:val="none" w:sz="0" w:space="0" w:color="FFFFFF"/>
            <w:left w:val="none" w:sz="0" w:space="0" w:color="FFFFFF"/>
            <w:right w:val="none" w:sz="0" w:space="0" w:color="FFFFFF"/>
          </w:tcBorders>
        </w:tcPr>
        <w:p>
          <w:pPr>
            <w:jc w:val="center"/>
          </w:pPr>
          <w:r/>
          <w:r>
            <w:fldChar w:fldCharType="begin"/>
          </w:r>
          <w:r>
            <w:rPr>
              <w:rFonts w:ascii="Calibri" w:hAnsi="Calibri"/>
              <w:color w:val="999999"/>
              <w:sz w:val="16"/>
            </w:rPr>
            <w:instrText xml:space="preserve"> PAGE </w:instrText>
          </w:r>
          <w:r>
            <w:fldChar w:fldCharType="end"/>
          </w:r>
        </w:p>
      </w:tc>
      <w:tc>
        <w:tcPr>
          <w:tcW w:type="dxa" w:w="3402"/>
          <w:tcBorders>
            <w:top w:val="none" w:sz="0" w:space="0" w:color="FFFFFF"/>
            <w:bottom w:val="none" w:sz="0" w:space="0" w:color="FFFFFF"/>
            <w:left w:val="none" w:sz="0" w:space="0" w:color="FFFFFF"/>
            <w:right w:val="none" w:sz="0" w:space="0" w:color="FFFFFF"/>
          </w:tcBorders>
        </w:tcPr>
        <w:p>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4535"/>
      <w:gridCol w:w="4535"/>
    </w:tblGrid>
    <w:tr>
      <w:tc>
        <w:tcPr>
          <w:tcW w:type="dxa" w:w="7370"/>
          <w:tcBorders>
            <w:top w:val="none" w:sz="0" w:space="0" w:color="FFFFFF"/>
            <w:bottom w:val="single" w:sz="4" w:space="0" w:color="E5E7EB"/>
            <w:left w:val="none" w:sz="0" w:space="0" w:color="FFFFFF"/>
            <w:right w:val="none" w:sz="0" w:space="0" w:color="FFFFFF"/>
          </w:tcBorders>
        </w:tcPr>
        <w:p>
          <w:pPr>
            <w:jc w:val="left"/>
          </w:pPr>
          <w:r/>
          <w:r>
            <w:rPr>
              <w:rFonts w:ascii="Calibri" w:hAnsi="Calibri"/>
              <w:color w:val="666666"/>
              <w:sz w:val="16"/>
            </w:rPr>
            <w:t>HSEQ Intelligence Monitor | v0.1-DRAFT</w:t>
          </w:r>
        </w:p>
      </w:tc>
      <w:tc>
        <w:tcPr>
          <w:tcW w:type="dxa" w:w="1701"/>
          <w:tcBorders>
            <w:top w:val="none" w:sz="0" w:space="0" w:color="FFFFFF"/>
            <w:bottom w:val="single" w:sz="4" w:space="0" w:color="E5E7EB"/>
            <w:left w:val="none" w:sz="0" w:space="0" w:color="FFFFFF"/>
            <w:right w:val="none" w:sz="0" w:space="0" w:color="FFFFFF"/>
          </w:tcBorders>
        </w:tcPr>
        <w:p>
          <w:pPr>
            <w:jc w:val="right"/>
          </w:pPr>
          <w:r/>
          <w:r>
            <w:drawing>
              <wp:inline xmlns:a="http://schemas.openxmlformats.org/drawingml/2006/main" xmlns:pic="http://schemas.openxmlformats.org/drawingml/2006/picture">
                <wp:extent cx="719748" cy="648384"/>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19748" cy="648384"/>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0" w:lineRule="exact"/>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