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color w:val="003366"/>
        </w:rPr>
        <w:t>Cross-Reference Analyse - PGS-15 vs HSEQ System Audit</w:t>
      </w:r>
    </w:p>
    <w:p>
      <w:pPr>
        <w:jc w:val="center"/>
      </w:pPr>
      <w:r>
        <w:rPr>
          <w:color w:val="666666"/>
          <w:sz w:val="18"/>
        </w:rPr>
        <w:t>Aanmaakdatum: 20-04-2026 16:47</w:t>
        <w:br/>
        <w:t>Aantal bronnen: 2</w:t>
        <w:br/>
        <w:t>Taal: NL</w:t>
      </w:r>
    </w:p>
    <w:p>
      <w:r>
        <w:br w:type="page"/>
      </w:r>
    </w:p>
    <w:p>
      <w:pPr>
        <w:pStyle w:val="Heading1"/>
      </w:pPr>
      <w:r>
        <w:t>Inhoudsopgave</w:t>
      </w:r>
    </w:p>
    <w:p>
      <w:pPr>
        <w:pStyle w:val="IntenseQuote"/>
      </w:pPr>
      <w:r>
        <w:t>[Automatisch gegenereerde inhoudsopgave — bijwerken in Word]</w:t>
      </w:r>
    </w:p>
    <w:p>
      <w:r>
        <w:br w:type="page"/>
      </w:r>
    </w:p>
    <w:p>
      <w:pPr>
        <w:pStyle w:val="Heading1"/>
      </w:pPr>
      <w:r>
        <w:t>Bronvermeldingen</w:t>
      </w:r>
    </w:p>
    <w:p>
      <w:pPr>
        <w:pStyle w:val="ListNumber"/>
      </w:pPr>
      <w:r>
        <w:t>1. 01_pgs15_basishandleiding_content_v2.txt</w:t>
      </w:r>
    </w:p>
    <w:p>
      <w:pPr>
        <w:pStyle w:val="ListNumber"/>
      </w:pPr>
      <w:r>
        <w:t>2. HSEQ_System_Audit_V4.6.md</w:t>
      </w:r>
    </w:p>
    <w:p/>
    <w:p>
      <w:pPr>
        <w:pStyle w:val="Heading2"/>
      </w:pPr>
      <w:r>
        <w:t>1. Leeswijzer</w:t>
      </w:r>
    </w:p>
    <w:p>
      <w:pPr>
        <w:spacing w:after="120"/>
      </w:pPr>
      <w:r>
        <w:t>Deze analyse betreft een cross-referentie tussen twee fundamenteel verschillende, maar operationeel gerelateerde documenten binnen het HSEQ-domein.</w:t>
      </w:r>
    </w:p>
    <w:p>
      <w:pPr>
        <w:spacing w:after="120"/>
      </w:pPr>
      <w:r>
        <w:t>Document 01 is de **PGS-15 Basishandleiding (Versie 2.0, april 2026)**, gebaseerd op de PGS 15:2025. Dit document definieert de normatieve kaders, risicobenadering (BowTie), veiligheidsniveaus (Basis, A, B, C) en technische maatregelen voor de opslag van verpakte gevaarlijke stoffen, in het licht van de Omgevingswet.</w:t>
      </w:r>
    </w:p>
    <w:p>
      <w:pPr>
        <w:spacing w:after="120"/>
      </w:pPr>
      <w:r>
        <w:t>Document 02 is een **IT/System Audit (V4.6)** van de 'HSEQ Intelligence Monitor', een geautomatiseerde scraper- en analyse-pipeline. Dit systeem is ontworpen om de HSEQ-professional te ondersteunen door het automatisch verzamelen, scoren en clusteren van wetgeving, nieuws en incidenten uit 28 bronnen (waaronder RIVM en Arboportaal).</w:t>
      </w:r>
    </w:p>
    <w:p>
      <w:pPr>
        <w:spacing w:after="120"/>
      </w:pPr>
      <w:r>
        <w:t>**Doel van de analyse:** Het toetsen of de geïmplementeerde IT-architectuur (de monitor) voldoende robuust, betrouwbaar en actueel is om de zware en complexe informatiebehoeften van de nieuwe PGS-15:2025 norm op te vangen.</w:t>
      </w:r>
    </w:p>
    <w:p>
      <w:pPr>
        <w:pStyle w:val="Heading2"/>
      </w:pPr>
      <w:r>
        <w:t>2. Executive Summary</w:t>
      </w:r>
    </w:p>
    <w:p>
      <w:pPr>
        <w:spacing w:after="120"/>
      </w:pPr>
      <w:r>
        <w:t>De implementatie van PGS-15:2025 vereist nauwkeurige actualiteit van data en diepgaande risico-analyse (scenario-methodiek). De HSEQ Intelligence Monitor biedt een solide basis voor het agenderen van deze verplichtingen, maar de recente IT-audit bewijst dat de gegevensverwerking momenteel onvoldoende betrouwbaar is voor strikte BRZO/Seveso-compliance.</w:t>
      </w:r>
    </w:p>
    <w:p>
      <w:pPr>
        <w:spacing w:after="120"/>
      </w:pPr>
      <w:r>
        <w:t>Kritieke hiaten in de data-acquisitie—specifiek het falen van de RIVM-scraper (0% content) en het ontbreken van geautomatiseerde verversing—lopen parallel aan de juridische inwerkingtreding van PGS-15. De synergie ligt in het potentieel van het systeem om de nieuwe informatieverplichtingen (M116/M117) voor de hulpdiensten via de watchlist-functie te ondersteunen. Echter, de huidige 'rule-based' (keyword) analyse is inherent ongeschikt om de complexe cascade-effecten en BowTie-scenario's van PGS-15:2025 accuraat te interpreteren. Directe actie vereist: het structureel fixen van overheidsbronnen en het inplannen van een dagelijkse geautomatiseerde cron-job (COVOE-verplichting actualiteit).</w:t>
      </w:r>
    </w:p>
    <w:p>
      <w:pPr>
        <w:pStyle w:val="Heading2"/>
      </w:pPr>
      <w:r>
        <w:t>3. HSEQ Highlights Matrix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</w:tcPr>
          <w:p>
            <w:r>
              <w:rPr>
                <w:b/>
                <w:color w:val="FFFFFF"/>
                <w:sz w:val="20"/>
              </w:rPr>
              <w:t>Thema</w:t>
            </w:r>
          </w:p>
        </w:tc>
        <w:tc>
          <w:tcPr>
            <w:tcW w:type="dxa" w:w="1881"/>
          </w:tcPr>
          <w:p>
            <w:r>
              <w:rPr>
                <w:b/>
                <w:color w:val="FFFFFF"/>
                <w:sz w:val="20"/>
              </w:rPr>
              <w:t>Risico</w:t>
            </w:r>
          </w:p>
        </w:tc>
        <w:tc>
          <w:tcPr>
            <w:tcW w:type="dxa" w:w="1881"/>
          </w:tcPr>
          <w:p>
            <w:r>
              <w:rPr>
                <w:b/>
                <w:color w:val="FFFFFF"/>
                <w:sz w:val="20"/>
              </w:rPr>
              <w:t>Compliance-eis</w:t>
            </w:r>
          </w:p>
        </w:tc>
        <w:tc>
          <w:tcPr>
            <w:tcW w:type="dxa" w:w="1881"/>
          </w:tcPr>
          <w:p>
            <w:r>
              <w:rPr>
                <w:b/>
                <w:color w:val="FFFFFF"/>
                <w:sz w:val="20"/>
              </w:rPr>
              <w:t>Actiepunt</w:t>
            </w:r>
          </w:p>
        </w:tc>
        <w:tc>
          <w:tcPr>
            <w:tcW w:type="dxa" w:w="1881"/>
          </w:tcPr>
          <w:p>
            <w:r>
              <w:rPr>
                <w:b/>
                <w:color w:val="FFFFFF"/>
                <w:sz w:val="20"/>
              </w:rPr>
              <w:t>Prioriteit</w:t>
            </w:r>
          </w:p>
        </w:tc>
      </w:tr>
      <w:tr>
        <w:tc>
          <w:tcPr>
            <w:tcW w:type="dxa" w:w="1881"/>
          </w:tcPr>
          <w:p>
            <w:r>
              <w:t>**Data-acquisitie (RIVM)**</w:t>
            </w:r>
          </w:p>
        </w:tc>
        <w:tc>
          <w:tcPr>
            <w:tcW w:type="dxa" w:w="1881"/>
          </w:tcPr>
          <w:p>
            <w:r>
              <w:t>Missen van cruciale PGS-15 beleidswijzigingen en stoffenclassificaties.</w:t>
            </w:r>
          </w:p>
        </w:tc>
        <w:tc>
          <w:tcPr>
            <w:tcW w:type="dxa" w:w="1881"/>
          </w:tcPr>
          <w:p>
            <w:r>
              <w:t>Zorgplicht (MW1) en actualiteit Arbeits- en Omgevingswetgeving.</w:t>
            </w:r>
          </w:p>
        </w:tc>
        <w:tc>
          <w:tcPr>
            <w:tcW w:type="dxa" w:w="1881"/>
          </w:tcPr>
          <w:p>
            <w:r>
              <w:t>Fix RIVM link_pattern scraper; herscrape en valideer datakwaliteit.</w:t>
            </w:r>
          </w:p>
        </w:tc>
        <w:tc>
          <w:tcPr>
            <w:tcW w:type="dxa" w:w="1881"/>
          </w:tcPr>
          <w:p>
            <w:r>
              <w:t>HOOG</w:t>
            </w:r>
          </w:p>
        </w:tc>
      </w:tr>
      <w:tr>
        <w:tc>
          <w:tcPr>
            <w:tcW w:type="dxa" w:w="1881"/>
          </w:tcPr>
          <w:p>
            <w:r>
              <w:t>**Systeemautomatisering**</w:t>
            </w:r>
          </w:p>
        </w:tc>
        <w:tc>
          <w:tcPr>
            <w:tcW w:type="dxa" w:w="1881"/>
          </w:tcPr>
          <w:p>
            <w:r>
              <w:t>Verouderde veiligheidsinformatie (MSDS/VEB) in het systeem bij een inspectie.</w:t>
            </w:r>
          </w:p>
        </w:tc>
        <w:tc>
          <w:tcPr>
            <w:tcW w:type="dxa" w:w="1881"/>
          </w:tcPr>
          <w:p>
            <w:r>
              <w:t>PGS 15 M116/M117: Actuele stof- en hoeveelheidsdata beschikbaar voor hulpdiensten.</w:t>
            </w:r>
          </w:p>
        </w:tc>
        <w:tc>
          <w:tcPr>
            <w:tcW w:type="dxa" w:w="1881"/>
          </w:tcPr>
          <w:p>
            <w:r>
              <w:t>Implementeer cron-job (06:00) voor intelligence refresh.</w:t>
            </w:r>
          </w:p>
        </w:tc>
        <w:tc>
          <w:tcPr>
            <w:tcW w:type="dxa" w:w="1881"/>
          </w:tcPr>
          <w:p>
            <w:r>
              <w:t>HOOG</w:t>
            </w:r>
          </w:p>
        </w:tc>
      </w:tr>
      <w:tr>
        <w:tc>
          <w:tcPr>
            <w:tcW w:type="dxa" w:w="1881"/>
          </w:tcPr>
          <w:p>
            <w:r>
              <w:t>**Analytische diepgang**</w:t>
            </w:r>
          </w:p>
        </w:tc>
        <w:tc>
          <w:tcPr>
            <w:tcW w:type="dxa" w:w="1881"/>
          </w:tcPr>
          <w:p>
            <w:r>
              <w:t>Onjuiste classificatie van veiligheidsniveaus door het systeem.</w:t>
            </w:r>
          </w:p>
        </w:tc>
        <w:tc>
          <w:tcPr>
            <w:tcW w:type="dxa" w:w="1881"/>
          </w:tcPr>
          <w:p>
            <w:r>
              <w:t>PGS 15: Correcte filtering op basis van ADR-klasse, VL-punt en hoeveelheid (Tabel 6).</w:t>
            </w:r>
          </w:p>
        </w:tc>
        <w:tc>
          <w:tcPr>
            <w:tcW w:type="dxa" w:w="1881"/>
          </w:tcPr>
          <w:p>
            <w:r>
              <w:t>Ontwikkeling domein-specifieke rules voor ADR-klassen i.p.m. standaard keywords.</w:t>
            </w:r>
          </w:p>
        </w:tc>
        <w:tc>
          <w:tcPr>
            <w:tcW w:type="dxa" w:w="1881"/>
          </w:tcPr>
          <w:p>
            <w:r>
              <w:t>MIDDEN</w:t>
            </w:r>
          </w:p>
        </w:tc>
      </w:tr>
      <w:tr>
        <w:tc>
          <w:tcPr>
            <w:tcW w:type="dxa" w:w="1881"/>
          </w:tcPr>
          <w:p>
            <w:r>
              <w:t>**API Beveiliging**</w:t>
            </w:r>
          </w:p>
        </w:tc>
        <w:tc>
          <w:tcPr>
            <w:tcW w:type="dxa" w:w="1881"/>
          </w:tcPr>
          <w:p>
            <w:r>
              <w:t>Ongeautoriseerde mutatie van bedrijfsdata of stoffenlijsten.</w:t>
            </w:r>
          </w:p>
        </w:tc>
        <w:tc>
          <w:tcPr>
            <w:tcW w:type="dxa" w:w="1881"/>
          </w:tcPr>
          <w:p>
            <w:r>
              <w:t>AVG / informatiebeveiliging bij verwerking gevaarlijke stoffen (Seveso-richtlijn).</w:t>
            </w:r>
          </w:p>
        </w:tc>
        <w:tc>
          <w:tcPr>
            <w:tcW w:type="dxa" w:w="1881"/>
          </w:tcPr>
          <w:p>
            <w:r>
              <w:t>Definitieve koppeling van scraper/intel API's aan auth-module i.p.v. whitelist.</w:t>
            </w:r>
          </w:p>
        </w:tc>
        <w:tc>
          <w:tcPr>
            <w:tcW w:type="dxa" w:w="1881"/>
          </w:tcPr>
          <w:p>
            <w:r>
              <w:t>LAAG</w:t>
            </w:r>
          </w:p>
        </w:tc>
      </w:tr>
    </w:tbl>
    <w:p/>
    <w:p>
      <w:pPr>
        <w:pStyle w:val="Heading2"/>
      </w:pPr>
      <w:r>
        <w:t>4. Synergieën &amp; Hiaten</w:t>
      </w:r>
    </w:p>
    <w:p>
      <w:pPr>
        <w:spacing w:after="120"/>
      </w:pPr>
      <w:r>
        <w:t>#</w:t>
      </w:r>
    </w:p>
    <w:p>
      <w:pPr>
        <w:pStyle w:val="Heading2"/>
      </w:pPr>
      <w:r>
        <w:t>Synergieën</w:t>
      </w:r>
    </w:p>
    <w:p>
      <w:pPr>
        <w:spacing w:after="120"/>
      </w:pPr>
      <w:r>
        <w:t>* **Ondersteuning MJPG en Compliance tracking:** De 'Watchlist' functionaliteit van de HSEQ Intelligence Monitor (waarbij topics met ≥2 items worden gemarkeerd) is een uitstekend hulpmiddel voor de HSE-manager om de implementatietermijnen van PGS 15:2025 (Bijlage J) en nieuwe inzichten proactief te monitoren.</w:t>
        <w:br/>
        <w:t>* **Centrale kennisbasissen:** PGS-15 vereist integratie van Arbowetgeving, Bouwbesluit (WBDBO) en omgevingswetgeving. De geschrapte data uit de 28 bronnen in de IT-pipeline sluit naadloos aan op de behoefte aan een multidisciplinaire kennisbank zoals vereist onder het 'Basisveiligheidsniveau' (MW1: beschermende maatregelen volgens wet- en regelgeving).</w:t>
        <w:br/>
        <w:t>* **Stoffen- en Incidentenmonitoring:** De intelligence pipeline kan, mits voorzien van de juiste ADR-gebaseerde keywords, waarschuwen voor incidenten (scenario's S1-S15) bij andere BRZO-bedrijven, wat input levert voor het externe Noodplan (M113) en preventie.</w:t>
      </w:r>
    </w:p>
    <w:p>
      <w:pPr>
        <w:spacing w:after="120"/>
      </w:pPr>
      <w:r>
        <w:t>#</w:t>
      </w:r>
    </w:p>
    <w:p>
      <w:pPr>
        <w:pStyle w:val="Heading2"/>
      </w:pPr>
      <w:r>
        <w:t>Hiaten &amp; Tegenstrijdigheden</w:t>
      </w:r>
    </w:p>
    <w:p>
      <w:pPr>
        <w:spacing w:after="120"/>
      </w:pPr>
      <w:r>
        <w:t>* **Structureel falen overheidsbronnen (Kritiek gat):** De audit toont aan dat de scrapers van RIVM en Arbeidshygiëne structureel falen (respectievelijk 0% en foutieve URL's). Tegelijkertijd stelt PGS-15 expliciet dat de Nederlandse Arbeidsinspectie en RIVM toezichtkaders en BBT-documenten leveren. Het systeem is op dit moment blind voor de primaire bronnen van de overheid.</w:t>
        <w:br/>
        <w:t>* **Semantische beperkingen vs. BowTie-methodiek:** De HSEQ monitor gebruikt een 'rule-based keyword scoring'. PGS-15:2025 introduceert echter een complexe risicobenadering met oorzaak- en gevolgscenario's (BowTie). Simpele keyword-matching (bijv. "brandveiligheid") kan niet de contextuele relatie leggen tussen een oorzaak (S1: lekkage door externe oorzaak) en de juiste veiligheidsmaatregelen (M1-M164). Het systeem kan de nieuwe cascadedrempels (Tabel 6) niet interpreteren. LLM-integratie (Aanbeveling #7 uit de audit) is hier geen luxe, maar een harde eis voor betekenisvolle analyse.</w:t>
        <w:br/>
        <w:t>* **Actualiteit contra statische data:** PGS-15:2025 kent strikte eisen voor de informatievoorziening aan hulpdiensten (M116/M117: data direct, resp. binnen 30 min beschikbaar). De IT-audit toont echter aan dat de intelligence pipeline handmatig getriggerd moet worden (`POST /api/intelligence/refresh`) en de cron-job nog niet is ingesteld. Hierdoor bestaat het risico dat de HSEQ-medewerker met verouderde (statische JSON) data werkt.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Versie 1.0 | 20-04-2026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003366"/>
        <w:sz w:val="16"/>
      </w:rPr>
      <w:t>JVG Consultancy — HSEQ Document Analyse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