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color w:val="003366"/>
        </w:rPr>
        <w:t>Cross-Reference Analyse — PGS-15 vs HSEQ System Audit</w:t>
      </w:r>
    </w:p>
    <w:p>
      <w:pPr>
        <w:jc w:val="center"/>
      </w:pPr>
      <w:r>
        <w:rPr>
          <w:color w:val="666666"/>
          <w:sz w:val="18"/>
        </w:rPr>
        <w:t>Aanmaakdatum: 20-04-2026 16:40</w:t>
        <w:br/>
        <w:t>Aantal bronnen: 2</w:t>
        <w:br/>
        <w:t>Taal: NL</w:t>
      </w:r>
    </w:p>
    <w:p>
      <w:r>
        <w:br w:type="page"/>
      </w:r>
    </w:p>
    <w:p>
      <w:pPr>
        <w:pStyle w:val="Heading1"/>
      </w:pPr>
      <w:r>
        <w:t>Inhoudsopgave</w:t>
      </w:r>
    </w:p>
    <w:p>
      <w:pPr>
        <w:pStyle w:val="IntenseQuote"/>
      </w:pPr>
      <w:r>
        <w:t>[Automatisch gegenereerde inhoudsopgave — bijwerken in Word]</w:t>
      </w:r>
    </w:p>
    <w:p>
      <w:r>
        <w:br w:type="page"/>
      </w:r>
    </w:p>
    <w:p>
      <w:pPr>
        <w:pStyle w:val="Heading1"/>
      </w:pPr>
      <w:r>
        <w:t>Bronvermeldingen</w:t>
      </w:r>
    </w:p>
    <w:p>
      <w:pPr>
        <w:pStyle w:val="ListNumber"/>
      </w:pPr>
      <w:r>
        <w:t>1. 01_pgs15_basishandleiding_content_v2.txt</w:t>
      </w:r>
    </w:p>
    <w:p>
      <w:pPr>
        <w:pStyle w:val="ListNumber"/>
      </w:pPr>
      <w:r>
        <w:t>2. HSEQ_System_Audit_V4.6.md</w:t>
      </w:r>
    </w:p>
    <w:p/>
    <w:p>
      <w:pPr>
        <w:pStyle w:val="Heading2"/>
      </w:pPr>
      <w:r>
        <w:t>1. Leeswijzer</w:t>
      </w:r>
    </w:p>
    <w:p>
      <w:pPr>
        <w:spacing w:after="120"/>
      </w:pPr>
      <w:r>
        <w:t>Deze documentenset bestaat uit twee documenten:</w:t>
      </w:r>
    </w:p>
    <w:p>
      <w:pPr>
        <w:spacing w:after="120"/>
      </w:pPr>
      <w:r>
        <w:t>*   **PGS-15 Basishandleiding — Opslag van Verpakte Gevaarlijke Stoffen (v2.0, april 2026)**: Een gedetailleerde richtlijn voor de opslag van verpakte gevaarlijke stoffen, gebaseerd op de Publicatiereeks Gevaarlijke Stoffen (PGS). Het document beschrijft de technische en organisatorische maatregelen die nodig zijn om de veiligheid te waarborgen, met inachtneming van de Omgevingswet en het ADR.</w:t>
        <w:br/>
        <w:t>*   **HSEQ System Audit V4.6 (2026-04-14)**: Een auditrapport van het HSEQ Intelligence Monitor-systeem. Dit rapport evalueert de architectuur, functionaliteit en prestaties van het systeem, met specifieke aandacht voor de scraper engine en de intelligence pipeline.</w:t>
      </w:r>
    </w:p>
    <w:p>
      <w:pPr>
        <w:spacing w:after="120"/>
      </w:pPr>
      <w:r>
        <w:t>Het doel van deze analyse is om een cross-reference analyse uit te voeren, waarbij de PGS-15 richtlijnen worden vergeleken met de bevindingen van de HSEQ System Audit. Dit omvat het identificeren van synergieën, hiaten en tegenstrijdigheden tussen de twee documenten, met als doel de effectiviteit van het HSEQ-systeem te beoordelen in relatie tot de PGS-15 eisen.</w:t>
      </w:r>
    </w:p>
    <w:p>
      <w:pPr>
        <w:pStyle w:val="Heading2"/>
      </w:pPr>
      <w:r>
        <w:t>2. Executive Summary</w:t>
      </w:r>
    </w:p>
    <w:p>
      <w:pPr>
        <w:spacing w:after="120"/>
      </w:pPr>
      <w:r>
        <w:t>De analyse van de PGS-15 richtlijnen en de HSEQ System Audit onthult een aantal cruciale aspecten. De PGS-15 richtlijnen beschrijven gedetailleerde eisen voor de veilige opslag van gevaarlijke stoffen, inclusief de classificatie, veiligheidsniveaus, en maatregelen voor brandpreventie en rampenbestrijding. De HSEQ System Audit evalueert de technische infrastructuur en functionaliteit van het HSEQ Intelligence Monitor-systeem, met name de scraper engine en de intelligence pipeline.</w:t>
      </w:r>
    </w:p>
    <w:p>
      <w:pPr>
        <w:spacing w:after="120"/>
      </w:pPr>
      <w:r>
        <w:t>De audit toont aan dat het systeem is verbeterd, met fixes voor de scraper engine om de betrouwbaarheid en efficiëntie te verhogen. De introductie van een rule-based intelligence pipeline is een positieve ontwikkeling, die de automatische analyse van scraped data mogelijk maakt. Echter, er zijn nog hiaten, zoals de afwezigheid van LLM-analyse en de noodzaak voor een automatische scheduler voor de intelligence refresh.</w:t>
      </w:r>
    </w:p>
    <w:p>
      <w:pPr>
        <w:spacing w:after="120"/>
      </w:pPr>
      <w:r>
        <w:t>De synergieën tussen de PGS-15 richtlijnen en het HSEQ-systeem liggen in de mogelijkheid om de informatie uit de PGS-15 te gebruiken om de intelligentie pipeline te voeden. De Hiaten betreffen het ontbreken van een directe koppeling tussen de PGS-15 eisen en de functionaliteit van het HSEQ-systeem, waardoor de compliance-monitoring en risicobeoordeling niet optimaal zijn.</w:t>
      </w:r>
    </w:p>
    <w:p>
      <w:pPr>
        <w:pStyle w:val="Heading2"/>
      </w:pPr>
      <w:r>
        <w:t>3. HSEQ Highlights Matrix</w:t>
      </w:r>
    </w:p>
    <w:tbl>
      <w:tblPr>
        <w:tblStyle w:val="LightGrid-Accent1"/>
        <w:tblW w:type="auto" w:w="0"/>
        <w:tblLook w:firstColumn="1" w:firstRow="1" w:lastColumn="0" w:lastRow="0" w:noHBand="0" w:noVBand="1" w:val="04A0"/>
      </w:tblPr>
      <w:tblGrid>
        <w:gridCol w:w="1881"/>
        <w:gridCol w:w="1881"/>
        <w:gridCol w:w="1881"/>
        <w:gridCol w:w="1881"/>
        <w:gridCol w:w="1881"/>
      </w:tblGrid>
      <w:tr>
        <w:tc>
          <w:tcPr>
            <w:tcW w:type="dxa" w:w="1881"/>
          </w:tcPr>
          <w:p>
            <w:r>
              <w:rPr>
                <w:b/>
                <w:color w:val="FFFFFF"/>
                <w:sz w:val="20"/>
              </w:rPr>
              <w:t>Thema</w:t>
            </w:r>
          </w:p>
        </w:tc>
        <w:tc>
          <w:tcPr>
            <w:tcW w:type="dxa" w:w="1881"/>
          </w:tcPr>
          <w:p>
            <w:r>
              <w:rPr>
                <w:b/>
                <w:color w:val="FFFFFF"/>
                <w:sz w:val="20"/>
              </w:rPr>
              <w:t>Risico</w:t>
            </w:r>
          </w:p>
        </w:tc>
        <w:tc>
          <w:tcPr>
            <w:tcW w:type="dxa" w:w="1881"/>
          </w:tcPr>
          <w:p>
            <w:r>
              <w:rPr>
                <w:b/>
                <w:color w:val="FFFFFF"/>
                <w:sz w:val="20"/>
              </w:rPr>
              <w:t>Compliance-eis</w:t>
            </w:r>
          </w:p>
        </w:tc>
        <w:tc>
          <w:tcPr>
            <w:tcW w:type="dxa" w:w="1881"/>
          </w:tcPr>
          <w:p>
            <w:r>
              <w:rPr>
                <w:b/>
                <w:color w:val="FFFFFF"/>
                <w:sz w:val="20"/>
              </w:rPr>
              <w:t>Actiepunt</w:t>
            </w:r>
          </w:p>
        </w:tc>
        <w:tc>
          <w:tcPr>
            <w:tcW w:type="dxa" w:w="1881"/>
          </w:tcPr>
          <w:p>
            <w:r>
              <w:rPr>
                <w:b/>
                <w:color w:val="FFFFFF"/>
                <w:sz w:val="20"/>
              </w:rPr>
              <w:t>Prioriteit</w:t>
            </w:r>
          </w:p>
        </w:tc>
      </w:tr>
      <w:tr>
        <w:tc>
          <w:tcPr>
            <w:tcW w:type="dxa" w:w="1881"/>
          </w:tcPr>
          <w:p>
            <w:r>
              <w:t>**Scraper Engine**</w:t>
            </w:r>
          </w:p>
        </w:tc>
        <w:tc>
          <w:tcPr>
            <w:tcW w:type="dxa" w:w="1881"/>
          </w:tcPr>
          <w:p>
            <w:r>
              <w:t>Data-integriteit, verouderde informatie</w:t>
            </w:r>
          </w:p>
        </w:tc>
        <w:tc>
          <w:tcPr>
            <w:tcW w:type="dxa" w:w="1881"/>
          </w:tcPr>
          <w:p>
            <w:r>
              <w:t>Accurate en actuele data-invoer (PGS-15)</w:t>
            </w:r>
          </w:p>
        </w:tc>
        <w:tc>
          <w:tcPr>
            <w:tcW w:type="dxa" w:w="1881"/>
          </w:tcPr>
          <w:p>
            <w:r>
              <w:t>Her-scrape RIVM &amp; Arbeidshygiëne na URL-fix</w:t>
            </w:r>
          </w:p>
        </w:tc>
        <w:tc>
          <w:tcPr>
            <w:tcW w:type="dxa" w:w="1881"/>
          </w:tcPr>
          <w:p>
            <w:r>
              <w:t>HOOG</w:t>
            </w:r>
          </w:p>
        </w:tc>
      </w:tr>
      <w:tr>
        <w:tc>
          <w:tcPr>
            <w:tcW w:type="dxa" w:w="1881"/>
          </w:tcPr>
          <w:p>
            <w:r>
              <w:t>**Scraper Engine**</w:t>
            </w:r>
          </w:p>
        </w:tc>
        <w:tc>
          <w:tcPr>
            <w:tcW w:type="dxa" w:w="1881"/>
          </w:tcPr>
          <w:p>
            <w:r>
              <w:t>Overbelasting bronnen, data-beschikbaarheid</w:t>
            </w:r>
          </w:p>
        </w:tc>
        <w:tc>
          <w:tcPr>
            <w:tcW w:type="dxa" w:w="1881"/>
          </w:tcPr>
          <w:p>
            <w:r>
              <w:t>Beperken HTTP requests, rate limiting</w:t>
            </w:r>
          </w:p>
        </w:tc>
        <w:tc>
          <w:tcPr>
            <w:tcW w:type="dxa" w:w="1881"/>
          </w:tcPr>
          <w:p>
            <w:r>
              <w:t>Implementeer rate limiting en retry-logica</w:t>
            </w:r>
          </w:p>
        </w:tc>
        <w:tc>
          <w:tcPr>
            <w:tcW w:type="dxa" w:w="1881"/>
          </w:tcPr>
          <w:p>
            <w:r>
              <w:t>HOOG</w:t>
            </w:r>
          </w:p>
        </w:tc>
      </w:tr>
      <w:tr>
        <w:tc>
          <w:tcPr>
            <w:tcW w:type="dxa" w:w="1881"/>
          </w:tcPr>
          <w:p>
            <w:r>
              <w:t>**Intelligence Pipeline**</w:t>
            </w:r>
          </w:p>
        </w:tc>
        <w:tc>
          <w:tcPr>
            <w:tcW w:type="dxa" w:w="1881"/>
          </w:tcPr>
          <w:p>
            <w:r>
              <w:t>Verouderde informatie, trage reactie op nieuwe risico's</w:t>
            </w:r>
          </w:p>
        </w:tc>
        <w:tc>
          <w:tcPr>
            <w:tcW w:type="dxa" w:w="1881"/>
          </w:tcPr>
          <w:p>
            <w:r>
              <w:t>Actuele risico-analyse, snelle reactie op nieuwe wetgeving/incidenten (PGS-15)</w:t>
            </w:r>
          </w:p>
        </w:tc>
        <w:tc>
          <w:tcPr>
            <w:tcW w:type="dxa" w:w="1881"/>
          </w:tcPr>
          <w:p>
            <w:r>
              <w:t>Implementeer dagelijkse intelligence refresh via cron job</w:t>
            </w:r>
          </w:p>
        </w:tc>
        <w:tc>
          <w:tcPr>
            <w:tcW w:type="dxa" w:w="1881"/>
          </w:tcPr>
          <w:p>
            <w:r>
              <w:t>HOOG</w:t>
            </w:r>
          </w:p>
        </w:tc>
      </w:tr>
      <w:tr>
        <w:tc>
          <w:tcPr>
            <w:tcW w:type="dxa" w:w="1881"/>
          </w:tcPr>
          <w:p>
            <w:r>
              <w:t>**Intelligence Pipeline**</w:t>
            </w:r>
          </w:p>
        </w:tc>
        <w:tc>
          <w:tcPr>
            <w:tcW w:type="dxa" w:w="1881"/>
          </w:tcPr>
          <w:p>
            <w:r>
              <w:t>Beperkte analyse, gemiste kansen</w:t>
            </w:r>
          </w:p>
        </w:tc>
        <w:tc>
          <w:tcPr>
            <w:tcW w:type="dxa" w:w="1881"/>
          </w:tcPr>
          <w:p>
            <w:r>
              <w:t>Diepgaande analyse, identificatie van compliance-hiaten</w:t>
            </w:r>
          </w:p>
        </w:tc>
        <w:tc>
          <w:tcPr>
            <w:tcW w:type="dxa" w:w="1881"/>
          </w:tcPr>
          <w:p>
            <w:r>
              <w:t>Integreer LLM-analyse (indien budget/model beschikbaar)</w:t>
            </w:r>
          </w:p>
        </w:tc>
        <w:tc>
          <w:tcPr>
            <w:tcW w:type="dxa" w:w="1881"/>
          </w:tcPr>
          <w:p>
            <w:r>
              <w:t>LAAG</w:t>
            </w:r>
          </w:p>
        </w:tc>
      </w:tr>
      <w:tr>
        <w:tc>
          <w:tcPr>
            <w:tcW w:type="dxa" w:w="1881"/>
          </w:tcPr>
          <w:p>
            <w:r>
              <w:t>**Data-kwaliteit**</w:t>
            </w:r>
          </w:p>
        </w:tc>
        <w:tc>
          <w:tcPr>
            <w:tcW w:type="dxa" w:w="1881"/>
          </w:tcPr>
          <w:p>
            <w:r>
              <w:t>Onvolledige data, onjuiste interpretatie</w:t>
            </w:r>
          </w:p>
        </w:tc>
        <w:tc>
          <w:tcPr>
            <w:tcW w:type="dxa" w:w="1881"/>
          </w:tcPr>
          <w:p>
            <w:r>
              <w:t>Accurate data-analyse, correcte classificatie van gevaarlijke stoffen (PGS-15)</w:t>
            </w:r>
          </w:p>
        </w:tc>
        <w:tc>
          <w:tcPr>
            <w:tcW w:type="dxa" w:w="1881"/>
          </w:tcPr>
          <w:p>
            <w:r>
              <w:t>Content quality check, verwijder lege items</w:t>
            </w:r>
          </w:p>
        </w:tc>
        <w:tc>
          <w:tcPr>
            <w:tcW w:type="dxa" w:w="1881"/>
          </w:tcPr>
          <w:p>
            <w:r>
              <w:t>MIDDEN</w:t>
            </w:r>
          </w:p>
        </w:tc>
      </w:tr>
      <w:tr>
        <w:tc>
          <w:tcPr>
            <w:tcW w:type="dxa" w:w="1881"/>
          </w:tcPr>
          <w:p>
            <w:r>
              <w:t>**Automatisering**</w:t>
            </w:r>
          </w:p>
        </w:tc>
        <w:tc>
          <w:tcPr>
            <w:tcW w:type="dxa" w:w="1881"/>
          </w:tcPr>
          <w:p>
            <w:r>
              <w:t>Handmatige processen, inefficiëntie</w:t>
            </w:r>
          </w:p>
        </w:tc>
        <w:tc>
          <w:tcPr>
            <w:tcW w:type="dxa" w:w="1881"/>
          </w:tcPr>
          <w:p>
            <w:r>
              <w:t>Geautomatiseerde processen, tijdige updates</w:t>
            </w:r>
          </w:p>
        </w:tc>
        <w:tc>
          <w:tcPr>
            <w:tcW w:type="dxa" w:w="1881"/>
          </w:tcPr>
          <w:p>
            <w:r>
              <w:t>Koppel scraper scheduler aan intelligence refresh</w:t>
            </w:r>
          </w:p>
        </w:tc>
        <w:tc>
          <w:tcPr>
            <w:tcW w:type="dxa" w:w="1881"/>
          </w:tcPr>
          <w:p>
            <w:r>
              <w:t>HOOG</w:t>
            </w:r>
          </w:p>
        </w:tc>
      </w:tr>
      <w:tr>
        <w:tc>
          <w:tcPr>
            <w:tcW w:type="dxa" w:w="1881"/>
          </w:tcPr>
          <w:p>
            <w:r>
              <w:t>**Compliance Monitoring**</w:t>
            </w:r>
          </w:p>
        </w:tc>
        <w:tc>
          <w:tcPr>
            <w:tcW w:type="dxa" w:w="1881"/>
          </w:tcPr>
          <w:p>
            <w:r>
              <w:t>Onvoldoende controle op compliance</w:t>
            </w:r>
          </w:p>
        </w:tc>
        <w:tc>
          <w:tcPr>
            <w:tcW w:type="dxa" w:w="1881"/>
          </w:tcPr>
          <w:p>
            <w:r>
              <w:t>Systematische controle op naleving PGS-15</w:t>
            </w:r>
          </w:p>
        </w:tc>
        <w:tc>
          <w:tcPr>
            <w:tcW w:type="dxa" w:w="1881"/>
          </w:tcPr>
          <w:p>
            <w:r>
              <w:t>Ontwikkel export functionaliteit voor management review</w:t>
            </w:r>
          </w:p>
        </w:tc>
        <w:tc>
          <w:tcPr>
            <w:tcW w:type="dxa" w:w="1881"/>
          </w:tcPr>
          <w:p>
            <w:r>
              <w:t>LAAG</w:t>
            </w:r>
          </w:p>
        </w:tc>
      </w:tr>
    </w:tbl>
    <w:p/>
    <w:p>
      <w:pPr>
        <w:pStyle w:val="Heading2"/>
      </w:pPr>
      <w:r>
        <w:t>4. Synergieën &amp; Hiaten</w:t>
      </w:r>
    </w:p>
    <w:p>
      <w:pPr>
        <w:spacing w:after="120"/>
      </w:pPr>
      <w:r>
        <w:t>**Synergieën:**</w:t>
      </w:r>
    </w:p>
    <w:p>
      <w:pPr>
        <w:spacing w:after="120"/>
      </w:pPr>
      <w:r>
        <w:t>*   **Data-integratie:** De HSEQ Intelligence Monitor kan worden gebruikt om informatie uit de PGS-15 richtlijnen te integreren en te analyseren. De scraper engine kan worden geconfigureerd om relevante documenten en informatie over gevaarlijke stoffen te verzamelen, die vervolgens door de intelligence pipeline kunnen worden geanalyseerd.</w:t>
        <w:br/>
        <w:t>*   **Risicobeoordeling:** De intelligence pipeline kan worden gebruikt om risico's te identificeren die voortvloeien uit de PGS-15 richtlijnen, zoals het niet naleven van de opslageisen of het ontbreken van de juiste veiligheidsmaatregelen.</w:t>
        <w:br/>
        <w:t>*   **Compliance-monitoring:** De HSEQ Intelligence Monitor kan worden gebruikt om de naleving van de PGS-15 richtlijnen te monitoren. Door de analyse van scraped data en de toepassing van regels, kunnen compliance-hiaten worden geïdentificeerd en kan de voortgang van de implementatie van de PGS-15 eisen worden gevolgd.</w:t>
      </w:r>
    </w:p>
    <w:p>
      <w:pPr>
        <w:spacing w:after="120"/>
      </w:pPr>
      <w:r>
        <w:t>**Hiaten:**</w:t>
      </w:r>
    </w:p>
    <w:p>
      <w:pPr>
        <w:spacing w:after="120"/>
      </w:pPr>
      <w:r>
        <w:t>*   **Directe koppeling:** Er is geen directe koppeling tussen de PGS-15 eisen en de functionaliteit van het HSEQ-systeem. De intelligence pipeline is momenteel gebaseerd op keywords en regels, maar mist de diepgang van een volledige analyse van de PGS-15 eisen.</w:t>
        <w:br/>
        <w:t>*   **LLM-analyse:** De afwezigheid van LLM-analyse beperkt de mogelijkheden voor een diepgaande analyse van de PGS-15 richtlijnen. Een LLM zou in staat zijn om de context van de informatie te begrijpen en meer gedetailleerde risico-analyses en compliance-beoordelingen uit te voeren.</w:t>
        <w:br/>
        <w:t>*   **Automatische compliance-controle:** Het systeem biedt geen automatische compliance-controle op basis van de PGS-15 eisen. De huidige analyse is voornamelijk gebaseerd op keywords en regels, wat de effectiviteit van de compliance-monitoring beperkt.</w:t>
        <w:br/>
        <w:t>*   **Proactieve risicobeheersing:** Het systeem mist de functionaliteit om proactief risico's te identificeren en te beheersen die voortvloeien uit de PGS-15 richtlijnen.</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Versie 1.0 | 20-04-2026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003366"/>
        <w:sz w:val="16"/>
      </w:rPr>
      <w:t>JVG Consultancy — HSEQ Document Analyse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