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right"/>
      </w:pPr>
      <w:r>
        <w:drawing>
          <wp:inline xmlns:wp="http://schemas.openxmlformats.org/drawingml/2006/wordprocessingDrawing" distT="0" distB="0" distL="0" distR="0">
            <wp:extent cx="1133858" cy="1016562"/>
            <wp:effectExtent l="0" t="0" r="0" b="0"/>
            <wp:docPr id="1" name="JvG Consulta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vg-logo.jpg" descr="JvG Consultancy"/>
                    <pic:cNvPicPr/>
                  </pic:nvPicPr>
                  <pic:blipFill>
                    <a:blip xmlns:r="http://schemas.openxmlformats.org/officeDocument/2006/relationships" r:embed="rId9"/>
                    <a:stretch>
                      <a:fillRect/>
                    </a:stretch>
                  </pic:blipFill>
                  <pic:spPr>
                    <a:xfrm>
                      <a:off x="0" y="0"/>
                      <a:ext cx="1133858" cy="1016562"/>
                    </a:xfrm>
                    <a:prstGeom prst="rect">
                      <a:avLst/>
                    </a:prstGeom>
                  </pic:spPr>
                </pic:pic>
              </a:graphicData>
            </a:graphic>
          </wp:inline>
        </w:drawing>
      </w:r>
    </w:p>
    <w:p>
      <w:pPr>
        <w:jc w:val="center"/>
      </w:pPr>
      <w:r>
        <w:rPr>
          <w:b/>
          <w:color w:val="003366"/>
          <w:sz w:val="56"/>
        </w:rPr>
        <w:t>JvG CONSULTANCY</w:t>
      </w:r>
    </w:p>
    <w:p>
      <w:pPr>
        <w:jc w:val="center"/>
      </w:pPr>
      <w:r>
        <w:rPr>
          <w:color w:val="E67300"/>
          <w:sz w:val="40"/>
        </w:rPr>
        <w:t>Risico-Inventarisatie &amp; Evaluatie</w:t>
        <w:br/>
        <w:t>Beeldschermwerk</w:t>
      </w:r>
    </w:p>
    <w:p/>
    <w:p>
      <w:pPr>
        <w:jc w:val="center"/>
      </w:pPr>
      <w:r>
        <w:rPr>
          <w:color w:val="646464"/>
          <w:sz w:val="26"/>
        </w:rPr>
        <w:t>RI&amp;E Template — Beeldscherm en Werkplek Ergonomie</w:t>
      </w:r>
    </w:p>
    <w:p/>
    <w:p/>
    <w:tbl>
      <w:tblPr>
        <w:tblW w:type="auto" w:w="0"/>
        <w:jc w:val="center"/>
        <w:tblLook w:firstColumn="1" w:firstRow="1" w:lastColumn="0" w:lastRow="0" w:noHBand="0" w:noVBand="1" w:val="04A0"/>
      </w:tblPr>
      <w:tblGrid>
        <w:gridCol w:w="4320"/>
        <w:gridCol w:w="4320"/>
      </w:tblGrid>
      <w:tr>
        <w:tc>
          <w:tcPr>
            <w:tcW w:type="dxa" w:w="4320"/>
          </w:tcPr>
          <w:p>
            <w:r>
              <w:rPr>
                <w:b/>
                <w:sz w:val="20"/>
              </w:rPr>
              <w:t>Documentnummer</w:t>
            </w:r>
          </w:p>
          <w:shd w:fill="E8EEF4" w:val="clear"/>
        </w:tc>
        <w:tc>
          <w:tcPr>
            <w:tcW w:type="dxa" w:w="4320"/>
          </w:tcPr>
          <w:p>
            <w:r>
              <w:rPr>
                <w:b/>
                <w:sz w:val="20"/>
              </w:rPr>
              <w:t>HSEQ-RIE-BW-001</w:t>
            </w:r>
          </w:p>
          <w:shd w:fill="E8EEF4" w:val="clear"/>
        </w:tc>
      </w:tr>
      <w:tr>
        <w:tc>
          <w:tcPr>
            <w:tcW w:type="dxa" w:w="4320"/>
          </w:tcPr>
          <w:p>
            <w:r>
              <w:rPr>
                <w:sz w:val="20"/>
              </w:rPr>
              <w:t>Versie</w:t>
            </w:r>
          </w:p>
        </w:tc>
        <w:tc>
          <w:tcPr>
            <w:tcW w:type="dxa" w:w="4320"/>
          </w:tcPr>
          <w:p>
            <w:r/>
            <w:r>
              <w:rPr>
                <w:rFonts w:ascii="Calibri" w:hAnsi="Calibri"/>
                <w:sz w:val="20"/>
              </w:rPr>
              <w:t>v1.0</w:t>
            </w:r>
          </w:p>
        </w:tc>
      </w:tr>
      <w:tr>
        <w:tc>
          <w:tcPr>
            <w:tcW w:type="dxa" w:w="4320"/>
          </w:tcPr>
          <w:p>
            <w:r>
              <w:rPr>
                <w:b/>
                <w:sz w:val="20"/>
              </w:rPr>
              <w:t>Datum</w:t>
            </w:r>
          </w:p>
          <w:shd w:fill="E8EEF4" w:val="clear"/>
        </w:tc>
        <w:tc>
          <w:tcPr>
            <w:tcW w:type="dxa" w:w="4320"/>
          </w:tcPr>
          <w:p>
            <w:r>
              <w:rPr>
                <w:b/>
                <w:sz w:val="20"/>
              </w:rPr>
              <w:t>31 maart 2026</w:t>
            </w:r>
          </w:p>
          <w:shd w:fill="E8EEF4" w:val="clear"/>
        </w:tc>
      </w:tr>
      <w:tr>
        <w:tc>
          <w:tcPr>
            <w:tcW w:type="dxa" w:w="4320"/>
          </w:tcPr>
          <w:p>
            <w:r>
              <w:rPr>
                <w:sz w:val="20"/>
              </w:rPr>
              <w:t>Status</w:t>
            </w:r>
          </w:p>
        </w:tc>
        <w:tc>
          <w:tcPr>
            <w:tcW w:type="dxa" w:w="4320"/>
          </w:tcPr>
          <w:p>
            <w:r/>
            <w:r>
              <w:rPr>
                <w:rFonts w:ascii="Calibri" w:hAnsi="Calibri"/>
                <w:color w:val="008000"/>
                <w:sz w:val="20"/>
              </w:rPr>
              <w:t>DEFINITIEF (open voor goedkeuring)</w:t>
            </w:r>
          </w:p>
        </w:tc>
      </w:tr>
      <w:tr>
        <w:tc>
          <w:tcPr>
            <w:tcW w:type="dxa" w:w="4320"/>
          </w:tcPr>
          <w:p>
            <w:r>
              <w:rPr>
                <w:b/>
                <w:sz w:val="20"/>
              </w:rPr>
              <w:t>Classificatie</w:t>
            </w:r>
          </w:p>
          <w:shd w:fill="E8EEF4" w:val="clear"/>
        </w:tc>
        <w:tc>
          <w:tcPr>
            <w:tcW w:type="dxa" w:w="4320"/>
          </w:tcPr>
          <w:p>
            <w:r>
              <w:rPr>
                <w:b/>
                <w:sz w:val="20"/>
              </w:rPr>
              <w:t>Intern</w:t>
            </w:r>
          </w:p>
          <w:shd w:fill="E8EEF4" w:val="clear"/>
        </w:tc>
      </w:tr>
      <w:tr>
        <w:tc>
          <w:tcPr>
            <w:tcW w:type="dxa" w:w="4320"/>
          </w:tcPr>
          <w:p>
            <w:r>
              <w:rPr>
                <w:sz w:val="20"/>
              </w:rPr>
              <w:t>Opsteller</w:t>
            </w:r>
          </w:p>
        </w:tc>
        <w:tc>
          <w:tcPr>
            <w:tcW w:type="dxa" w:w="4320"/>
          </w:tcPr>
          <w:p>
            <w:r>
              <w:rPr>
                <w:sz w:val="20"/>
              </w:rPr>
              <w:t>HSEQ Specialist — JvG Consultancy</w:t>
            </w:r>
          </w:p>
        </w:tc>
      </w:tr>
      <w:tr>
        <w:tc>
          <w:tcPr>
            <w:tcW w:type="dxa" w:w="4320"/>
          </w:tcPr>
          <w:p>
            <w:r>
              <w:rPr>
                <w:b/>
                <w:sz w:val="20"/>
              </w:rPr>
              <w:t>Goedkeuring</w:t>
            </w:r>
          </w:p>
          <w:shd w:fill="E8EEF4" w:val="clear"/>
        </w:tc>
        <w:tc>
          <w:tcPr>
            <w:tcW w:type="dxa" w:w="4320"/>
          </w:tcPr>
          <w:p>
            <w:r>
              <w:rPr>
                <w:b/>
                <w:sz w:val="20"/>
              </w:rPr>
              <w:t>[Naam Directeur/Manager]</w:t>
            </w:r>
          </w:p>
          <w:shd w:fill="E8EEF4" w:val="clear"/>
        </w:tc>
      </w:tr>
      <w:tr>
        <w:tc>
          <w:tcPr>
            <w:tcW w:type="dxa" w:w="4320"/>
          </w:tcPr>
          <w:p>
            <w:r>
              <w:rPr>
                <w:sz w:val="20"/>
              </w:rPr>
              <w:t>Goedkeuringsdatum</w:t>
            </w:r>
          </w:p>
        </w:tc>
        <w:tc>
          <w:tcPr>
            <w:tcW w:type="dxa" w:w="4320"/>
          </w:tcPr>
          <w:p>
            <w:r>
              <w:rPr>
                <w:sz w:val="20"/>
              </w:rPr>
              <w:t>[DD-MM-JJJJ]</w:t>
            </w:r>
          </w:p>
        </w:tc>
      </w:tr>
    </w:tbl>
    <w:p>
      <w:r>
        <w:br w:type="page"/>
      </w:r>
    </w:p>
    <w:p>
      <w:pPr>
        <w:pStyle w:val="Heading1"/>
      </w:pPr>
      <w:r>
        <w:rPr>
          <w:color w:val="003366"/>
        </w:rPr>
        <w:t>1. Inleiding</w:t>
      </w:r>
    </w:p>
    <w:p>
      <w:r>
        <w:t>Dit document bevat de Risico-Inventarisatie en -Evaluatie (RI&amp;E) voor beeldschermwerk, opgesteld conform Artikel 5.9 Arbobesluit. De RI&amp;E is verplicht voor alle werkplekken waar werknemers gewoonlijk 2 uur of meer per etmaal aan een beeldscherm werken.</w:t>
      </w:r>
    </w:p>
    <w:p>
      <w:r>
        <w:t>De RI&amp;E inventariseert specifiek de gevaren voor het gezichtsvermogen en de fysieke en psychische belasting als gevolg van arbeid aan een beeldscherm (Art. 5.9 lid 1 Arbobesluit). Op basis van de uitkomsten worden doeltreffende maatregelen genomen (Art. 5.9 lid 2 Arbobesluit).</w:t>
      </w:r>
    </w:p>
    <w:p>
      <w:pPr>
        <w:pStyle w:val="Heading2"/>
      </w:pPr>
      <w:r>
        <w:t>1.1 Doel</w:t>
      </w:r>
    </w:p>
    <w:p>
      <w:r>
        <w:t>Het doel van deze RI&amp;E is het systematisch identificeren, evalueren en beheersen van risico's verbonden aan beeldschermwerk, teneinde de veiligheid en gezondheid van werknemers te waarborgen en te voldoen aan de wettelijke verplichtingen uit de Arbowet en het Arbobesluit.</w:t>
      </w:r>
    </w:p>
    <w:p>
      <w:pPr>
        <w:pStyle w:val="Heading2"/>
      </w:pPr>
      <w:r>
        <w:t>1.2 Reikwijdte</w:t>
      </w:r>
    </w:p>
    <w:p>
      <w:r>
        <w:t>Deze RI&amp;E is van toepassing op:</w:t>
      </w:r>
    </w:p>
    <w:p>
      <w:pPr>
        <w:pStyle w:val="ListBullet"/>
      </w:pPr>
      <w:r>
        <w:t>Alle vaste beeldschermwerkplekken op kantoor</w:t>
      </w:r>
    </w:p>
    <w:p>
      <w:pPr>
        <w:pStyle w:val="ListBullet"/>
      </w:pPr>
      <w:r>
        <w:t>Flexwerkplekken en hot-desk werkplekken</w:t>
      </w:r>
    </w:p>
    <w:p>
      <w:pPr>
        <w:pStyle w:val="ListBullet"/>
      </w:pPr>
      <w:r>
        <w:t>Thuiswerkplekken (plaats-onafhankelijke arbeid)</w:t>
      </w:r>
    </w:p>
    <w:p>
      <w:pPr>
        <w:pStyle w:val="ListBullet"/>
      </w:pPr>
      <w:r>
        <w:t>Werkplekken met laptops (bij gebruik ≥ 2 uur/dag op één plek)</w:t>
      </w:r>
    </w:p>
    <w:p>
      <w:r>
        <w:t>Uitgezonderd: bestuurdersplaatsen op machines, publieke computersystemen, draagbare systemen die niet aanhoudend op één werkplek worden gebruikt, en apparatuur met klein display (Art. 5.8 Arbobesluit).</w:t>
      </w:r>
    </w:p>
    <w:p>
      <w:pPr>
        <w:pStyle w:val="Heading2"/>
      </w:pPr>
      <w:r>
        <w:t>1.3 Wettelijke Grondslag</w:t>
      </w:r>
    </w:p>
    <w:p>
      <w:pPr>
        <w:pStyle w:val="ListBullet"/>
      </w:pPr>
      <w:r>
        <w:t>Arbowet, artikel 5 — Zorgplicht werkgever</w:t>
      </w:r>
    </w:p>
    <w:p>
      <w:pPr>
        <w:pStyle w:val="ListBullet"/>
      </w:pPr>
      <w:r>
        <w:t>Arbobesluit, artikel 5.7 — Definities beeldschermwerk</w:t>
      </w:r>
    </w:p>
    <w:p>
      <w:pPr>
        <w:pStyle w:val="ListBullet"/>
      </w:pPr>
      <w:r>
        <w:t>Arbobesluit, artikel 5.8 — Toepassingsgebied (≥ 2 uur/dag)</w:t>
      </w:r>
    </w:p>
    <w:p>
      <w:pPr>
        <w:pStyle w:val="ListBullet"/>
      </w:pPr>
      <w:r>
        <w:t>Arbobesluit, artikel 5.9 — RI&amp;E beeldschermwerk</w:t>
      </w:r>
    </w:p>
    <w:p>
      <w:pPr>
        <w:pStyle w:val="ListBullet"/>
      </w:pPr>
      <w:r>
        <w:t>Arbobesluit, artikel 5.10 — Dagindeling en pauzeregeling</w:t>
      </w:r>
    </w:p>
    <w:p>
      <w:pPr>
        <w:pStyle w:val="ListBullet"/>
      </w:pPr>
      <w:r>
        <w:t>Arbobesluit, artikel 5.11 — Oogonderzoek en beeldschermbril</w:t>
      </w:r>
    </w:p>
    <w:p>
      <w:pPr>
        <w:pStyle w:val="ListBullet"/>
      </w:pPr>
      <w:r>
        <w:t>Arbobesluit, artikel 5.12 — Inrichting beeldschermwerkplekken</w:t>
      </w:r>
    </w:p>
    <w:p>
      <w:pPr>
        <w:pStyle w:val="ListBullet"/>
      </w:pPr>
      <w:r>
        <w:t>Arboregeling, artikel 5.1–5.3 — Specifieke voorschriften werkplek</w:t>
      </w:r>
    </w:p>
    <w:p>
      <w:pPr>
        <w:pStyle w:val="ListBullet"/>
      </w:pPr>
      <w:r>
        <w:t>EG-richtlijn 90/270/EEG — Minimumeisen beeldschermwerk</w:t>
      </w:r>
    </w:p>
    <w:p>
      <w:pPr>
        <w:pStyle w:val="ListBullet"/>
      </w:pPr>
      <w:r>
        <w:t>NEN-ISO 9241 — Ergonomie mens-machine interactie</w:t>
      </w:r>
    </w:p>
    <w:p>
      <w:r>
        <w:br w:type="page"/>
      </w:r>
    </w:p>
    <w:p>
      <w:pPr>
        <w:pStyle w:val="Heading1"/>
      </w:pPr>
      <w:r>
        <w:rPr>
          <w:color w:val="003366"/>
        </w:rPr>
        <w:t>2. Risico-Inventarisatie</w:t>
      </w:r>
    </w:p>
    <w:p>
      <w:r>
        <w:t>Per taak en werkplekonderdeel zijn de risico's geïdentificeerd, gewaardeerd en gekoppeld aan beheersmaatregelen. De risicoclassificatie volgt de standaard matrix: waarschijnlijkheid × ernst = risicoclassificatie.</w:t>
      </w:r>
    </w:p>
    <w:p>
      <w:pPr>
        <w:pStyle w:val="Heading2"/>
      </w:pPr>
      <w:r>
        <w:t>2.1 Risicoregister Beeldschermwerk</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680"/>
          </w:tcPr>
          <w:p>
            <w:r>
              <w:rPr>
                <w:b/>
                <w:color w:val="FFFFFF"/>
                <w:sz w:val="16"/>
              </w:rPr>
              <w:t>ID</w:t>
            </w:r>
          </w:p>
          <w:shd w:fill="003366" w:val="clear"/>
        </w:tc>
        <w:tc>
          <w:tcPr>
            <w:tcW w:type="dxa" w:w="1134"/>
          </w:tcPr>
          <w:p>
            <w:r>
              <w:rPr>
                <w:b/>
                <w:color w:val="FFFFFF"/>
                <w:sz w:val="16"/>
              </w:rPr>
              <w:t>Risico</w:t>
            </w:r>
          </w:p>
          <w:shd w:fill="003366" w:val="clear"/>
        </w:tc>
        <w:tc>
          <w:tcPr>
            <w:tcW w:type="dxa" w:w="2268"/>
          </w:tcPr>
          <w:p>
            <w:r>
              <w:rPr>
                <w:b/>
                <w:color w:val="FFFFFF"/>
                <w:sz w:val="16"/>
              </w:rPr>
              <w:t>Beschrijving</w:t>
            </w:r>
          </w:p>
          <w:shd w:fill="003366" w:val="clear"/>
        </w:tc>
        <w:tc>
          <w:tcPr>
            <w:tcW w:type="dxa" w:w="1134"/>
          </w:tcPr>
          <w:p>
            <w:r>
              <w:rPr>
                <w:b/>
                <w:color w:val="FFFFFF"/>
                <w:sz w:val="16"/>
              </w:rPr>
              <w:t>Waarschijnlijkheid</w:t>
            </w:r>
          </w:p>
          <w:shd w:fill="003366" w:val="clear"/>
        </w:tc>
        <w:tc>
          <w:tcPr>
            <w:tcW w:type="dxa" w:w="850"/>
          </w:tcPr>
          <w:p>
            <w:r>
              <w:rPr>
                <w:b/>
                <w:color w:val="FFFFFF"/>
                <w:sz w:val="16"/>
              </w:rPr>
              <w:t>Ernst</w:t>
            </w:r>
          </w:p>
          <w:shd w:fill="003366" w:val="clear"/>
        </w:tc>
        <w:tc>
          <w:tcPr>
            <w:tcW w:type="dxa" w:w="850"/>
          </w:tcPr>
          <w:p>
            <w:r>
              <w:rPr>
                <w:b/>
                <w:color w:val="FFFFFF"/>
                <w:sz w:val="16"/>
              </w:rPr>
              <w:t>Risico</w:t>
            </w:r>
          </w:p>
          <w:shd w:fill="003366" w:val="clear"/>
        </w:tc>
        <w:tc>
          <w:tcPr>
            <w:tcW w:type="dxa" w:w="2835"/>
          </w:tcPr>
          <w:p>
            <w:r>
              <w:rPr>
                <w:b/>
                <w:color w:val="FFFFFF"/>
                <w:sz w:val="16"/>
              </w:rPr>
              <w:t>Beheersmaatregel</w:t>
            </w:r>
          </w:p>
          <w:shd w:fill="003366" w:val="clear"/>
        </w:tc>
      </w:tr>
      <w:tr>
        <w:tc>
          <w:tcPr>
            <w:tcW w:type="dxa" w:w="680"/>
          </w:tcPr>
          <w:p>
            <w:r>
              <w:rPr>
                <w:sz w:val="16"/>
              </w:rPr>
              <w:t>R-01</w:t>
            </w:r>
          </w:p>
        </w:tc>
        <w:tc>
          <w:tcPr>
            <w:tcW w:type="dxa" w:w="1134"/>
          </w:tcPr>
          <w:p>
            <w:r>
              <w:rPr>
                <w:sz w:val="16"/>
              </w:rPr>
              <w:t>RSI/CANS</w:t>
            </w:r>
          </w:p>
        </w:tc>
        <w:tc>
          <w:tcPr>
            <w:tcW w:type="dxa" w:w="2268"/>
          </w:tcPr>
          <w:p>
            <w:r>
              <w:rPr>
                <w:sz w:val="16"/>
              </w:rPr>
              <w:t>Statische belasting nek/schouder/armen door langdurig beeldschermwerk</w:t>
            </w:r>
          </w:p>
        </w:tc>
        <w:tc>
          <w:tcPr>
            <w:tcW w:type="dxa" w:w="1134"/>
          </w:tcPr>
          <w:p>
            <w:r>
              <w:rPr>
                <w:sz w:val="16"/>
              </w:rPr>
              <w:t>Matig</w:t>
            </w:r>
          </w:p>
        </w:tc>
        <w:tc>
          <w:tcPr>
            <w:tcW w:type="dxa" w:w="850"/>
          </w:tcPr>
          <w:p>
            <w:r>
              <w:rPr>
                <w:sz w:val="16"/>
              </w:rPr>
              <w:t>Zwaar</w:t>
            </w:r>
          </w:p>
        </w:tc>
        <w:tc>
          <w:tcPr>
            <w:tcW w:type="dxa" w:w="850"/>
          </w:tcPr>
          <w:p>
            <w:r>
              <w:rPr>
                <w:sz w:val="16"/>
              </w:rPr>
              <w:t>HOOG</w:t>
            </w:r>
          </w:p>
        </w:tc>
        <w:tc>
          <w:tcPr>
            <w:tcW w:type="dxa" w:w="2835"/>
          </w:tcPr>
          <w:p>
            <w:r>
              <w:rPr>
                <w:sz w:val="16"/>
              </w:rPr>
              <w:t>Ergonomische werkplek, pauzeregeling, taakrotatie, sneltoetsen</w:t>
            </w:r>
          </w:p>
        </w:tc>
      </w:tr>
      <w:tr>
        <w:tc>
          <w:tcPr>
            <w:tcW w:type="dxa" w:w="680"/>
          </w:tcPr>
          <w:p>
            <w:r>
              <w:rPr>
                <w:sz w:val="16"/>
              </w:rPr>
              <w:t>R-02</w:t>
            </w:r>
          </w:p>
        </w:tc>
        <w:tc>
          <w:tcPr>
            <w:tcW w:type="dxa" w:w="1134"/>
          </w:tcPr>
          <w:p>
            <w:r>
              <w:rPr>
                <w:sz w:val="16"/>
              </w:rPr>
              <w:t>Oogvermoeidheid</w:t>
            </w:r>
          </w:p>
        </w:tc>
        <w:tc>
          <w:tcPr>
            <w:tcW w:type="dxa" w:w="2268"/>
          </w:tcPr>
          <w:p>
            <w:r>
              <w:rPr>
                <w:sz w:val="16"/>
              </w:rPr>
              <w:t>Vermoeidheid, droge ogen door langdurig schermkijken</w:t>
            </w:r>
          </w:p>
        </w:tc>
        <w:tc>
          <w:tcPr>
            <w:tcW w:type="dxa" w:w="1134"/>
          </w:tcPr>
          <w:p>
            <w:r>
              <w:rPr>
                <w:sz w:val="16"/>
              </w:rPr>
              <w:t>Matig</w:t>
            </w:r>
          </w:p>
        </w:tc>
        <w:tc>
          <w:tcPr>
            <w:tcW w:type="dxa" w:w="850"/>
          </w:tcPr>
          <w:p>
            <w:r>
              <w:rPr>
                <w:sz w:val="16"/>
              </w:rPr>
              <w:t>Licht</w:t>
            </w:r>
          </w:p>
        </w:tc>
        <w:tc>
          <w:tcPr>
            <w:tcW w:type="dxa" w:w="850"/>
          </w:tcPr>
          <w:p>
            <w:r>
              <w:rPr>
                <w:sz w:val="16"/>
              </w:rPr>
              <w:t>MATIG</w:t>
            </w:r>
          </w:p>
        </w:tc>
        <w:tc>
          <w:tcPr>
            <w:tcW w:type="dxa" w:w="2835"/>
          </w:tcPr>
          <w:p>
            <w:r>
              <w:rPr>
                <w:sz w:val="16"/>
              </w:rPr>
              <w:t>Kijkafstand ≥ 70 cm, 20-8-2 regel, beeldschermbril bij indicatie</w:t>
            </w:r>
          </w:p>
        </w:tc>
      </w:tr>
      <w:tr>
        <w:tc>
          <w:tcPr>
            <w:tcW w:type="dxa" w:w="680"/>
          </w:tcPr>
          <w:p>
            <w:r>
              <w:rPr>
                <w:sz w:val="16"/>
              </w:rPr>
              <w:t>R-03</w:t>
            </w:r>
          </w:p>
        </w:tc>
        <w:tc>
          <w:tcPr>
            <w:tcW w:type="dxa" w:w="1134"/>
          </w:tcPr>
          <w:p>
            <w:r>
              <w:rPr>
                <w:sz w:val="16"/>
              </w:rPr>
              <w:t>Werkstress / Burn-out</w:t>
            </w:r>
          </w:p>
        </w:tc>
        <w:tc>
          <w:tcPr>
            <w:tcW w:type="dxa" w:w="2268"/>
          </w:tcPr>
          <w:p>
            <w:r>
              <w:rPr>
                <w:sz w:val="16"/>
              </w:rPr>
              <w:t>Hoge werkdruk, permanente bereikbaarheid, informatieoverload</w:t>
            </w:r>
          </w:p>
        </w:tc>
        <w:tc>
          <w:tcPr>
            <w:tcW w:type="dxa" w:w="1134"/>
          </w:tcPr>
          <w:p>
            <w:r>
              <w:rPr>
                <w:sz w:val="16"/>
              </w:rPr>
              <w:t>Matig</w:t>
            </w:r>
          </w:p>
        </w:tc>
        <w:tc>
          <w:tcPr>
            <w:tcW w:type="dxa" w:w="850"/>
          </w:tcPr>
          <w:p>
            <w:r>
              <w:rPr>
                <w:sz w:val="16"/>
              </w:rPr>
              <w:t>Zwaar</w:t>
            </w:r>
          </w:p>
        </w:tc>
        <w:tc>
          <w:tcPr>
            <w:tcW w:type="dxa" w:w="850"/>
          </w:tcPr>
          <w:p>
            <w:r>
              <w:rPr>
                <w:sz w:val="16"/>
              </w:rPr>
              <w:t>HOOG</w:t>
            </w:r>
          </w:p>
        </w:tc>
        <w:tc>
          <w:tcPr>
            <w:tcW w:type="dxa" w:w="2835"/>
          </w:tcPr>
          <w:p>
            <w:r>
              <w:rPr>
                <w:sz w:val="16"/>
              </w:rPr>
              <w:t>Autonomie vergroten, werkdrukbeleid, emailregels, technostress-beleid</w:t>
            </w:r>
          </w:p>
        </w:tc>
      </w:tr>
      <w:tr>
        <w:tc>
          <w:tcPr>
            <w:tcW w:type="dxa" w:w="680"/>
          </w:tcPr>
          <w:p>
            <w:r>
              <w:rPr>
                <w:sz w:val="16"/>
              </w:rPr>
              <w:t>R-04</w:t>
            </w:r>
          </w:p>
        </w:tc>
        <w:tc>
          <w:tcPr>
            <w:tcW w:type="dxa" w:w="1134"/>
          </w:tcPr>
          <w:p>
            <w:r>
              <w:rPr>
                <w:sz w:val="16"/>
              </w:rPr>
              <w:t>Rugklachten</w:t>
            </w:r>
          </w:p>
        </w:tc>
        <w:tc>
          <w:tcPr>
            <w:tcW w:type="dxa" w:w="2268"/>
          </w:tcPr>
          <w:p>
            <w:r>
              <w:rPr>
                <w:sz w:val="16"/>
              </w:rPr>
              <w:t>Verkeerde zithouding, onvoldoende onderrugsteun, langdurig zitten</w:t>
            </w:r>
          </w:p>
        </w:tc>
        <w:tc>
          <w:tcPr>
            <w:tcW w:type="dxa" w:w="1134"/>
          </w:tcPr>
          <w:p>
            <w:r>
              <w:rPr>
                <w:sz w:val="16"/>
              </w:rPr>
              <w:t>Matig</w:t>
            </w:r>
          </w:p>
        </w:tc>
        <w:tc>
          <w:tcPr>
            <w:tcW w:type="dxa" w:w="850"/>
          </w:tcPr>
          <w:p>
            <w:r>
              <w:rPr>
                <w:sz w:val="16"/>
              </w:rPr>
              <w:t>Matig</w:t>
            </w:r>
          </w:p>
        </w:tc>
        <w:tc>
          <w:tcPr>
            <w:tcW w:type="dxa" w:w="850"/>
          </w:tcPr>
          <w:p>
            <w:r>
              <w:rPr>
                <w:sz w:val="16"/>
              </w:rPr>
              <w:t>MATIG</w:t>
            </w:r>
          </w:p>
        </w:tc>
        <w:tc>
          <w:tcPr>
            <w:tcW w:type="dxa" w:w="2835"/>
          </w:tcPr>
          <w:p>
            <w:r>
              <w:rPr>
                <w:sz w:val="16"/>
              </w:rPr>
              <w:t>Verstelbare stoel met lendesteun, bewegend zitten, zit-sta bureau</w:t>
            </w:r>
          </w:p>
        </w:tc>
      </w:tr>
      <w:tr>
        <w:tc>
          <w:tcPr>
            <w:tcW w:type="dxa" w:w="680"/>
          </w:tcPr>
          <w:p>
            <w:r>
              <w:rPr>
                <w:sz w:val="16"/>
              </w:rPr>
              <w:t>R-05</w:t>
            </w:r>
          </w:p>
        </w:tc>
        <w:tc>
          <w:tcPr>
            <w:tcW w:type="dxa" w:w="1134"/>
          </w:tcPr>
          <w:p>
            <w:r>
              <w:rPr>
                <w:sz w:val="16"/>
              </w:rPr>
              <w:t>Nekklachten (tablet/laptop)</w:t>
            </w:r>
          </w:p>
        </w:tc>
        <w:tc>
          <w:tcPr>
            <w:tcW w:type="dxa" w:w="2268"/>
          </w:tcPr>
          <w:p>
            <w:r>
              <w:rPr>
                <w:sz w:val="16"/>
              </w:rPr>
              <w:t>Verhoogde nekflexie door mobiele apparaten</w:t>
            </w:r>
          </w:p>
        </w:tc>
        <w:tc>
          <w:tcPr>
            <w:tcW w:type="dxa" w:w="1134"/>
          </w:tcPr>
          <w:p>
            <w:r>
              <w:rPr>
                <w:sz w:val="16"/>
              </w:rPr>
              <w:t>Hoog</w:t>
            </w:r>
          </w:p>
        </w:tc>
        <w:tc>
          <w:tcPr>
            <w:tcW w:type="dxa" w:w="850"/>
          </w:tcPr>
          <w:p>
            <w:r>
              <w:rPr>
                <w:sz w:val="16"/>
              </w:rPr>
              <w:t>Matig</w:t>
            </w:r>
          </w:p>
        </w:tc>
        <w:tc>
          <w:tcPr>
            <w:tcW w:type="dxa" w:w="850"/>
          </w:tcPr>
          <w:p>
            <w:r>
              <w:rPr>
                <w:sz w:val="16"/>
              </w:rPr>
              <w:t>HOOG</w:t>
            </w:r>
          </w:p>
        </w:tc>
        <w:tc>
          <w:tcPr>
            <w:tcW w:type="dxa" w:w="2835"/>
          </w:tcPr>
          <w:p>
            <w:r>
              <w:rPr>
                <w:sz w:val="16"/>
              </w:rPr>
              <w:t>Laptopstandaard + extern toetsenbord/muis, docking station</w:t>
            </w:r>
          </w:p>
        </w:tc>
      </w:tr>
      <w:tr>
        <w:tc>
          <w:tcPr>
            <w:tcW w:type="dxa" w:w="680"/>
          </w:tcPr>
          <w:p>
            <w:r>
              <w:rPr>
                <w:sz w:val="16"/>
              </w:rPr>
              <w:t>R-06</w:t>
            </w:r>
          </w:p>
        </w:tc>
        <w:tc>
          <w:tcPr>
            <w:tcW w:type="dxa" w:w="1134"/>
          </w:tcPr>
          <w:p>
            <w:r>
              <w:rPr>
                <w:sz w:val="16"/>
              </w:rPr>
              <w:t>Technostress</w:t>
            </w:r>
          </w:p>
        </w:tc>
        <w:tc>
          <w:tcPr>
            <w:tcW w:type="dxa" w:w="2268"/>
          </w:tcPr>
          <w:p>
            <w:r>
              <w:rPr>
                <w:sz w:val="16"/>
              </w:rPr>
              <w:t>Permanente bereikbaarheid, FOMO, informatieoverload</w:t>
            </w:r>
          </w:p>
        </w:tc>
        <w:tc>
          <w:tcPr>
            <w:tcW w:type="dxa" w:w="1134"/>
          </w:tcPr>
          <w:p>
            <w:r>
              <w:rPr>
                <w:sz w:val="16"/>
              </w:rPr>
              <w:t>Toenemend</w:t>
            </w:r>
          </w:p>
        </w:tc>
        <w:tc>
          <w:tcPr>
            <w:tcW w:type="dxa" w:w="850"/>
          </w:tcPr>
          <w:p>
            <w:r>
              <w:rPr>
                <w:sz w:val="16"/>
              </w:rPr>
              <w:t>Matig</w:t>
            </w:r>
          </w:p>
        </w:tc>
        <w:tc>
          <w:tcPr>
            <w:tcW w:type="dxa" w:w="850"/>
          </w:tcPr>
          <w:p>
            <w:r>
              <w:rPr>
                <w:sz w:val="16"/>
              </w:rPr>
              <w:t>MATIG</w:t>
            </w:r>
          </w:p>
        </w:tc>
        <w:tc>
          <w:tcPr>
            <w:tcW w:type="dxa" w:w="2835"/>
          </w:tcPr>
          <w:p>
            <w:r>
              <w:rPr>
                <w:sz w:val="16"/>
              </w:rPr>
              <w:t>Beleid bereikbaarheid, spamfilters, workflow-training</w:t>
            </w:r>
          </w:p>
        </w:tc>
      </w:tr>
    </w:tbl>
    <w:p>
      <w:r>
        <w:br w:type="page"/>
      </w:r>
    </w:p>
    <w:p>
      <w:pPr>
        <w:pStyle w:val="Heading1"/>
      </w:pPr>
      <w:r>
        <w:rPr>
          <w:color w:val="003366"/>
        </w:rPr>
        <w:t>3. Beheersmaatregelen</w:t>
      </w:r>
    </w:p>
    <w:p>
      <w:r>
        <w:t>De beheersmaatregelen zijn gerangschikt volgens de arbeidshygiënische strategie: bronmaatregelen → collectieve maatregelen → individuele maatregelen. Persoonlijke beschermingsmiddelen (PBM's) zijn bij beeldschermwerk niet van toepassing.</w:t>
      </w:r>
    </w:p>
    <w:p>
      <w:pPr>
        <w:pStyle w:val="Heading2"/>
      </w:pPr>
      <w:r>
        <w:t>3.1 Bronmaatregelen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color w:val="FFFFFF"/>
                <w:sz w:val="18"/>
              </w:rPr>
              <w:t>ID</w:t>
            </w:r>
          </w:p>
          <w:shd w:fill="003366" w:val="clear"/>
        </w:tc>
        <w:tc>
          <w:tcPr>
            <w:tcW w:type="dxa" w:w="2160"/>
          </w:tcPr>
          <w:p>
            <w:r>
              <w:rPr>
                <w:b/>
                <w:color w:val="FFFFFF"/>
                <w:sz w:val="18"/>
              </w:rPr>
              <w:t>Maatregel</w:t>
            </w:r>
          </w:p>
          <w:shd w:fill="003366" w:val="clear"/>
        </w:tc>
        <w:tc>
          <w:tcPr>
            <w:tcW w:type="dxa" w:w="2160"/>
          </w:tcPr>
          <w:p>
            <w:r>
              <w:rPr>
                <w:b/>
                <w:color w:val="FFFFFF"/>
                <w:sz w:val="18"/>
              </w:rPr>
              <w:t>Specificatie</w:t>
            </w:r>
          </w:p>
          <w:shd w:fill="003366" w:val="clear"/>
        </w:tc>
        <w:tc>
          <w:tcPr>
            <w:tcW w:type="dxa" w:w="2160"/>
          </w:tcPr>
          <w:p>
            <w:r>
              <w:rPr>
                <w:b/>
                <w:color w:val="FFFFFF"/>
                <w:sz w:val="18"/>
              </w:rPr>
              <w:t>Wettelijke basis</w:t>
            </w:r>
          </w:p>
          <w:shd w:fill="003366" w:val="clear"/>
        </w:tc>
      </w:tr>
      <w:tr>
        <w:tc>
          <w:tcPr>
            <w:tcW w:type="dxa" w:w="2160"/>
          </w:tcPr>
          <w:p>
            <w:r>
              <w:rPr>
                <w:sz w:val="18"/>
              </w:rPr>
              <w:t>B-01</w:t>
            </w:r>
          </w:p>
        </w:tc>
        <w:tc>
          <w:tcPr>
            <w:tcW w:type="dxa" w:w="2160"/>
          </w:tcPr>
          <w:p>
            <w:r>
              <w:rPr>
                <w:sz w:val="18"/>
              </w:rPr>
              <w:t>Ergonomische werkplek</w:t>
            </w:r>
          </w:p>
        </w:tc>
        <w:tc>
          <w:tcPr>
            <w:tcW w:type="dxa" w:w="2160"/>
          </w:tcPr>
          <w:p>
            <w:r>
              <w:rPr>
                <w:sz w:val="18"/>
              </w:rPr>
              <w:t>Verstelbare kantoorstoel (NPR 1813), hoogteverstelbaar bureau, beeldscharmarm</w:t>
            </w:r>
          </w:p>
        </w:tc>
        <w:tc>
          <w:tcPr>
            <w:tcW w:type="dxa" w:w="2160"/>
          </w:tcPr>
          <w:p>
            <w:r>
              <w:rPr>
                <w:sz w:val="18"/>
              </w:rPr>
              <w:t>Art. 5.4 Arbobesluit</w:t>
            </w:r>
          </w:p>
        </w:tc>
      </w:tr>
      <w:tr>
        <w:tc>
          <w:tcPr>
            <w:tcW w:type="dxa" w:w="2160"/>
          </w:tcPr>
          <w:p>
            <w:r>
              <w:rPr>
                <w:sz w:val="18"/>
              </w:rPr>
              <w:t>B-02</w:t>
            </w:r>
          </w:p>
        </w:tc>
        <w:tc>
          <w:tcPr>
            <w:tcW w:type="dxa" w:w="2160"/>
          </w:tcPr>
          <w:p>
            <w:r>
              <w:rPr>
                <w:sz w:val="18"/>
              </w:rPr>
              <w:t>Beeldschermkwaliteit</w:t>
            </w:r>
          </w:p>
        </w:tc>
        <w:tc>
          <w:tcPr>
            <w:tcW w:type="dxa" w:w="2160"/>
          </w:tcPr>
          <w:p>
            <w:r>
              <w:rPr>
                <w:sz w:val="18"/>
              </w:rPr>
              <w:t>Scherp, stabiel, instelbaar contrast/luminantie, vrij van reflectie</w:t>
            </w:r>
          </w:p>
        </w:tc>
        <w:tc>
          <w:tcPr>
            <w:tcW w:type="dxa" w:w="2160"/>
          </w:tcPr>
          <w:p>
            <w:r>
              <w:rPr>
                <w:sz w:val="18"/>
              </w:rPr>
              <w:t>Art. 5.1 Arboregeling</w:t>
            </w:r>
          </w:p>
        </w:tc>
      </w:tr>
      <w:tr>
        <w:tc>
          <w:tcPr>
            <w:tcW w:type="dxa" w:w="2160"/>
          </w:tcPr>
          <w:p>
            <w:r>
              <w:rPr>
                <w:sz w:val="18"/>
              </w:rPr>
              <w:t>B-03</w:t>
            </w:r>
          </w:p>
        </w:tc>
        <w:tc>
          <w:tcPr>
            <w:tcW w:type="dxa" w:w="2160"/>
          </w:tcPr>
          <w:p>
            <w:r>
              <w:rPr>
                <w:sz w:val="18"/>
              </w:rPr>
              <w:t>Invoermiddelen</w:t>
            </w:r>
          </w:p>
        </w:tc>
        <w:tc>
          <w:tcPr>
            <w:tcW w:type="dxa" w:w="2160"/>
          </w:tcPr>
          <w:p>
            <w:r>
              <w:rPr>
                <w:sz w:val="18"/>
              </w:rPr>
              <w:t>Dun toetsenbord (≤ 4 cm), ergonomische muis, sneltoetsen training</w:t>
            </w:r>
          </w:p>
        </w:tc>
        <w:tc>
          <w:tcPr>
            <w:tcW w:type="dxa" w:w="2160"/>
          </w:tcPr>
          <w:p>
            <w:r>
              <w:rPr>
                <w:sz w:val="18"/>
              </w:rPr>
              <w:t>Art. 5.1 Arboregeling</w:t>
            </w:r>
          </w:p>
        </w:tc>
      </w:tr>
      <w:tr>
        <w:tc>
          <w:tcPr>
            <w:tcW w:type="dxa" w:w="2160"/>
          </w:tcPr>
          <w:p>
            <w:r>
              <w:rPr>
                <w:sz w:val="18"/>
              </w:rPr>
              <w:t>B-04</w:t>
            </w:r>
          </w:p>
        </w:tc>
        <w:tc>
          <w:tcPr>
            <w:tcW w:type="dxa" w:w="2160"/>
          </w:tcPr>
          <w:p>
            <w:r>
              <w:rPr>
                <w:sz w:val="18"/>
              </w:rPr>
              <w:t>Software-ergonomie</w:t>
            </w:r>
          </w:p>
        </w:tc>
        <w:tc>
          <w:tcPr>
            <w:tcW w:type="dxa" w:w="2160"/>
          </w:tcPr>
          <w:p>
            <w:r>
              <w:rPr>
                <w:sz w:val="18"/>
              </w:rPr>
              <w:t>NEN-ISO 9241 conform: gebruiksvriendelijk, aanpasbaar, tolerant</w:t>
            </w:r>
          </w:p>
        </w:tc>
        <w:tc>
          <w:tcPr>
            <w:tcW w:type="dxa" w:w="2160"/>
          </w:tcPr>
          <w:p>
            <w:r>
              <w:rPr>
                <w:sz w:val="18"/>
              </w:rPr>
              <w:t>Art. 5.2 Arboregeling</w:t>
            </w:r>
          </w:p>
        </w:tc>
      </w:tr>
      <w:tr>
        <w:tc>
          <w:tcPr>
            <w:tcW w:type="dxa" w:w="2160"/>
          </w:tcPr>
          <w:p>
            <w:r>
              <w:rPr>
                <w:sz w:val="18"/>
              </w:rPr>
              <w:t>B-05</w:t>
            </w:r>
          </w:p>
        </w:tc>
        <w:tc>
          <w:tcPr>
            <w:tcW w:type="dxa" w:w="2160"/>
          </w:tcPr>
          <w:p>
            <w:r>
              <w:rPr>
                <w:sz w:val="18"/>
              </w:rPr>
              <w:t>Verlichting</w:t>
            </w:r>
          </w:p>
        </w:tc>
        <w:tc>
          <w:tcPr>
            <w:tcW w:type="dxa" w:w="2160"/>
          </w:tcPr>
          <w:p>
            <w:r>
              <w:rPr>
                <w:sz w:val="18"/>
              </w:rPr>
              <w:t>Beeldscherm haaks op ramen, mat oppervlakken, zonwering, 300–500 lux</w:t>
            </w:r>
          </w:p>
        </w:tc>
        <w:tc>
          <w:tcPr>
            <w:tcW w:type="dxa" w:w="2160"/>
          </w:tcPr>
          <w:p>
            <w:r>
              <w:rPr>
                <w:sz w:val="18"/>
              </w:rPr>
              <w:t>Art. 5.1 lid f Arboregeling</w:t>
            </w:r>
          </w:p>
        </w:tc>
      </w:tr>
    </w:tbl>
    <w:p>
      <w:pPr>
        <w:pStyle w:val="Heading2"/>
      </w:pPr>
      <w:r>
        <w:t>3.2 Collectieve Maatregelen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color w:val="FFFFFF"/>
                <w:sz w:val="18"/>
              </w:rPr>
              <w:t>ID</w:t>
            </w:r>
          </w:p>
          <w:shd w:fill="003366" w:val="clear"/>
        </w:tc>
        <w:tc>
          <w:tcPr>
            <w:tcW w:type="dxa" w:w="2160"/>
          </w:tcPr>
          <w:p>
            <w:r>
              <w:rPr>
                <w:b/>
                <w:color w:val="FFFFFF"/>
                <w:sz w:val="18"/>
              </w:rPr>
              <w:t>Maatregel</w:t>
            </w:r>
          </w:p>
          <w:shd w:fill="003366" w:val="clear"/>
        </w:tc>
        <w:tc>
          <w:tcPr>
            <w:tcW w:type="dxa" w:w="2160"/>
          </w:tcPr>
          <w:p>
            <w:r>
              <w:rPr>
                <w:b/>
                <w:color w:val="FFFFFF"/>
                <w:sz w:val="18"/>
              </w:rPr>
              <w:t>Specificatie</w:t>
            </w:r>
          </w:p>
          <w:shd w:fill="003366" w:val="clear"/>
        </w:tc>
        <w:tc>
          <w:tcPr>
            <w:tcW w:type="dxa" w:w="2160"/>
          </w:tcPr>
          <w:p>
            <w:r>
              <w:rPr>
                <w:b/>
                <w:color w:val="FFFFFF"/>
                <w:sz w:val="18"/>
              </w:rPr>
              <w:t>Wettelijke basis</w:t>
            </w:r>
          </w:p>
          <w:shd w:fill="003366" w:val="clear"/>
        </w:tc>
      </w:tr>
      <w:tr>
        <w:tc>
          <w:tcPr>
            <w:tcW w:type="dxa" w:w="2160"/>
          </w:tcPr>
          <w:p>
            <w:r>
              <w:rPr>
                <w:sz w:val="18"/>
              </w:rPr>
              <w:t>C-01</w:t>
            </w:r>
          </w:p>
        </w:tc>
        <w:tc>
          <w:tcPr>
            <w:tcW w:type="dxa" w:w="2160"/>
          </w:tcPr>
          <w:p>
            <w:r>
              <w:rPr>
                <w:sz w:val="18"/>
              </w:rPr>
              <w:t>Dagindeling</w:t>
            </w:r>
          </w:p>
        </w:tc>
        <w:tc>
          <w:tcPr>
            <w:tcW w:type="dxa" w:w="2160"/>
          </w:tcPr>
          <w:p>
            <w:r>
              <w:rPr>
                <w:sz w:val="18"/>
              </w:rPr>
              <w:t>Max. 6 uur beeldschermwerk/dag; onderbreking na elke 2 uur</w:t>
            </w:r>
          </w:p>
        </w:tc>
        <w:tc>
          <w:tcPr>
            <w:tcW w:type="dxa" w:w="2160"/>
          </w:tcPr>
          <w:p>
            <w:r>
              <w:rPr>
                <w:sz w:val="18"/>
              </w:rPr>
              <w:t>Art. 5.10 Arbobesluit</w:t>
            </w:r>
          </w:p>
        </w:tc>
      </w:tr>
      <w:tr>
        <w:tc>
          <w:tcPr>
            <w:tcW w:type="dxa" w:w="2160"/>
          </w:tcPr>
          <w:p>
            <w:r>
              <w:rPr>
                <w:sz w:val="18"/>
              </w:rPr>
              <w:t>C-02</w:t>
            </w:r>
          </w:p>
        </w:tc>
        <w:tc>
          <w:tcPr>
            <w:tcW w:type="dxa" w:w="2160"/>
          </w:tcPr>
          <w:p>
            <w:r>
              <w:rPr>
                <w:sz w:val="18"/>
              </w:rPr>
              <w:t>Pauzeregeling</w:t>
            </w:r>
          </w:p>
        </w:tc>
        <w:tc>
          <w:tcPr>
            <w:tcW w:type="dxa" w:w="2160"/>
          </w:tcPr>
          <w:p>
            <w:r>
              <w:rPr>
                <w:sz w:val="18"/>
              </w:rPr>
              <w:t>10 min per 2 uur onafgebroken werk, óf afwisseling niet-beeldschermtaken</w:t>
            </w:r>
          </w:p>
        </w:tc>
        <w:tc>
          <w:tcPr>
            <w:tcW w:type="dxa" w:w="2160"/>
          </w:tcPr>
          <w:p>
            <w:r>
              <w:rPr>
                <w:sz w:val="18"/>
              </w:rPr>
              <w:t>Art. 5.10 Arbobesluit</w:t>
            </w:r>
          </w:p>
        </w:tc>
      </w:tr>
      <w:tr>
        <w:tc>
          <w:tcPr>
            <w:tcW w:type="dxa" w:w="2160"/>
          </w:tcPr>
          <w:p>
            <w:r>
              <w:rPr>
                <w:sz w:val="18"/>
              </w:rPr>
              <w:t>C-03</w:t>
            </w:r>
          </w:p>
        </w:tc>
        <w:tc>
          <w:tcPr>
            <w:tcW w:type="dxa" w:w="2160"/>
          </w:tcPr>
          <w:p>
            <w:r>
              <w:rPr>
                <w:sz w:val="18"/>
              </w:rPr>
              <w:t>Taakvariatie</w:t>
            </w:r>
          </w:p>
        </w:tc>
        <w:tc>
          <w:tcPr>
            <w:tcW w:type="dxa" w:w="2160"/>
          </w:tcPr>
          <w:p>
            <w:r>
              <w:rPr>
                <w:sz w:val="18"/>
              </w:rPr>
              <w:t>Functie met uitvoerende, voorbereidende én ondersteunende taken</w:t>
            </w:r>
          </w:p>
        </w:tc>
        <w:tc>
          <w:tcPr>
            <w:tcW w:type="dxa" w:w="2160"/>
          </w:tcPr>
          <w:p>
            <w:r>
              <w:rPr>
                <w:sz w:val="18"/>
              </w:rPr>
              <w:t>Art. 5.9 Arbobesluit</w:t>
            </w:r>
          </w:p>
        </w:tc>
      </w:tr>
      <w:tr>
        <w:tc>
          <w:tcPr>
            <w:tcW w:type="dxa" w:w="2160"/>
          </w:tcPr>
          <w:p>
            <w:r>
              <w:rPr>
                <w:sz w:val="18"/>
              </w:rPr>
              <w:t>C-04</w:t>
            </w:r>
          </w:p>
        </w:tc>
        <w:tc>
          <w:tcPr>
            <w:tcW w:type="dxa" w:w="2160"/>
          </w:tcPr>
          <w:p>
            <w:r>
              <w:rPr>
                <w:sz w:val="18"/>
              </w:rPr>
              <w:t>Pauzesoftware</w:t>
            </w:r>
          </w:p>
        </w:tc>
        <w:tc>
          <w:tcPr>
            <w:tcW w:type="dxa" w:w="2160"/>
          </w:tcPr>
          <w:p>
            <w:r>
              <w:rPr>
                <w:sz w:val="18"/>
              </w:rPr>
              <w:t>Beeldschermtachograaf: registreert gebruik, forceert pauzes</w:t>
            </w:r>
          </w:p>
        </w:tc>
        <w:tc>
          <w:tcPr>
            <w:tcW w:type="dxa" w:w="2160"/>
          </w:tcPr>
          <w:p>
            <w:r>
              <w:rPr>
                <w:sz w:val="18"/>
              </w:rPr>
              <w:t>Best practice (AI-02)</w:t>
            </w:r>
          </w:p>
        </w:tc>
      </w:tr>
      <w:tr>
        <w:tc>
          <w:tcPr>
            <w:tcW w:type="dxa" w:w="2160"/>
          </w:tcPr>
          <w:p>
            <w:r>
              <w:rPr>
                <w:sz w:val="18"/>
              </w:rPr>
              <w:t>C-05</w:t>
            </w:r>
          </w:p>
        </w:tc>
        <w:tc>
          <w:tcPr>
            <w:tcW w:type="dxa" w:w="2160"/>
          </w:tcPr>
          <w:p>
            <w:r>
              <w:rPr>
                <w:sz w:val="18"/>
              </w:rPr>
              <w:t>Werkdrukbeleid</w:t>
            </w:r>
          </w:p>
        </w:tc>
        <w:tc>
          <w:tcPr>
            <w:tcW w:type="dxa" w:w="2160"/>
          </w:tcPr>
          <w:p>
            <w:r>
              <w:rPr>
                <w:sz w:val="18"/>
              </w:rPr>
              <w:t>Autonomie, planningsoverleg, werkdruk-monitoring</w:t>
            </w:r>
          </w:p>
        </w:tc>
        <w:tc>
          <w:tcPr>
            <w:tcW w:type="dxa" w:w="2160"/>
          </w:tcPr>
          <w:p>
            <w:r>
              <w:rPr>
                <w:sz w:val="18"/>
              </w:rPr>
              <w:t>AI-02 §5.1</w:t>
            </w:r>
          </w:p>
        </w:tc>
      </w:tr>
    </w:tbl>
    <w:p>
      <w:pPr>
        <w:pStyle w:val="Heading2"/>
      </w:pPr>
      <w:r>
        <w:t>3.3 Individuele Maatregelen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color w:val="FFFFFF"/>
                <w:sz w:val="18"/>
              </w:rPr>
              <w:t>ID</w:t>
            </w:r>
          </w:p>
          <w:shd w:fill="003366" w:val="clear"/>
        </w:tc>
        <w:tc>
          <w:tcPr>
            <w:tcW w:type="dxa" w:w="2160"/>
          </w:tcPr>
          <w:p>
            <w:r>
              <w:rPr>
                <w:b/>
                <w:color w:val="FFFFFF"/>
                <w:sz w:val="18"/>
              </w:rPr>
              <w:t>Maatregel</w:t>
            </w:r>
          </w:p>
          <w:shd w:fill="003366" w:val="clear"/>
        </w:tc>
        <w:tc>
          <w:tcPr>
            <w:tcW w:type="dxa" w:w="2160"/>
          </w:tcPr>
          <w:p>
            <w:r>
              <w:rPr>
                <w:b/>
                <w:color w:val="FFFFFF"/>
                <w:sz w:val="18"/>
              </w:rPr>
              <w:t>Specificatie</w:t>
            </w:r>
          </w:p>
          <w:shd w:fill="003366" w:val="clear"/>
        </w:tc>
        <w:tc>
          <w:tcPr>
            <w:tcW w:type="dxa" w:w="2160"/>
          </w:tcPr>
          <w:p>
            <w:r>
              <w:rPr>
                <w:b/>
                <w:color w:val="FFFFFF"/>
                <w:sz w:val="18"/>
              </w:rPr>
              <w:t>Wettelijke basis</w:t>
            </w:r>
          </w:p>
          <w:shd w:fill="003366" w:val="clear"/>
        </w:tc>
      </w:tr>
      <w:tr>
        <w:tc>
          <w:tcPr>
            <w:tcW w:type="dxa" w:w="2160"/>
          </w:tcPr>
          <w:p>
            <w:r>
              <w:rPr>
                <w:sz w:val="18"/>
              </w:rPr>
              <w:t>I-01</w:t>
            </w:r>
          </w:p>
        </w:tc>
        <w:tc>
          <w:tcPr>
            <w:tcW w:type="dxa" w:w="2160"/>
          </w:tcPr>
          <w:p>
            <w:r>
              <w:rPr>
                <w:sz w:val="18"/>
              </w:rPr>
              <w:t>Oogonderzoek</w:t>
            </w:r>
          </w:p>
        </w:tc>
        <w:tc>
          <w:tcPr>
            <w:tcW w:type="dxa" w:w="2160"/>
          </w:tcPr>
          <w:p>
            <w:r>
              <w:rPr>
                <w:sz w:val="18"/>
              </w:rPr>
              <w:t>Bij eerste belasting, periodiek, en bij visuele klachten</w:t>
            </w:r>
          </w:p>
        </w:tc>
        <w:tc>
          <w:tcPr>
            <w:tcW w:type="dxa" w:w="2160"/>
          </w:tcPr>
          <w:p>
            <w:r>
              <w:rPr>
                <w:sz w:val="18"/>
              </w:rPr>
              <w:t>Art. 5.11 Arbobesluit</w:t>
            </w:r>
          </w:p>
        </w:tc>
      </w:tr>
      <w:tr>
        <w:tc>
          <w:tcPr>
            <w:tcW w:type="dxa" w:w="2160"/>
          </w:tcPr>
          <w:p>
            <w:r>
              <w:rPr>
                <w:sz w:val="18"/>
              </w:rPr>
              <w:t>I-02</w:t>
            </w:r>
          </w:p>
        </w:tc>
        <w:tc>
          <w:tcPr>
            <w:tcW w:type="dxa" w:w="2160"/>
          </w:tcPr>
          <w:p>
            <w:r>
              <w:rPr>
                <w:sz w:val="18"/>
              </w:rPr>
              <w:t>Beeldschermbril</w:t>
            </w:r>
          </w:p>
        </w:tc>
        <w:tc>
          <w:tcPr>
            <w:tcW w:type="dxa" w:w="2160"/>
          </w:tcPr>
          <w:p>
            <w:r>
              <w:rPr>
                <w:sz w:val="18"/>
              </w:rPr>
              <w:t>Verstrekt door werkgever als normale correctie onvoldoende</w:t>
            </w:r>
          </w:p>
        </w:tc>
        <w:tc>
          <w:tcPr>
            <w:tcW w:type="dxa" w:w="2160"/>
          </w:tcPr>
          <w:p>
            <w:r>
              <w:rPr>
                <w:sz w:val="18"/>
              </w:rPr>
              <w:t>Art. 5.11 lid 4 Arbobesluit</w:t>
            </w:r>
          </w:p>
        </w:tc>
      </w:tr>
      <w:tr>
        <w:tc>
          <w:tcPr>
            <w:tcW w:type="dxa" w:w="2160"/>
          </w:tcPr>
          <w:p>
            <w:r>
              <w:rPr>
                <w:sz w:val="18"/>
              </w:rPr>
              <w:t>I-03</w:t>
            </w:r>
          </w:p>
        </w:tc>
        <w:tc>
          <w:tcPr>
            <w:tcW w:type="dxa" w:w="2160"/>
          </w:tcPr>
          <w:p>
            <w:r>
              <w:rPr>
                <w:sz w:val="18"/>
              </w:rPr>
              <w:t>Werkplekinstructie</w:t>
            </w:r>
          </w:p>
        </w:tc>
        <w:tc>
          <w:tcPr>
            <w:tcW w:type="dxa" w:w="2160"/>
          </w:tcPr>
          <w:p>
            <w:r>
              <w:rPr>
                <w:sz w:val="18"/>
              </w:rPr>
              <w:t>Voorlichting over correcte houding, instelling werkplek, pauzes</w:t>
            </w:r>
          </w:p>
        </w:tc>
        <w:tc>
          <w:tcPr>
            <w:tcW w:type="dxa" w:w="2160"/>
          </w:tcPr>
          <w:p>
            <w:r>
              <w:rPr>
                <w:sz w:val="18"/>
              </w:rPr>
              <w:t>Art. 5.5 Arbobesluit</w:t>
            </w:r>
          </w:p>
        </w:tc>
      </w:tr>
      <w:tr>
        <w:tc>
          <w:tcPr>
            <w:tcW w:type="dxa" w:w="2160"/>
          </w:tcPr>
          <w:p>
            <w:r>
              <w:rPr>
                <w:sz w:val="18"/>
              </w:rPr>
              <w:t>I-04</w:t>
            </w:r>
          </w:p>
        </w:tc>
        <w:tc>
          <w:tcPr>
            <w:tcW w:type="dxa" w:w="2160"/>
          </w:tcPr>
          <w:p>
            <w:r>
              <w:rPr>
                <w:sz w:val="18"/>
              </w:rPr>
              <w:t>Voetensteun</w:t>
            </w:r>
          </w:p>
        </w:tc>
        <w:tc>
          <w:tcPr>
            <w:tcW w:type="dxa" w:w="2160"/>
          </w:tcPr>
          <w:p>
            <w:r>
              <w:rPr>
                <w:sz w:val="18"/>
              </w:rPr>
              <w:t>Indien voeten niet vlak op de vloer</w:t>
            </w:r>
          </w:p>
        </w:tc>
        <w:tc>
          <w:tcPr>
            <w:tcW w:type="dxa" w:w="2160"/>
          </w:tcPr>
          <w:p>
            <w:r>
              <w:rPr>
                <w:sz w:val="18"/>
              </w:rPr>
              <w:t>Art. 5.1 Arboregeling</w:t>
            </w:r>
          </w:p>
        </w:tc>
      </w:tr>
      <w:tr>
        <w:tc>
          <w:tcPr>
            <w:tcW w:type="dxa" w:w="2160"/>
          </w:tcPr>
          <w:p>
            <w:r>
              <w:rPr>
                <w:sz w:val="18"/>
              </w:rPr>
              <w:t>I-05</w:t>
            </w:r>
          </w:p>
        </w:tc>
        <w:tc>
          <w:tcPr>
            <w:tcW w:type="dxa" w:w="2160"/>
          </w:tcPr>
          <w:p>
            <w:r>
              <w:rPr>
                <w:sz w:val="18"/>
              </w:rPr>
              <w:t>Documenthouder</w:t>
            </w:r>
          </w:p>
        </w:tc>
        <w:tc>
          <w:tcPr>
            <w:tcW w:type="dxa" w:w="2160"/>
          </w:tcPr>
          <w:p>
            <w:r>
              <w:rPr>
                <w:sz w:val="18"/>
              </w:rPr>
              <w:t>Op dezelfde hoogte en afstand als beeldscherm</w:t>
            </w:r>
          </w:p>
        </w:tc>
        <w:tc>
          <w:tcPr>
            <w:tcW w:type="dxa" w:w="2160"/>
          </w:tcPr>
          <w:p>
            <w:r>
              <w:rPr>
                <w:sz w:val="18"/>
              </w:rPr>
              <w:t>Art. 5.1 Arboregeling</w:t>
            </w:r>
          </w:p>
        </w:tc>
      </w:tr>
    </w:tbl>
    <w:p>
      <w:r>
        <w:br w:type="page"/>
      </w:r>
    </w:p>
    <w:p>
      <w:pPr>
        <w:pStyle w:val="Heading1"/>
      </w:pPr>
      <w:r>
        <w:rPr>
          <w:color w:val="003366"/>
        </w:rPr>
        <w:t>4. Rollen en Verantwoordelijkheden (RASCI)</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color w:val="FFFFFF"/>
                <w:sz w:val="16"/>
              </w:rPr>
              <w:t>Activiteit</w:t>
            </w:r>
          </w:p>
          <w:shd w:fill="003366" w:val="clear"/>
        </w:tc>
        <w:tc>
          <w:tcPr>
            <w:tcW w:type="dxa" w:w="1440"/>
          </w:tcPr>
          <w:p>
            <w:r>
              <w:rPr>
                <w:b/>
                <w:color w:val="FFFFFF"/>
                <w:sz w:val="16"/>
              </w:rPr>
              <w:t>Werkgever</w:t>
            </w:r>
          </w:p>
          <w:shd w:fill="003366" w:val="clear"/>
        </w:tc>
        <w:tc>
          <w:tcPr>
            <w:tcW w:type="dxa" w:w="1440"/>
          </w:tcPr>
          <w:p>
            <w:r>
              <w:rPr>
                <w:b/>
                <w:color w:val="FFFFFF"/>
                <w:sz w:val="16"/>
              </w:rPr>
              <w:t>Manager</w:t>
            </w:r>
          </w:p>
          <w:shd w:fill="003366" w:val="clear"/>
        </w:tc>
        <w:tc>
          <w:tcPr>
            <w:tcW w:type="dxa" w:w="1440"/>
          </w:tcPr>
          <w:p>
            <w:r>
              <w:rPr>
                <w:b/>
                <w:color w:val="FFFFFF"/>
                <w:sz w:val="16"/>
              </w:rPr>
              <w:t>Werknemer</w:t>
            </w:r>
          </w:p>
          <w:shd w:fill="003366" w:val="clear"/>
        </w:tc>
        <w:tc>
          <w:tcPr>
            <w:tcW w:type="dxa" w:w="1440"/>
          </w:tcPr>
          <w:p>
            <w:r>
              <w:rPr>
                <w:b/>
                <w:color w:val="FFFFFF"/>
                <w:sz w:val="16"/>
              </w:rPr>
              <w:t>Preventiemedewerker</w:t>
            </w:r>
          </w:p>
          <w:shd w:fill="003366" w:val="clear"/>
        </w:tc>
        <w:tc>
          <w:tcPr>
            <w:tcW w:type="dxa" w:w="1440"/>
          </w:tcPr>
          <w:p>
            <w:r>
              <w:rPr>
                <w:b/>
                <w:color w:val="FFFFFF"/>
                <w:sz w:val="16"/>
              </w:rPr>
              <w:t>Arbodienst</w:t>
            </w:r>
          </w:p>
          <w:shd w:fill="003366" w:val="clear"/>
        </w:tc>
      </w:tr>
      <w:tr>
        <w:tc>
          <w:tcPr>
            <w:tcW w:type="dxa" w:w="1440"/>
          </w:tcPr>
          <w:p>
            <w:r>
              <w:rPr>
                <w:sz w:val="16"/>
              </w:rPr>
              <w:t>RI&amp;E uitvoeren en actualiseren</w:t>
            </w:r>
          </w:p>
        </w:tc>
        <w:tc>
          <w:tcPr>
            <w:tcW w:type="dxa" w:w="1440"/>
          </w:tcPr>
          <w:p>
            <w:r>
              <w:rPr>
                <w:sz w:val="16"/>
              </w:rPr>
              <w:t>Werkgever</w:t>
            </w:r>
          </w:p>
        </w:tc>
        <w:tc>
          <w:tcPr>
            <w:tcW w:type="dxa" w:w="1440"/>
          </w:tcPr>
          <w:p>
            <w:r>
              <w:rPr>
                <w:sz w:val="16"/>
              </w:rPr>
              <w:t>Manager</w:t>
            </w:r>
          </w:p>
        </w:tc>
        <w:tc>
          <w:tcPr>
            <w:tcW w:type="dxa" w:w="1440"/>
          </w:tcPr>
          <w:p>
            <w:r>
              <w:rPr>
                <w:sz w:val="16"/>
              </w:rPr>
              <w:t>Informed</w:t>
            </w:r>
          </w:p>
        </w:tc>
        <w:tc>
          <w:tcPr>
            <w:tcW w:type="dxa" w:w="1440"/>
          </w:tcPr>
          <w:p>
            <w:r>
              <w:rPr>
                <w:sz w:val="16"/>
              </w:rPr>
              <w:t>Support</w:t>
            </w:r>
          </w:p>
        </w:tc>
        <w:tc>
          <w:tcPr>
            <w:tcW w:type="dxa" w:w="1440"/>
          </w:tcPr>
          <w:p>
            <w:r>
              <w:rPr>
                <w:sz w:val="16"/>
              </w:rPr>
              <w:t>Consulted</w:t>
            </w:r>
          </w:p>
        </w:tc>
      </w:tr>
      <w:tr>
        <w:tc>
          <w:tcPr>
            <w:tcW w:type="dxa" w:w="1440"/>
          </w:tcPr>
          <w:p>
            <w:r>
              <w:rPr>
                <w:sz w:val="16"/>
              </w:rPr>
              <w:t>Ergonomische werkplek inrichten</w:t>
            </w:r>
          </w:p>
        </w:tc>
        <w:tc>
          <w:tcPr>
            <w:tcW w:type="dxa" w:w="1440"/>
          </w:tcPr>
          <w:p>
            <w:r>
              <w:rPr>
                <w:sz w:val="16"/>
              </w:rPr>
              <w:t>Werkgever</w:t>
            </w:r>
          </w:p>
        </w:tc>
        <w:tc>
          <w:tcPr>
            <w:tcW w:type="dxa" w:w="1440"/>
          </w:tcPr>
          <w:p>
            <w:r>
              <w:rPr>
                <w:sz w:val="16"/>
              </w:rPr>
              <w:t>Manager</w:t>
            </w:r>
          </w:p>
        </w:tc>
        <w:tc>
          <w:tcPr>
            <w:tcW w:type="dxa" w:w="1440"/>
          </w:tcPr>
          <w:p>
            <w:r>
              <w:rPr>
                <w:sz w:val="16"/>
              </w:rPr>
              <w:t>Consulted</w:t>
            </w:r>
          </w:p>
        </w:tc>
        <w:tc>
          <w:tcPr>
            <w:tcW w:type="dxa" w:w="1440"/>
          </w:tcPr>
          <w:p>
            <w:r>
              <w:rPr>
                <w:sz w:val="16"/>
              </w:rPr>
              <w:t>Informed</w:t>
            </w:r>
          </w:p>
        </w:tc>
        <w:tc>
          <w:tcPr>
            <w:tcW w:type="dxa" w:w="1440"/>
          </w:tcPr>
          <w:p>
            <w:r>
              <w:rPr>
                <w:sz w:val="16"/>
              </w:rPr>
              <w:t>Consulted</w:t>
            </w:r>
          </w:p>
        </w:tc>
      </w:tr>
      <w:tr>
        <w:tc>
          <w:tcPr>
            <w:tcW w:type="dxa" w:w="1440"/>
          </w:tcPr>
          <w:p>
            <w:r>
              <w:rPr>
                <w:sz w:val="16"/>
              </w:rPr>
              <w:t>Pauzeregeling implementeren</w:t>
            </w:r>
          </w:p>
        </w:tc>
        <w:tc>
          <w:tcPr>
            <w:tcW w:type="dxa" w:w="1440"/>
          </w:tcPr>
          <w:p>
            <w:r>
              <w:rPr>
                <w:sz w:val="16"/>
              </w:rPr>
              <w:t>Werkgever + Werknemer</w:t>
            </w:r>
          </w:p>
        </w:tc>
        <w:tc>
          <w:tcPr>
            <w:tcW w:type="dxa" w:w="1440"/>
          </w:tcPr>
          <w:p>
            <w:r>
              <w:rPr>
                <w:sz w:val="16"/>
              </w:rPr>
              <w:t>Manager</w:t>
            </w:r>
          </w:p>
        </w:tc>
        <w:tc>
          <w:tcPr>
            <w:tcW w:type="dxa" w:w="1440"/>
          </w:tcPr>
          <w:p>
            <w:r>
              <w:rPr>
                <w:sz w:val="16"/>
              </w:rPr>
              <w:t>Responsible</w:t>
            </w:r>
          </w:p>
        </w:tc>
        <w:tc>
          <w:tcPr>
            <w:tcW w:type="dxa" w:w="1440"/>
          </w:tcPr>
          <w:p>
            <w:r>
              <w:rPr>
                <w:sz w:val="16"/>
              </w:rPr>
              <w:t>Informed</w:t>
            </w:r>
          </w:p>
        </w:tc>
        <w:tc>
          <w:tcPr>
            <w:tcW w:type="dxa" w:w="1440"/>
          </w:tcPr>
          <w:p>
            <w:r>
              <w:rPr>
                <w:sz w:val="16"/>
              </w:rPr>
              <w:t>—</w:t>
            </w:r>
          </w:p>
        </w:tc>
      </w:tr>
      <w:tr>
        <w:tc>
          <w:tcPr>
            <w:tcW w:type="dxa" w:w="1440"/>
          </w:tcPr>
          <w:p>
            <w:r>
              <w:rPr>
                <w:sz w:val="16"/>
              </w:rPr>
              <w:t>Oogonderzoek aanbieden</w:t>
            </w:r>
          </w:p>
        </w:tc>
        <w:tc>
          <w:tcPr>
            <w:tcW w:type="dxa" w:w="1440"/>
          </w:tcPr>
          <w:p>
            <w:r>
              <w:rPr>
                <w:sz w:val="16"/>
              </w:rPr>
              <w:t>Werkgever</w:t>
            </w:r>
          </w:p>
        </w:tc>
        <w:tc>
          <w:tcPr>
            <w:tcW w:type="dxa" w:w="1440"/>
          </w:tcPr>
          <w:p>
            <w:r>
              <w:rPr>
                <w:sz w:val="16"/>
              </w:rPr>
              <w:t>Manager</w:t>
            </w:r>
          </w:p>
        </w:tc>
        <w:tc>
          <w:tcPr>
            <w:tcW w:type="dxa" w:w="1440"/>
          </w:tcPr>
          <w:p>
            <w:r>
              <w:rPr>
                <w:sz w:val="16"/>
              </w:rPr>
              <w:t>Responsible</w:t>
            </w:r>
          </w:p>
        </w:tc>
        <w:tc>
          <w:tcPr>
            <w:tcW w:type="dxa" w:w="1440"/>
          </w:tcPr>
          <w:p>
            <w:r>
              <w:rPr>
                <w:sz w:val="16"/>
              </w:rPr>
              <w:t>Informed</w:t>
            </w:r>
          </w:p>
        </w:tc>
        <w:tc>
          <w:tcPr>
            <w:tcW w:type="dxa" w:w="1440"/>
          </w:tcPr>
          <w:p>
            <w:r>
              <w:rPr>
                <w:sz w:val="16"/>
              </w:rPr>
              <w:t>Consulted</w:t>
            </w:r>
          </w:p>
        </w:tc>
      </w:tr>
      <w:tr>
        <w:tc>
          <w:tcPr>
            <w:tcW w:type="dxa" w:w="1440"/>
          </w:tcPr>
          <w:p>
            <w:r>
              <w:rPr>
                <w:sz w:val="16"/>
              </w:rPr>
              <w:t>Werkplekinstructie geven</w:t>
            </w:r>
          </w:p>
        </w:tc>
        <w:tc>
          <w:tcPr>
            <w:tcW w:type="dxa" w:w="1440"/>
          </w:tcPr>
          <w:p>
            <w:r>
              <w:rPr>
                <w:sz w:val="16"/>
              </w:rPr>
              <w:t>Werkgever</w:t>
            </w:r>
          </w:p>
        </w:tc>
        <w:tc>
          <w:tcPr>
            <w:tcW w:type="dxa" w:w="1440"/>
          </w:tcPr>
          <w:p>
            <w:r>
              <w:rPr>
                <w:sz w:val="16"/>
              </w:rPr>
              <w:t>Manager</w:t>
            </w:r>
          </w:p>
        </w:tc>
        <w:tc>
          <w:tcPr>
            <w:tcW w:type="dxa" w:w="1440"/>
          </w:tcPr>
          <w:p>
            <w:r>
              <w:rPr>
                <w:sz w:val="16"/>
              </w:rPr>
              <w:t>Responsible</w:t>
            </w:r>
          </w:p>
        </w:tc>
        <w:tc>
          <w:tcPr>
            <w:tcW w:type="dxa" w:w="1440"/>
          </w:tcPr>
          <w:p>
            <w:r>
              <w:rPr>
                <w:sz w:val="16"/>
              </w:rPr>
              <w:t>Support</w:t>
            </w:r>
          </w:p>
        </w:tc>
        <w:tc>
          <w:tcPr>
            <w:tcW w:type="dxa" w:w="1440"/>
          </w:tcPr>
          <w:p>
            <w:r>
              <w:rPr>
                <w:sz w:val="16"/>
              </w:rPr>
              <w:t>Consulted</w:t>
            </w:r>
          </w:p>
        </w:tc>
      </w:tr>
      <w:tr>
        <w:tc>
          <w:tcPr>
            <w:tcW w:type="dxa" w:w="1440"/>
          </w:tcPr>
          <w:p>
            <w:r>
              <w:rPr>
                <w:sz w:val="16"/>
              </w:rPr>
              <w:t>Werkplek correct instellen</w:t>
            </w:r>
          </w:p>
        </w:tc>
        <w:tc>
          <w:tcPr>
            <w:tcW w:type="dxa" w:w="1440"/>
          </w:tcPr>
          <w:p>
            <w:r>
              <w:rPr>
                <w:sz w:val="16"/>
              </w:rPr>
              <w:t>Informed</w:t>
            </w:r>
          </w:p>
        </w:tc>
        <w:tc>
          <w:tcPr>
            <w:tcW w:type="dxa" w:w="1440"/>
          </w:tcPr>
          <w:p>
            <w:r>
              <w:rPr>
                <w:sz w:val="16"/>
              </w:rPr>
              <w:t>Consulted</w:t>
            </w:r>
          </w:p>
        </w:tc>
        <w:tc>
          <w:tcPr>
            <w:tcW w:type="dxa" w:w="1440"/>
          </w:tcPr>
          <w:p>
            <w:r>
              <w:rPr>
                <w:sz w:val="16"/>
              </w:rPr>
              <w:t>Responsible</w:t>
            </w:r>
          </w:p>
        </w:tc>
        <w:tc>
          <w:tcPr>
            <w:tcW w:type="dxa" w:w="1440"/>
          </w:tcPr>
          <w:p>
            <w:r>
              <w:rPr>
                <w:sz w:val="16"/>
              </w:rPr>
              <w:t>Support</w:t>
            </w:r>
          </w:p>
        </w:tc>
        <w:tc>
          <w:tcPr>
            <w:tcW w:type="dxa" w:w="1440"/>
          </w:tcPr>
          <w:p>
            <w:r>
              <w:rPr>
                <w:sz w:val="16"/>
              </w:rPr>
              <w:t>Consulted</w:t>
            </w:r>
          </w:p>
        </w:tc>
      </w:tr>
      <w:tr>
        <w:tc>
          <w:tcPr>
            <w:tcW w:type="dxa" w:w="1440"/>
          </w:tcPr>
          <w:p>
            <w:r>
              <w:rPr>
                <w:sz w:val="16"/>
              </w:rPr>
              <w:t>Pauzes nemen</w:t>
            </w:r>
          </w:p>
        </w:tc>
        <w:tc>
          <w:tcPr>
            <w:tcW w:type="dxa" w:w="1440"/>
          </w:tcPr>
          <w:p>
            <w:r>
              <w:rPr>
                <w:sz w:val="16"/>
              </w:rPr>
              <w:t>Consulted</w:t>
            </w:r>
          </w:p>
        </w:tc>
        <w:tc>
          <w:tcPr>
            <w:tcW w:type="dxa" w:w="1440"/>
          </w:tcPr>
          <w:p>
            <w:r>
              <w:rPr>
                <w:sz w:val="16"/>
              </w:rPr>
              <w:t>Consulted</w:t>
            </w:r>
          </w:p>
        </w:tc>
        <w:tc>
          <w:tcPr>
            <w:tcW w:type="dxa" w:w="1440"/>
          </w:tcPr>
          <w:p>
            <w:r>
              <w:rPr>
                <w:sz w:val="16"/>
              </w:rPr>
              <w:t>Responsible</w:t>
            </w:r>
          </w:p>
        </w:tc>
        <w:tc>
          <w:tcPr>
            <w:tcW w:type="dxa" w:w="1440"/>
          </w:tcPr>
          <w:p>
            <w:r>
              <w:rPr>
                <w:sz w:val="16"/>
              </w:rPr>
              <w:t>—</w:t>
            </w:r>
          </w:p>
        </w:tc>
        <w:tc>
          <w:tcPr>
            <w:tcW w:type="dxa" w:w="1440"/>
          </w:tcPr>
          <w:p>
            <w:r>
              <w:rPr>
                <w:sz w:val="16"/>
              </w:rPr>
              <w:t>—</w:t>
            </w:r>
          </w:p>
        </w:tc>
      </w:tr>
      <w:tr>
        <w:tc>
          <w:tcPr>
            <w:tcW w:type="dxa" w:w="1440"/>
          </w:tcPr>
          <w:p>
            <w:r>
              <w:rPr>
                <w:sz w:val="16"/>
              </w:rPr>
              <w:t>Klachten tijdig melden</w:t>
            </w:r>
          </w:p>
        </w:tc>
        <w:tc>
          <w:tcPr>
            <w:tcW w:type="dxa" w:w="1440"/>
          </w:tcPr>
          <w:p>
            <w:r>
              <w:rPr>
                <w:sz w:val="16"/>
              </w:rPr>
              <w:t>Informed</w:t>
            </w:r>
          </w:p>
        </w:tc>
        <w:tc>
          <w:tcPr>
            <w:tcW w:type="dxa" w:w="1440"/>
          </w:tcPr>
          <w:p>
            <w:r>
              <w:rPr>
                <w:sz w:val="16"/>
              </w:rPr>
              <w:t>Informed</w:t>
            </w:r>
          </w:p>
        </w:tc>
        <w:tc>
          <w:tcPr>
            <w:tcW w:type="dxa" w:w="1440"/>
          </w:tcPr>
          <w:p>
            <w:r>
              <w:rPr>
                <w:sz w:val="16"/>
              </w:rPr>
              <w:t>Responsible</w:t>
            </w:r>
          </w:p>
        </w:tc>
        <w:tc>
          <w:tcPr>
            <w:tcW w:type="dxa" w:w="1440"/>
          </w:tcPr>
          <w:p>
            <w:r>
              <w:rPr>
                <w:sz w:val="16"/>
              </w:rPr>
              <w:t>Support</w:t>
            </w:r>
          </w:p>
        </w:tc>
        <w:tc>
          <w:tcPr>
            <w:tcW w:type="dxa" w:w="1440"/>
          </w:tcPr>
          <w:p>
            <w:r>
              <w:rPr>
                <w:sz w:val="16"/>
              </w:rPr>
              <w:t>Consulted</w:t>
            </w:r>
          </w:p>
        </w:tc>
      </w:tr>
    </w:tbl>
    <w:p>
      <w:r>
        <w:br w:type="page"/>
      </w:r>
    </w:p>
    <w:p>
      <w:pPr>
        <w:pStyle w:val="Heading1"/>
      </w:pPr>
      <w:r>
        <w:rPr>
          <w:color w:val="003366"/>
        </w:rPr>
        <w:t>5. Evaluatie en Actieplan</w:t>
      </w:r>
    </w:p>
    <w:p>
      <w:pPr>
        <w:pStyle w:val="Heading2"/>
      </w:pPr>
      <w:r>
        <w:t>5.1 Evaluatiecyclus</w:t>
      </w:r>
    </w:p>
    <w:p>
      <w:r>
        <w:t>De RI&amp;E wordt geëvalueerd en waar nodig geactualiseerd in de volgende situaties:</w:t>
      </w:r>
    </w:p>
    <w:p>
      <w:pPr>
        <w:pStyle w:val="ListBullet"/>
      </w:pPr>
      <w:r>
        <w:t>Bij wijzigingen in de werkorganisatie, werkplekinrichting of apparatuur</w:t>
      </w:r>
    </w:p>
    <w:p>
      <w:pPr>
        <w:pStyle w:val="ListBullet"/>
      </w:pPr>
      <w:r>
        <w:t>Na signalering van gezondheidsklachten door werknemers</w:t>
      </w:r>
    </w:p>
    <w:p>
      <w:pPr>
        <w:pStyle w:val="ListBullet"/>
      </w:pPr>
      <w:r>
        <w:t>Bij wetswijzigingen of nieuwe inzichten (minimaal jaarlijks)</w:t>
      </w:r>
    </w:p>
    <w:p>
      <w:pPr>
        <w:pStyle w:val="ListBullet"/>
      </w:pPr>
      <w:r>
        <w:t>Na ongevallen of bijna-ongevallen gerelateerd aan beeldschermwerk</w:t>
      </w:r>
    </w:p>
    <w:p>
      <w:pPr>
        <w:pStyle w:val="ListBullet"/>
      </w:pPr>
      <w:r>
        <w:t>Bij de inzet van nieuwe medewerkers op beeldschermwerkplekken</w:t>
      </w:r>
    </w:p>
    <w:p>
      <w:pPr>
        <w:pStyle w:val="Heading2"/>
      </w:pPr>
      <w:r>
        <w:t>5.2 Actieplan Template</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color w:val="FFFFFF"/>
                <w:sz w:val="16"/>
              </w:rPr>
              <w:t>ID</w:t>
            </w:r>
          </w:p>
          <w:shd w:fill="003366" w:val="clear"/>
        </w:tc>
        <w:tc>
          <w:tcPr>
            <w:tcW w:type="dxa" w:w="1440"/>
          </w:tcPr>
          <w:p>
            <w:r>
              <w:rPr>
                <w:b/>
                <w:color w:val="FFFFFF"/>
                <w:sz w:val="16"/>
              </w:rPr>
              <w:t>Maatregel</w:t>
            </w:r>
          </w:p>
          <w:shd w:fill="003366" w:val="clear"/>
        </w:tc>
        <w:tc>
          <w:tcPr>
            <w:tcW w:type="dxa" w:w="1440"/>
          </w:tcPr>
          <w:p>
            <w:r>
              <w:rPr>
                <w:b/>
                <w:color w:val="FFFFFF"/>
                <w:sz w:val="16"/>
              </w:rPr>
              <w:t>Verantwoordelijke</w:t>
            </w:r>
          </w:p>
          <w:shd w:fill="003366" w:val="clear"/>
        </w:tc>
        <w:tc>
          <w:tcPr>
            <w:tcW w:type="dxa" w:w="1440"/>
          </w:tcPr>
          <w:p>
            <w:r>
              <w:rPr>
                <w:b/>
                <w:color w:val="FFFFFF"/>
                <w:sz w:val="16"/>
              </w:rPr>
              <w:t>Deadline</w:t>
            </w:r>
          </w:p>
          <w:shd w:fill="003366" w:val="clear"/>
        </w:tc>
        <w:tc>
          <w:tcPr>
            <w:tcW w:type="dxa" w:w="1440"/>
          </w:tcPr>
          <w:p>
            <w:r>
              <w:rPr>
                <w:b/>
                <w:color w:val="FFFFFF"/>
                <w:sz w:val="16"/>
              </w:rPr>
              <w:t>Status</w:t>
            </w:r>
          </w:p>
          <w:shd w:fill="003366" w:val="clear"/>
        </w:tc>
        <w:tc>
          <w:tcPr>
            <w:tcW w:type="dxa" w:w="1440"/>
          </w:tcPr>
          <w:p>
            <w:r>
              <w:rPr>
                <w:b/>
                <w:color w:val="FFFFFF"/>
                <w:sz w:val="16"/>
              </w:rPr>
              <w:t>Prioriteit</w:t>
            </w:r>
          </w:p>
          <w:shd w:fill="003366" w:val="clear"/>
        </w:tc>
      </w:tr>
      <w:tr>
        <w:tc>
          <w:tcPr>
            <w:tcW w:type="dxa" w:w="1440"/>
          </w:tcPr>
          <w:p>
            <w:r>
              <w:rPr>
                <w:sz w:val="16"/>
              </w:rPr>
              <w:t>A-01</w:t>
            </w:r>
          </w:p>
        </w:tc>
        <w:tc>
          <w:tcPr>
            <w:tcW w:type="dxa" w:w="1440"/>
          </w:tcPr>
          <w:p>
            <w:r>
              <w:rPr>
                <w:sz w:val="16"/>
              </w:rPr>
              <w:t>[Omschrijving maatregel]</w:t>
            </w:r>
          </w:p>
        </w:tc>
        <w:tc>
          <w:tcPr>
            <w:tcW w:type="dxa" w:w="1440"/>
          </w:tcPr>
          <w:p>
            <w:r>
              <w:rPr>
                <w:sz w:val="16"/>
              </w:rPr>
              <w:t>[Verantwoordelijke]</w:t>
            </w:r>
          </w:p>
        </w:tc>
        <w:tc>
          <w:tcPr>
            <w:tcW w:type="dxa" w:w="1440"/>
          </w:tcPr>
          <w:p>
            <w:r>
              <w:rPr>
                <w:sz w:val="16"/>
              </w:rPr>
              <w:t>[Deadline]</w:t>
            </w:r>
          </w:p>
        </w:tc>
        <w:tc>
          <w:tcPr>
            <w:tcW w:type="dxa" w:w="1440"/>
          </w:tcPr>
          <w:p>
            <w:r>
              <w:rPr>
                <w:sz w:val="16"/>
              </w:rPr>
              <w:t>[Status: Open / In uitvoering / Afgerond]</w:t>
            </w:r>
          </w:p>
        </w:tc>
        <w:tc>
          <w:tcPr>
            <w:tcW w:type="dxa" w:w="1440"/>
          </w:tcPr>
          <w:p>
            <w:r>
              <w:rPr>
                <w:sz w:val="16"/>
              </w:rPr>
              <w:t>[Prioriteit: Hoog / Middel / Laag]</w:t>
            </w:r>
          </w:p>
        </w:tc>
      </w:tr>
      <w:tr>
        <w:tc>
          <w:tcPr>
            <w:tcW w:type="dxa" w:w="1440"/>
          </w:tcPr>
          <w:p>
            <w:r>
              <w:rPr>
                <w:sz w:val="16"/>
              </w:rPr>
              <w:t>A-02</w:t>
            </w:r>
          </w:p>
        </w:tc>
        <w:tc>
          <w:tcPr>
            <w:tcW w:type="dxa" w:w="1440"/>
          </w:tcPr>
          <w:p>
            <w:r>
              <w:rPr>
                <w:sz w:val="16"/>
              </w:rPr>
            </w:r>
          </w:p>
        </w:tc>
        <w:tc>
          <w:tcPr>
            <w:tcW w:type="dxa" w:w="1440"/>
          </w:tcPr>
          <w:p>
            <w:r>
              <w:rPr>
                <w:sz w:val="16"/>
              </w:rPr>
            </w:r>
          </w:p>
        </w:tc>
        <w:tc>
          <w:tcPr>
            <w:tcW w:type="dxa" w:w="1440"/>
          </w:tcPr>
          <w:p>
            <w:r>
              <w:rPr>
                <w:sz w:val="16"/>
              </w:rPr>
            </w:r>
          </w:p>
        </w:tc>
        <w:tc>
          <w:tcPr>
            <w:tcW w:type="dxa" w:w="1440"/>
          </w:tcPr>
          <w:p>
            <w:r>
              <w:rPr>
                <w:sz w:val="16"/>
              </w:rPr>
            </w:r>
          </w:p>
        </w:tc>
        <w:tc>
          <w:tcPr>
            <w:tcW w:type="dxa" w:w="1440"/>
          </w:tcPr>
          <w:p>
            <w:r>
              <w:rPr>
                <w:sz w:val="16"/>
              </w:rPr>
            </w:r>
          </w:p>
        </w:tc>
      </w:tr>
      <w:tr>
        <w:tc>
          <w:tcPr>
            <w:tcW w:type="dxa" w:w="1440"/>
          </w:tcPr>
          <w:p>
            <w:r>
              <w:rPr>
                <w:sz w:val="16"/>
              </w:rPr>
              <w:t>A-03</w:t>
            </w:r>
          </w:p>
        </w:tc>
        <w:tc>
          <w:tcPr>
            <w:tcW w:type="dxa" w:w="1440"/>
          </w:tcPr>
          <w:p>
            <w:r>
              <w:rPr>
                <w:sz w:val="16"/>
              </w:rPr>
            </w:r>
          </w:p>
        </w:tc>
        <w:tc>
          <w:tcPr>
            <w:tcW w:type="dxa" w:w="1440"/>
          </w:tcPr>
          <w:p>
            <w:r>
              <w:rPr>
                <w:sz w:val="16"/>
              </w:rPr>
            </w:r>
          </w:p>
        </w:tc>
        <w:tc>
          <w:tcPr>
            <w:tcW w:type="dxa" w:w="1440"/>
          </w:tcPr>
          <w:p>
            <w:r>
              <w:rPr>
                <w:sz w:val="16"/>
              </w:rPr>
            </w:r>
          </w:p>
        </w:tc>
        <w:tc>
          <w:tcPr>
            <w:tcW w:type="dxa" w:w="1440"/>
          </w:tcPr>
          <w:p>
            <w:r>
              <w:rPr>
                <w:sz w:val="16"/>
              </w:rPr>
            </w:r>
          </w:p>
        </w:tc>
        <w:tc>
          <w:tcPr>
            <w:tcW w:type="dxa" w:w="1440"/>
          </w:tcPr>
          <w:p>
            <w:r>
              <w:rPr>
                <w:sz w:val="16"/>
              </w:rPr>
            </w:r>
          </w:p>
        </w:tc>
      </w:tr>
      <w:tr>
        <w:tc>
          <w:tcPr>
            <w:tcW w:type="dxa" w:w="1440"/>
          </w:tcPr>
          <w:p>
            <w:r>
              <w:rPr>
                <w:sz w:val="16"/>
              </w:rPr>
              <w:t>A-04</w:t>
            </w:r>
          </w:p>
        </w:tc>
        <w:tc>
          <w:tcPr>
            <w:tcW w:type="dxa" w:w="1440"/>
          </w:tcPr>
          <w:p>
            <w:r>
              <w:rPr>
                <w:sz w:val="16"/>
              </w:rPr>
            </w:r>
          </w:p>
        </w:tc>
        <w:tc>
          <w:tcPr>
            <w:tcW w:type="dxa" w:w="1440"/>
          </w:tcPr>
          <w:p>
            <w:r>
              <w:rPr>
                <w:sz w:val="16"/>
              </w:rPr>
            </w:r>
          </w:p>
        </w:tc>
        <w:tc>
          <w:tcPr>
            <w:tcW w:type="dxa" w:w="1440"/>
          </w:tcPr>
          <w:p>
            <w:r>
              <w:rPr>
                <w:sz w:val="16"/>
              </w:rPr>
            </w:r>
          </w:p>
        </w:tc>
        <w:tc>
          <w:tcPr>
            <w:tcW w:type="dxa" w:w="1440"/>
          </w:tcPr>
          <w:p>
            <w:r>
              <w:rPr>
                <w:sz w:val="16"/>
              </w:rPr>
            </w:r>
          </w:p>
        </w:tc>
        <w:tc>
          <w:tcPr>
            <w:tcW w:type="dxa" w:w="1440"/>
          </w:tcPr>
          <w:p>
            <w:r>
              <w:rPr>
                <w:sz w:val="16"/>
              </w:rPr>
            </w:r>
          </w:p>
        </w:tc>
      </w:tr>
      <w:tr>
        <w:tc>
          <w:tcPr>
            <w:tcW w:type="dxa" w:w="1440"/>
          </w:tcPr>
          <w:p>
            <w:r>
              <w:rPr>
                <w:sz w:val="16"/>
              </w:rPr>
              <w:t>A-05</w:t>
            </w:r>
          </w:p>
        </w:tc>
        <w:tc>
          <w:tcPr>
            <w:tcW w:type="dxa" w:w="1440"/>
          </w:tcPr>
          <w:p>
            <w:r>
              <w:rPr>
                <w:sz w:val="16"/>
              </w:rPr>
            </w:r>
          </w:p>
        </w:tc>
        <w:tc>
          <w:tcPr>
            <w:tcW w:type="dxa" w:w="1440"/>
          </w:tcPr>
          <w:p>
            <w:r>
              <w:rPr>
                <w:sz w:val="16"/>
              </w:rPr>
            </w:r>
          </w:p>
        </w:tc>
        <w:tc>
          <w:tcPr>
            <w:tcW w:type="dxa" w:w="1440"/>
          </w:tcPr>
          <w:p>
            <w:r>
              <w:rPr>
                <w:sz w:val="16"/>
              </w:rPr>
            </w:r>
          </w:p>
        </w:tc>
        <w:tc>
          <w:tcPr>
            <w:tcW w:type="dxa" w:w="1440"/>
          </w:tcPr>
          <w:p>
            <w:r>
              <w:rPr>
                <w:sz w:val="16"/>
              </w:rPr>
            </w:r>
          </w:p>
        </w:tc>
        <w:tc>
          <w:tcPr>
            <w:tcW w:type="dxa" w:w="1440"/>
          </w:tcPr>
          <w:p>
            <w:r>
              <w:rPr>
                <w:sz w:val="16"/>
              </w:rPr>
            </w:r>
          </w:p>
        </w:tc>
      </w:tr>
    </w:tbl>
    <w:p>
      <w:r>
        <w:br w:type="page"/>
      </w:r>
    </w:p>
    <w:p>
      <w:pPr>
        <w:pStyle w:val="Heading1"/>
      </w:pPr>
      <w:r>
        <w:rPr>
          <w:color w:val="003366"/>
        </w:rPr>
        <w:t>6. Ondertekening</w:t>
      </w:r>
    </w:p>
    <w:p>
      <w:r>
        <w:t>Deze RI&amp;E is opgesteld, beoordeeld en goedgekeurd door de onderstaande functionarissen.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color w:val="FFFFFF"/>
                <w:sz w:val="20"/>
              </w:rPr>
              <w:t>Rol</w:t>
            </w:r>
          </w:p>
          <w:shd w:fill="003366" w:val="clear"/>
        </w:tc>
        <w:tc>
          <w:tcPr>
            <w:tcW w:type="dxa" w:w="2160"/>
          </w:tcPr>
          <w:p>
            <w:r>
              <w:rPr>
                <w:b/>
                <w:color w:val="FFFFFF"/>
                <w:sz w:val="20"/>
              </w:rPr>
              <w:t>Naam</w:t>
            </w:r>
          </w:p>
          <w:shd w:fill="003366" w:val="clear"/>
        </w:tc>
        <w:tc>
          <w:tcPr>
            <w:tcW w:type="dxa" w:w="2160"/>
          </w:tcPr>
          <w:p>
            <w:r>
              <w:rPr>
                <w:b/>
                <w:color w:val="FFFFFF"/>
                <w:sz w:val="20"/>
              </w:rPr>
              <w:t>Datum</w:t>
            </w:r>
          </w:p>
          <w:shd w:fill="003366" w:val="clear"/>
        </w:tc>
        <w:tc>
          <w:tcPr>
            <w:tcW w:type="dxa" w:w="2160"/>
          </w:tcPr>
          <w:p>
            <w:r>
              <w:rPr>
                <w:b/>
                <w:color w:val="FFFFFF"/>
                <w:sz w:val="20"/>
              </w:rPr>
              <w:t>Handtekening</w:t>
            </w:r>
          </w:p>
          <w:shd w:fill="003366" w:val="clear"/>
        </w:tc>
      </w:tr>
      <w:tr>
        <w:tc>
          <w:tcPr>
            <w:tcW w:type="dxa" w:w="2160"/>
          </w:tcPr>
          <w:p>
            <w:r>
              <w:rPr>
                <w:sz w:val="20"/>
              </w:rPr>
              <w:t>Opsteller</w:t>
            </w:r>
          </w:p>
        </w:tc>
        <w:tc>
          <w:tcPr>
            <w:tcW w:type="dxa" w:w="2160"/>
          </w:tcPr>
          <w:p>
            <w:r>
              <w:rPr>
                <w:sz w:val="20"/>
              </w:rPr>
              <w:t>[Naam HSEQ Specialist]</w:t>
            </w:r>
          </w:p>
        </w:tc>
        <w:tc>
          <w:tcPr>
            <w:tcW w:type="dxa" w:w="2160"/>
          </w:tcPr>
          <w:p>
            <w:r>
              <w:rPr>
                <w:sz w:val="20"/>
              </w:rPr>
              <w:t>[Datum]</w:t>
            </w:r>
          </w:p>
        </w:tc>
        <w:tc>
          <w:tcPr>
            <w:tcW w:type="dxa" w:w="2160"/>
          </w:tcPr>
          <w:p>
            <w:r>
              <w:rPr>
                <w:sz w:val="20"/>
              </w:rPr>
              <w:t>[Handtekening]</w:t>
            </w:r>
          </w:p>
        </w:tc>
      </w:tr>
      <w:tr>
        <w:tc>
          <w:tcPr>
            <w:tcW w:type="dxa" w:w="2160"/>
          </w:tcPr>
          <w:p>
            <w:r>
              <w:rPr>
                <w:sz w:val="20"/>
              </w:rPr>
              <w:t>Beoordelaar</w:t>
            </w:r>
          </w:p>
        </w:tc>
        <w:tc>
          <w:tcPr>
            <w:tcW w:type="dxa" w:w="2160"/>
          </w:tcPr>
          <w:p>
            <w:r>
              <w:rPr>
                <w:sz w:val="20"/>
              </w:rPr>
              <w:t>[Naam Manager/Directeur]</w:t>
            </w:r>
          </w:p>
        </w:tc>
        <w:tc>
          <w:tcPr>
            <w:tcW w:type="dxa" w:w="2160"/>
          </w:tcPr>
          <w:p>
            <w:r>
              <w:rPr>
                <w:sz w:val="20"/>
              </w:rPr>
              <w:t>[Datum]</w:t>
            </w:r>
          </w:p>
        </w:tc>
        <w:tc>
          <w:tcPr>
            <w:tcW w:type="dxa" w:w="2160"/>
          </w:tcPr>
          <w:p>
            <w:r>
              <w:rPr>
                <w:sz w:val="20"/>
              </w:rPr>
              <w:t>[Handtekening]</w:t>
            </w:r>
          </w:p>
        </w:tc>
      </w:tr>
      <w:tr>
        <w:tc>
          <w:tcPr>
            <w:tcW w:type="dxa" w:w="2160"/>
          </w:tcPr>
          <w:p>
            <w:r>
              <w:rPr>
                <w:sz w:val="20"/>
              </w:rPr>
              <w:t>Goedkeuring</w:t>
            </w:r>
          </w:p>
        </w:tc>
        <w:tc>
          <w:tcPr>
            <w:tcW w:type="dxa" w:w="2160"/>
          </w:tcPr>
          <w:p>
            <w:r>
              <w:rPr>
                <w:sz w:val="20"/>
              </w:rPr>
              <w:t>[Naam Directeur]</w:t>
            </w:r>
          </w:p>
        </w:tc>
        <w:tc>
          <w:tcPr>
            <w:tcW w:type="dxa" w:w="2160"/>
          </w:tcPr>
          <w:p>
            <w:r>
              <w:rPr>
                <w:sz w:val="20"/>
              </w:rPr>
              <w:t>[Datum]</w:t>
            </w:r>
          </w:p>
        </w:tc>
        <w:tc>
          <w:tcPr>
            <w:tcW w:type="dxa" w:w="2160"/>
          </w:tcPr>
          <w:p>
            <w:r>
              <w:rPr>
                <w:sz w:val="20"/>
              </w:rPr>
              <w:t>[Handtekening]</w:t>
            </w:r>
          </w:p>
        </w:tc>
      </w:tr>
      <w:tr>
        <w:tc>
          <w:tcPr>
            <w:tcW w:type="dxa" w:w="2160"/>
          </w:tcPr>
          <w:p>
            <w:r>
              <w:rPr>
                <w:sz w:val="20"/>
              </w:rPr>
              <w:t>Medezeggenschap</w:t>
            </w:r>
          </w:p>
        </w:tc>
        <w:tc>
          <w:tcPr>
            <w:tcW w:type="dxa" w:w="2160"/>
          </w:tcPr>
          <w:p>
            <w:r>
              <w:rPr>
                <w:sz w:val="20"/>
              </w:rPr>
              <w:t>[Naam OR/PVT]</w:t>
            </w:r>
          </w:p>
        </w:tc>
        <w:tc>
          <w:tcPr>
            <w:tcW w:type="dxa" w:w="2160"/>
          </w:tcPr>
          <w:p>
            <w:r>
              <w:rPr>
                <w:sz w:val="20"/>
              </w:rPr>
              <w:t>[Datum]</w:t>
            </w:r>
          </w:p>
        </w:tc>
        <w:tc>
          <w:tcPr>
            <w:tcW w:type="dxa" w:w="2160"/>
          </w:tcPr>
          <w:p>
            <w:r>
              <w:rPr>
                <w:sz w:val="20"/>
              </w:rPr>
              <w:t>[Handtekening]</w:t>
            </w:r>
          </w:p>
        </w:tc>
      </w:tr>
    </w:tbl>
    <w:p/>
    <w:p>
      <w:pPr>
        <w:pStyle w:val="Heading1"/>
      </w:pPr>
      <w:r>
        <w:rPr>
          <w:color w:val="003366"/>
        </w:rPr>
        <w:t>7. Bronvermelding</w:t>
      </w:r>
    </w:p>
    <w:p>
      <w:pPr>
        <w:pStyle w:val="ListNumber"/>
      </w:pPr>
      <w:r>
        <w:t>Arbeidsomstandighedenbesluit (Art. 5.7–5.12), zichtdatum 26 mei 2025.</w:t>
      </w:r>
    </w:p>
    <w:p>
      <w:pPr>
        <w:pStyle w:val="ListNumber"/>
      </w:pPr>
      <w:r>
        <w:t>Arbeidsomstandighedenwet, artikel 5 (zorgplicht), zichtdatum 1 januari 2025.</w:t>
      </w:r>
    </w:p>
    <w:p>
      <w:pPr>
        <w:pStyle w:val="ListNumber"/>
      </w:pPr>
      <w:r>
        <w:t>Arbeidsomstandighedenregeling, Artikel 5.1–5.3 (beeldschermwerkplekken).</w:t>
      </w:r>
    </w:p>
    <w:p>
      <w:pPr>
        <w:pStyle w:val="ListNumber"/>
      </w:pPr>
      <w:r>
        <w:t>EG-richtlijn 90/270/EEG van 29 mei 1990, Pb EG L 156.</w:t>
      </w:r>
    </w:p>
    <w:p>
      <w:pPr>
        <w:pStyle w:val="ListNumber"/>
      </w:pPr>
      <w:r>
        <w:t>NEN-ISO 9241, Ergonomie van mens-machine interactie, delen 10–17.</w:t>
      </w:r>
    </w:p>
    <w:p>
      <w:pPr>
        <w:pStyle w:val="ListNumber"/>
      </w:pPr>
      <w:r>
        <w:t>NEN-EN 1335-1, Kantoorstoelen — Veiligheids- en prestatie-eisen.</w:t>
      </w:r>
    </w:p>
    <w:p>
      <w:pPr>
        <w:pStyle w:val="ListNumber"/>
      </w:pPr>
      <w:r>
        <w:t>NPR 1813, Kantoorstoelen — Ergonomische eisen.</w:t>
      </w:r>
    </w:p>
    <w:p>
      <w:pPr>
        <w:pStyle w:val="ListNumber"/>
      </w:pPr>
      <w:r>
        <w:t>NEN 1812, Kantoorinrichting — Ergonomische aspecten.</w:t>
      </w:r>
    </w:p>
    <w:p>
      <w:pPr>
        <w:pStyle w:val="ListNumber"/>
      </w:pPr>
      <w:r>
        <w:t>Arbo-informatieblad AI-02: Beeldschermwerk, VHP/Sdu HSE, bijgewerkt december 2023.</w:t>
      </w:r>
    </w:p>
    <w:p>
      <w:pPr>
        <w:pStyle w:val="ListNumber"/>
      </w:pPr>
      <w:r>
        <w:t>Arbo-informatieblad AI-07: Kantoren, VHP/Sdu HSE, bijgewerkt december 2023.</w:t>
      </w:r>
    </w:p>
    <w:p>
      <w:pPr>
        <w:pStyle w:val="ListNumber"/>
      </w:pPr>
      <w:r>
        <w:t>Arbo-informatieblad AI-08: Zittend en staand werken, VHP/Sdu HSE, bijgewerkt december 2023.</w:t>
      </w:r>
    </w:p>
    <w:p>
      <w:pPr>
        <w:pStyle w:val="ListNumber"/>
      </w:pPr>
      <w:r>
        <w:t>Gezondheidsraad, publicatie Beeldschermwerken, december 2012.</w:t>
      </w:r>
    </w:p>
    <w:p>
      <w:pPr>
        <w:pStyle w:val="ListNumber"/>
      </w:pPr>
      <w:r>
        <w:t>Multidisciplinaire Richtlijn Computerwerk, vijf beroepsverenigingen, 2014.</w:t>
      </w:r>
    </w:p>
    <w:p>
      <w:pPr>
        <w:pStyle w:val="ListNumber"/>
      </w:pPr>
      <w:r>
        <w:t>Arbobalans 2007/8, 2011, 2012 — TNO.</w:t>
      </w:r>
    </w:p>
    <w:p>
      <w:pPr>
        <w:pStyle w:val="ListNumber"/>
      </w:pPr>
      <w:r>
        <w:t>Nationale Enquête Arbeidsomstandigheden 2011 — TNO.</w:t>
      </w:r>
    </w:p>
    <w:sectPr w:rsidR="00FC693F" w:rsidRPr="0006063C" w:rsidSect="00034616">
      <w:head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drawing>
        <wp:inline xmlns:a="http://schemas.openxmlformats.org/drawingml/2006/main" xmlns:pic="http://schemas.openxmlformats.org/drawingml/2006/picture">
          <wp:extent cx="1440000" cy="1291034"/>
          <wp:docPr id="1" name="Picture 1"/>
          <wp:cNvGraphicFramePr>
            <a:graphicFrameLocks noChangeAspect="1"/>
          </wp:cNvGraphicFramePr>
          <a:graphic>
            <a:graphicData uri="http://schemas.openxmlformats.org/drawingml/2006/picture">
              <pic:pic>
                <pic:nvPicPr>
                  <pic:cNvPr id="0" name="image.jpg"/>
                  <pic:cNvPicPr/>
                </pic:nvPicPr>
                <pic:blipFill>
                  <a:blip r:embed="rId1"/>
                  <a:stretch>
                    <a:fillRect/>
                  </a:stretch>
                </pic:blipFill>
                <pic:spPr>
                  <a:xfrm>
                    <a:off x="0" y="0"/>
                    <a:ext cx="1440000" cy="129103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jvg-logo.jp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jvg-logo.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