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drawing>
          <wp:inline xmlns:a="http://schemas.openxmlformats.org/drawingml/2006/main" xmlns:pic="http://schemas.openxmlformats.org/drawingml/2006/picture">
            <wp:extent cx="1800000" cy="16155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9"/>
                    <a:stretch>
                      <a:fillRect/>
                    </a:stretch>
                  </pic:blipFill>
                  <pic:spPr>
                    <a:xfrm>
                      <a:off x="0" y="0"/>
                      <a:ext cx="1800000" cy="1615500"/>
                    </a:xfrm>
                    <a:prstGeom prst="rect"/>
                  </pic:spPr>
                </pic:pic>
              </a:graphicData>
            </a:graphic>
          </wp:inline>
        </w:drawing>
      </w:r>
    </w:p>
    <w:p/>
    <w:p/>
    <w:p/>
    <w:p>
      <w:pPr>
        <w:jc w:val="center"/>
      </w:pPr>
      <w:r>
        <w:rPr>
          <w:color w:val="00A8E8"/>
          <w:sz w:val="28"/>
        </w:rPr>
        <w:t>━━━━━━━━━━━━━━━━━━━━━━━━━━━━━━━━━━━━━━━━━━━━━━━━━━</w:t>
      </w:r>
    </w:p>
    <w:p>
      <w:pPr>
        <w:jc w:val="center"/>
      </w:pPr>
      <w:r>
        <w:rPr>
          <w:rFonts w:ascii="Calibri" w:hAnsi="Calibri"/>
          <w:b/>
          <w:color w:val="003366"/>
          <w:sz w:val="48"/>
        </w:rPr>
        <w:t>PGS-15 Basishandleiding</w:t>
      </w:r>
    </w:p>
    <w:p>
      <w:pPr>
        <w:jc w:val="center"/>
      </w:pPr>
      <w:r>
        <w:rPr>
          <w:rFonts w:ascii="Calibri" w:hAnsi="Calibri"/>
          <w:color w:val="374151"/>
          <w:sz w:val="28"/>
        </w:rPr>
        <w:t>Opslag van Verpakte Gevaarlijke Stoffen</w:t>
      </w:r>
    </w:p>
    <w:p>
      <w:pPr>
        <w:jc w:val="center"/>
      </w:pPr>
      <w:r>
        <w:rPr>
          <w:color w:val="00A8E8"/>
          <w:sz w:val="28"/>
        </w:rPr>
        <w:t>━━━━━━━━━━━━━━━━━━━━━━━━━━━━━━━━━━━━━━━━━━━━━━━━━━</w:t>
      </w:r>
    </w:p>
    <w:p/>
    <w:p/>
    <w:p/>
    <w:p>
      <w:pPr>
        <w:jc w:val="center"/>
      </w:pPr>
      <w:r>
        <w:rPr>
          <w:rFonts w:ascii="Calibri" w:hAnsi="Calibri"/>
          <w:color w:val="374151"/>
          <w:sz w:val="24"/>
        </w:rPr>
        <w:t>JvG Consultancy</w:t>
      </w:r>
    </w:p>
    <w:p>
      <w:pPr>
        <w:jc w:val="center"/>
      </w:pPr>
      <w:r>
        <w:rPr>
          <w:rFonts w:ascii="Calibri" w:hAnsi="Calibri"/>
          <w:color w:val="374151"/>
          <w:sz w:val="24"/>
        </w:rPr>
        <w:t>Versie 1.0 — April 2026</w:t>
      </w:r>
    </w:p>
    <w:p>
      <w:pPr>
        <w:jc w:val="center"/>
      </w:pPr>
      <w:r>
        <w:rPr>
          <w:rFonts w:ascii="Calibri" w:hAnsi="Calibri"/>
          <w:color w:val="374151"/>
          <w:sz w:val="24"/>
        </w:rPr>
        <w:t>Vertrouwelijk</w:t>
      </w:r>
    </w:p>
    <w:p>
      <w:r>
        <w:br w:type="page"/>
      </w:r>
    </w:p>
    <w:p>
      <w:pPr>
        <w:spacing w:after="120" w:before="40"/>
      </w:pPr>
      <w:r>
        <w:rPr>
          <w:rFonts w:ascii="Calibri" w:hAnsi="Calibri"/>
          <w:color w:val="000000"/>
          <w:sz w:val="22"/>
        </w:rPr>
        <w:t>PGS-15 Basishandleiding — Opslag van Verpakte Gevaarlijke Stoffen</w:t>
      </w:r>
    </w:p>
    <w:p>
      <w:pPr>
        <w:spacing w:after="120" w:before="40"/>
      </w:pPr>
      <w:r>
        <w:rPr>
          <w:rFonts w:ascii="Calibri" w:hAnsi="Calibri"/>
          <w:color w:val="000000"/>
          <w:sz w:val="22"/>
        </w:rPr>
        <w:t>Versie 1.0 | April 2026</w:t>
      </w:r>
    </w:p>
    <w:p>
      <w:pPr>
        <w:spacing w:after="120" w:before="40"/>
      </w:pPr>
      <w:r>
        <w:rPr>
          <w:rFonts w:ascii="Calibri" w:hAnsi="Calibri"/>
          <w:color w:val="000000"/>
          <w:sz w:val="22"/>
        </w:rPr>
        <w:t>Doelgroep: HSE-medewerkers, operationeel managers, auditors</w:t>
      </w:r>
    </w:p>
    <w:p>
      <w:pPr>
        <w:spacing w:after="120" w:before="40"/>
      </w:pPr>
      <w:r>
        <w:rPr>
          <w:rFonts w:ascii="Calibri" w:hAnsi="Calibri"/>
          <w:color w:val="000000"/>
          <w:sz w:val="22"/>
        </w:rPr>
        <w:t>HOOFDSTUK 1 — WAT IS PGS-15?</w:t>
      </w:r>
    </w:p>
    <w:p>
      <w:pPr>
        <w:spacing w:after="120" w:before="40"/>
      </w:pPr>
      <w:r>
        <w:rPr>
          <w:rFonts w:ascii="Calibri" w:hAnsi="Calibri"/>
          <w:color w:val="000000"/>
          <w:sz w:val="22"/>
        </w:rPr>
        <w:t>1.1 De Publicatiereeks Gevaarlijke Stoffen</w:t>
      </w:r>
    </w:p>
    <w:p>
      <w:pPr>
        <w:spacing w:after="120" w:before="40"/>
      </w:pPr>
      <w:r>
        <w:rPr>
          <w:rFonts w:ascii="Calibri" w:hAnsi="Calibri"/>
          <w:color w:val="000000"/>
          <w:sz w:val="22"/>
        </w:rPr>
        <w:t xml:space="preserve">De Publicatiereeks Gevaarlijke Stoffen (PGS) is een verzameling richtlijnen voor bedrijven die gevaarlijke stoffen produceren, transporteren, opslaan of gebruiken, en voor overheden die belast zijn met vergunningverlening en toezicht. De reeks integreert arbeidsveiligheid, milieuveiligheid, transportveiligheid, brandveiligheid en rampenbestrijding in één samenhangend kader. </w:t>
      </w:r>
      <w:r>
        <w:rPr>
          <w:rFonts w:ascii="Calibri" w:hAnsi="Calibri"/>
          <w:i/>
          <w:color w:val="00A8E8"/>
          <w:sz w:val="22"/>
        </w:rPr>
        <w:t>[PGS 15:2016 — H1.2]</w:t>
      </w:r>
    </w:p>
    <w:p>
      <w:pPr>
        <w:spacing w:after="120" w:before="40"/>
      </w:pPr>
      <w:r>
        <w:rPr>
          <w:rFonts w:ascii="Calibri" w:hAnsi="Calibri"/>
          <w:color w:val="000000"/>
          <w:sz w:val="22"/>
        </w:rPr>
        <w:t xml:space="preserve">Per 2015 is de ombouw naar PGS Nieuwe Stijl gestart. Deze richtlijnen komen tot stand op basis van een transparante risicomethodiek met heldere doelen en erkende maatregelen. PGS 15 is een "oude stijl" publicatie die in september 2016 is geactualiseerd. De meest actuele versie is de Publicatiereeks Gevaarlijke Stoffen 15:2021 versie 1.0 (augustus 2021) interim PGS. </w:t>
      </w:r>
      <w:r>
        <w:rPr>
          <w:rFonts w:ascii="Calibri" w:hAnsi="Calibri"/>
          <w:i/>
          <w:color w:val="00A8E8"/>
          <w:sz w:val="22"/>
        </w:rPr>
        <w:t>[PGS 15:2016 — H1.2]</w:t>
      </w:r>
    </w:p>
    <w:p>
      <w:pPr>
        <w:spacing w:after="120" w:before="40"/>
      </w:pPr>
      <w:r>
        <w:rPr>
          <w:rFonts w:ascii="Calibri" w:hAnsi="Calibri"/>
          <w:color w:val="000000"/>
          <w:sz w:val="22"/>
        </w:rPr>
        <w:t>1.2 PGS-15:2016 — De huidige versie</w:t>
      </w:r>
    </w:p>
    <w:p>
      <w:pPr>
        <w:spacing w:after="120" w:before="40"/>
      </w:pPr>
      <w:r>
        <w:rPr>
          <w:rFonts w:ascii="Calibri" w:hAnsi="Calibri"/>
          <w:color w:val="000000"/>
          <w:sz w:val="22"/>
        </w:rPr>
        <w:t xml:space="preserve">PGS 15 beschrijft de technische en organisatorische maatregelen voor de opslag van verpakte gevaarlijke stoffen. De richtlijn behandelt arbeidsveiligheid, milieuveiligheid en brandveiligheid. De indeling van gevaarlijke stoffen is gebaseerd op de vervoerswetgeving (ADR). Naast algemene richtlijnen bevat PGS 15 eisen aan de opslagvoorziening zelf en aan de wijze van opslag, waaronder de scheiding van onverenigbare combinaties. </w:t>
      </w:r>
      <w:r>
        <w:rPr>
          <w:rFonts w:ascii="Calibri" w:hAnsi="Calibri"/>
          <w:i/>
          <w:color w:val="00A8E8"/>
          <w:sz w:val="22"/>
        </w:rPr>
        <w:t>[PGS 15:2016 — H1.1]</w:t>
      </w:r>
    </w:p>
    <w:p>
      <w:pPr>
        <w:spacing w:after="120" w:before="40"/>
      </w:pPr>
      <w:r>
        <w:rPr>
          <w:rFonts w:ascii="Calibri" w:hAnsi="Calibri"/>
          <w:color w:val="000000"/>
          <w:sz w:val="22"/>
        </w:rPr>
        <w:t>Belangrijke wijzigingen in PGS 15:2016 ten opzichte van de versie uit 2011:</w:t>
      </w:r>
    </w:p>
    <w:p>
      <w:pPr>
        <w:pStyle w:val="ListBullet"/>
        <w:spacing w:after="60"/>
      </w:pPr>
      <w:r>
        <w:rPr>
          <w:rFonts w:ascii="Calibri" w:hAnsi="Calibri"/>
          <w:sz w:val="22"/>
        </w:rPr>
        <w:t>Herformulering van voorschriften voor eenduidigheid en zonder interpretatieruimte.</w:t>
      </w:r>
    </w:p>
    <w:p>
      <w:pPr>
        <w:pStyle w:val="ListBullet"/>
        <w:spacing w:after="60"/>
      </w:pPr>
      <w:r>
        <w:rPr>
          <w:rFonts w:ascii="Calibri" w:hAnsi="Calibri"/>
          <w:sz w:val="22"/>
        </w:rPr>
        <w:t>Introductie van twee nieuwe beschermingsniveaus: 2a en 4.</w:t>
      </w:r>
    </w:p>
    <w:p>
      <w:pPr>
        <w:pStyle w:val="ListBullet"/>
        <w:spacing w:after="60"/>
      </w:pPr>
      <w:r>
        <w:rPr>
          <w:rFonts w:ascii="Calibri" w:hAnsi="Calibri"/>
          <w:sz w:val="22"/>
        </w:rPr>
        <w:t>Beschermingsniveau 2 (oud) is vervallen; niveau 2a maakt opslag tot maximaal 100 ton mogelijk zonder blussysteem en zonder binnenaanval door de brandweer.</w:t>
      </w:r>
    </w:p>
    <w:p>
      <w:pPr>
        <w:pStyle w:val="ListBullet"/>
        <w:spacing w:after="60"/>
      </w:pPr>
      <w:r>
        <w:rPr>
          <w:rFonts w:ascii="Calibri" w:hAnsi="Calibri"/>
          <w:sz w:val="22"/>
        </w:rPr>
        <w:t xml:space="preserve">Beschermingsniveau 4 is bedoeld voor niet-brandbare en niet-brandonderhoudende stoffen (ADR-klasse 8 en 9). </w:t>
      </w:r>
      <w:r>
        <w:rPr>
          <w:rFonts w:ascii="Calibri" w:hAnsi="Calibri"/>
          <w:i/>
          <w:color w:val="00A8E8"/>
          <w:sz w:val="22"/>
        </w:rPr>
        <w:t>[PGS 15:2016 — H2.1]</w:t>
      </w:r>
    </w:p>
    <w:p>
      <w:pPr>
        <w:spacing w:after="120" w:before="40"/>
      </w:pPr>
      <w:r>
        <w:rPr>
          <w:rFonts w:ascii="Calibri" w:hAnsi="Calibri"/>
          <w:color w:val="000000"/>
          <w:sz w:val="22"/>
        </w:rPr>
        <w:t>1.3 Relatie tot de Omgevingswet en het BAL</w:t>
      </w:r>
    </w:p>
    <w:p>
      <w:pPr>
        <w:spacing w:after="120" w:before="40"/>
      </w:pPr>
      <w:r>
        <w:rPr>
          <w:rFonts w:ascii="Calibri" w:hAnsi="Calibri"/>
          <w:color w:val="000000"/>
          <w:sz w:val="22"/>
        </w:rPr>
        <w:t xml:space="preserve">De PGS-richtlijnen krijgen juridische kracht doordat ze worden opgenomen in omgevingsvergunningen of in het Activiteitenbesluit. PGS-publicaties worden aangewezen als BBT-document (Beste Beschikbare Technieken) op grond van artikel 9.2 van het Mor (Regeling omgevingsrecht). Het bevoegd gezag moet bij vergunningverlening rekening houden met de relevante BBT-conclusies. </w:t>
      </w:r>
      <w:r>
        <w:rPr>
          <w:rFonts w:ascii="Calibri" w:hAnsi="Calibri"/>
          <w:i/>
          <w:color w:val="00A8E8"/>
          <w:sz w:val="22"/>
        </w:rPr>
        <w:t>[PGS 15:2016 — H7]</w:t>
      </w:r>
    </w:p>
    <w:p>
      <w:pPr>
        <w:spacing w:after="120" w:before="40"/>
      </w:pPr>
      <w:r>
        <w:rPr>
          <w:rFonts w:ascii="Calibri" w:hAnsi="Calibri"/>
          <w:color w:val="000000"/>
          <w:sz w:val="22"/>
        </w:rPr>
        <w:t>Specificke juridische verdeling:</w:t>
      </w:r>
    </w:p>
    <w:p>
      <w:pPr>
        <w:pStyle w:val="ListBullet"/>
        <w:spacing w:after="60"/>
      </w:pPr>
      <w:r>
        <w:rPr>
          <w:rFonts w:ascii="Calibri" w:hAnsi="Calibri"/>
          <w:sz w:val="22"/>
        </w:rPr>
        <w:t>Opslagvoorzieningen tot 10.000 kg vallen onder het Activiteitenbesluit (rechtstreeks werkend).</w:t>
      </w:r>
    </w:p>
    <w:p>
      <w:pPr>
        <w:pStyle w:val="ListBullet"/>
        <w:spacing w:after="60"/>
      </w:pPr>
      <w:r>
        <w:rPr>
          <w:rFonts w:ascii="Calibri" w:hAnsi="Calibri"/>
          <w:sz w:val="22"/>
        </w:rPr>
        <w:t>Opslagvoorzieningen van meer dan 10.000 kg zijn vergunningplichtig.</w:t>
      </w:r>
    </w:p>
    <w:p>
      <w:pPr>
        <w:pStyle w:val="ListBullet"/>
        <w:spacing w:after="60"/>
      </w:pPr>
      <w:r>
        <w:rPr>
          <w:rFonts w:ascii="Calibri" w:hAnsi="Calibri"/>
          <w:sz w:val="22"/>
        </w:rPr>
        <w:t>Bedrijven die onder het Besluit risico's zware ongevallen (BRZO 2015) vallen, zijn verplicht een veiligheidsmanagementsysteem te voeren.</w:t>
      </w:r>
    </w:p>
    <w:p>
      <w:pPr>
        <w:pStyle w:val="ListBullet"/>
        <w:spacing w:after="60"/>
      </w:pPr>
      <w:r>
        <w:rPr>
          <w:rFonts w:ascii="Calibri" w:hAnsi="Calibri"/>
          <w:sz w:val="22"/>
        </w:rPr>
        <w:t xml:space="preserve">Het Besluit externe veiligheid inrichtingen (Bevi) stelt eisen aan afstanden tussen opslag en bebouwde omgeving. </w:t>
      </w:r>
      <w:r>
        <w:rPr>
          <w:rFonts w:ascii="Calibri" w:hAnsi="Calibri"/>
          <w:i/>
          <w:color w:val="00A8E8"/>
          <w:sz w:val="22"/>
        </w:rPr>
        <w:t>[PGS 15:2016 — H7]</w:t>
      </w:r>
    </w:p>
    <w:p>
      <w:pPr>
        <w:spacing w:after="120" w:before="40"/>
      </w:pPr>
      <w:r>
        <w:rPr>
          <w:rFonts w:ascii="Calibri" w:hAnsi="Calibri"/>
          <w:color w:val="000000"/>
          <w:sz w:val="22"/>
        </w:rPr>
        <w:t>1.4 Relatie tot het ADR</w:t>
      </w:r>
    </w:p>
    <w:p>
      <w:pPr>
        <w:spacing w:after="120" w:before="40"/>
      </w:pPr>
      <w:r>
        <w:rPr>
          <w:rFonts w:ascii="Calibri" w:hAnsi="Calibri"/>
          <w:color w:val="000000"/>
          <w:sz w:val="22"/>
        </w:rPr>
        <w:t xml:space="preserve">Het ADR (Europese Overeenkomst betreffende het internationale vervoer van gevaarlijke stoffen over de weg) vormt de basis voor de stoffenindeling in PGS 15. De ADR-klassen en verpakkingsgroepen worden direct overgenomen om te bepalen welke eisen van toepassing zijn. Het ADR regelt tevens de verpakking, etikettering en documentatie van gevaarlijke stoffen tijdens transport. </w:t>
      </w:r>
      <w:r>
        <w:rPr>
          <w:rFonts w:ascii="Calibri" w:hAnsi="Calibri"/>
          <w:i/>
          <w:color w:val="00A8E8"/>
          <w:sz w:val="22"/>
        </w:rPr>
        <w:t>[PGS 15:2016 — H1.4]</w:t>
      </w:r>
    </w:p>
    <w:p>
      <w:pPr>
        <w:spacing w:after="120" w:before="40"/>
      </w:pPr>
      <w:r>
        <w:rPr>
          <w:rFonts w:ascii="Calibri" w:hAnsi="Calibri"/>
          <w:color w:val="000000"/>
          <w:sz w:val="22"/>
        </w:rPr>
        <w:t xml:space="preserve">Het gelijkwaardigheidsbeginsel geldt voor alle PGS-richtlijnen: andere maatregelen zijn toegestaan indien aantoonbaar een gelijkwaardige bescherming van milieu, arbeidsbescherming of brandveiligheid wordt bereikt. Het bevoegd gezag beoordeelt dit in het kader van de vergunningverlening. </w:t>
      </w:r>
      <w:r>
        <w:rPr>
          <w:rFonts w:ascii="Calibri" w:hAnsi="Calibri"/>
          <w:i/>
          <w:color w:val="00A8E8"/>
          <w:sz w:val="22"/>
        </w:rPr>
        <w:t>[PGS 15:2016 — H1.2]</w:t>
      </w:r>
    </w:p>
    <w:p>
      <w:pPr>
        <w:spacing w:after="120" w:before="40"/>
      </w:pPr>
      <w:r>
        <w:rPr>
          <w:rFonts w:ascii="Calibri" w:hAnsi="Calibri"/>
          <w:color w:val="000000"/>
          <w:sz w:val="22"/>
        </w:rPr>
        <w:t>HOOFDSTUK 2 — WANNEER IS PGS-15 VAN TOEPASSING?</w:t>
      </w:r>
    </w:p>
    <w:p>
      <w:pPr>
        <w:spacing w:after="120" w:before="40"/>
      </w:pPr>
      <w:r>
        <w:rPr>
          <w:rFonts w:ascii="Calibri" w:hAnsi="Calibri"/>
          <w:color w:val="000000"/>
          <w:sz w:val="22"/>
        </w:rPr>
        <w:t>2.1 Stoffen die onder de werkingssfeer vallen</w:t>
      </w:r>
    </w:p>
    <w:p>
      <w:pPr>
        <w:spacing w:after="120" w:before="40"/>
      </w:pPr>
      <w:r>
        <w:rPr>
          <w:rFonts w:ascii="Calibri" w:hAnsi="Calibri"/>
          <w:color w:val="000000"/>
          <w:sz w:val="22"/>
        </w:rPr>
        <w:t xml:space="preserve">PGS 15 is van toepassing op de opslag van de volgende categorieën verpakte gevaarlijke stoffen: </w:t>
      </w:r>
      <w:r>
        <w:rPr>
          <w:rFonts w:ascii="Calibri" w:hAnsi="Calibri"/>
          <w:i/>
          <w:color w:val="00A8E8"/>
          <w:sz w:val="22"/>
        </w:rPr>
        <w:t>[PGS 15:2016 — H1.4]</w:t>
      </w:r>
    </w:p>
    <w:p>
      <w:pPr>
        <w:pStyle w:val="ListBullet"/>
        <w:spacing w:after="60"/>
      </w:pPr>
      <w:r>
        <w:rPr>
          <w:rFonts w:ascii="Calibri" w:hAnsi="Calibri"/>
          <w:sz w:val="22"/>
        </w:rPr>
        <w:t>ADR-klasse 3: Brandbare vloeistoffen</w:t>
      </w:r>
    </w:p>
    <w:p>
      <w:pPr>
        <w:pStyle w:val="ListBullet"/>
        <w:spacing w:after="60"/>
      </w:pPr>
      <w:r>
        <w:rPr>
          <w:rFonts w:ascii="Calibri" w:hAnsi="Calibri"/>
          <w:sz w:val="22"/>
        </w:rPr>
        <w:t>ADR-klasse 4.1: Brandbare vaste stoffen, zelfontledende vaste stoffen</w:t>
      </w:r>
    </w:p>
    <w:p>
      <w:pPr>
        <w:pStyle w:val="ListBullet"/>
        <w:spacing w:after="60"/>
      </w:pPr>
      <w:r>
        <w:rPr>
          <w:rFonts w:ascii="Calibri" w:hAnsi="Calibri"/>
          <w:sz w:val="22"/>
        </w:rPr>
        <w:t>ADR-klasse 4.2: Voor zelfontbranding vatbare stoffen</w:t>
      </w:r>
    </w:p>
    <w:p>
      <w:pPr>
        <w:pStyle w:val="ListBullet"/>
        <w:spacing w:after="60"/>
      </w:pPr>
      <w:r>
        <w:rPr>
          <w:rFonts w:ascii="Calibri" w:hAnsi="Calibri"/>
          <w:sz w:val="22"/>
        </w:rPr>
        <w:t>ADR-klasse 4.3: Stoffen die in contact met water brandbare gassen ontwikkelen</w:t>
      </w:r>
    </w:p>
    <w:p>
      <w:pPr>
        <w:pStyle w:val="ListBullet"/>
        <w:spacing w:after="60"/>
      </w:pPr>
      <w:r>
        <w:rPr>
          <w:rFonts w:ascii="Calibri" w:hAnsi="Calibri"/>
          <w:sz w:val="22"/>
        </w:rPr>
        <w:t>ADR-klasse 5.1: Oxiderende stoffen</w:t>
      </w:r>
    </w:p>
    <w:p>
      <w:pPr>
        <w:pStyle w:val="ListBullet"/>
        <w:spacing w:after="60"/>
      </w:pPr>
      <w:r>
        <w:rPr>
          <w:rFonts w:ascii="Calibri" w:hAnsi="Calibri"/>
          <w:sz w:val="22"/>
        </w:rPr>
        <w:t>ADR-klasse 5.2: Organische peroxiden (bepaalde categorieën en verpakkingen tot maximaal 1.000 kg, zie hoofdstuk 9)</w:t>
      </w:r>
    </w:p>
    <w:p>
      <w:pPr>
        <w:pStyle w:val="ListBullet"/>
        <w:spacing w:after="60"/>
      </w:pPr>
      <w:r>
        <w:rPr>
          <w:rFonts w:ascii="Calibri" w:hAnsi="Calibri"/>
          <w:sz w:val="22"/>
        </w:rPr>
        <w:t>ADR-klasse 6.1: Giftige stoffen</w:t>
      </w:r>
    </w:p>
    <w:p>
      <w:pPr>
        <w:pStyle w:val="ListBullet"/>
        <w:spacing w:after="60"/>
      </w:pPr>
      <w:r>
        <w:rPr>
          <w:rFonts w:ascii="Calibri" w:hAnsi="Calibri"/>
          <w:sz w:val="22"/>
        </w:rPr>
        <w:t>ADR-klasse 6.2: Infectueuze stoffen (alleen categorie I3 en I4: UN 3291, UN 3373)</w:t>
      </w:r>
    </w:p>
    <w:p>
      <w:pPr>
        <w:pStyle w:val="ListBullet"/>
        <w:spacing w:after="60"/>
      </w:pPr>
      <w:r>
        <w:rPr>
          <w:rFonts w:ascii="Calibri" w:hAnsi="Calibri"/>
          <w:sz w:val="22"/>
        </w:rPr>
        <w:t>ADR-klasse 8: Bijtende stoffen</w:t>
      </w:r>
    </w:p>
    <w:p>
      <w:pPr>
        <w:pStyle w:val="ListBullet"/>
        <w:spacing w:after="60"/>
      </w:pPr>
      <w:r>
        <w:rPr>
          <w:rFonts w:ascii="Calibri" w:hAnsi="Calibri"/>
          <w:sz w:val="22"/>
        </w:rPr>
        <w:t>ADR-klasse 9: Milieugevaarlijke stoffen (met uitzondering van genetisch gemodificeerde organismen)</w:t>
      </w:r>
    </w:p>
    <w:p>
      <w:pPr>
        <w:pStyle w:val="ListBullet"/>
        <w:spacing w:after="60"/>
      </w:pPr>
      <w:r>
        <w:rPr>
          <w:rFonts w:ascii="Calibri" w:hAnsi="Calibri"/>
          <w:sz w:val="22"/>
        </w:rPr>
        <w:t>ADR-klasse 2: Spuitbussen (UN 1950) en gasflessen (uitzondering: gasflessen met giftige of bijtende inhoud, behoudens ammoniak en ethyleenoxide)</w:t>
      </w:r>
    </w:p>
    <w:p>
      <w:pPr>
        <w:pStyle w:val="ListBullet"/>
        <w:spacing w:after="60"/>
      </w:pPr>
      <w:r>
        <w:rPr>
          <w:rFonts w:ascii="Calibri" w:hAnsi="Calibri"/>
          <w:sz w:val="22"/>
        </w:rPr>
        <w:t>CMR-stoffen (carcinogeen, mutageen, reprotoxisch) die niet op andere wijze in het ADR zijn opgenomen</w:t>
      </w:r>
    </w:p>
    <w:p>
      <w:pPr>
        <w:pStyle w:val="ListBullet"/>
        <w:spacing w:after="60"/>
      </w:pPr>
      <w:r>
        <w:rPr>
          <w:rFonts w:ascii="Calibri" w:hAnsi="Calibri"/>
          <w:sz w:val="22"/>
        </w:rPr>
        <w:t>Gevaarlijke afvalstoffen die niet vallen onder de klassen 1, 6.2 (uitzondering I3 en I4) en 7</w:t>
      </w:r>
    </w:p>
    <w:p>
      <w:pPr>
        <w:spacing w:after="120" w:before="40"/>
      </w:pPr>
      <w:r>
        <w:rPr>
          <w:rFonts w:ascii="Calibri" w:hAnsi="Calibri"/>
          <w:color w:val="000000"/>
          <w:sz w:val="22"/>
        </w:rPr>
        <w:t xml:space="preserve">2.2 Stoffen die NIET onder de werkingssfeer vallen </w:t>
      </w:r>
      <w:r>
        <w:rPr>
          <w:rFonts w:ascii="Calibri" w:hAnsi="Calibri"/>
          <w:i/>
          <w:color w:val="00A8E8"/>
          <w:sz w:val="22"/>
        </w:rPr>
        <w:t>[PGS 15:2016 — H1.4]</w:t>
      </w:r>
    </w:p>
    <w:p>
      <w:pPr>
        <w:pStyle w:val="ListBullet"/>
        <w:spacing w:after="60"/>
      </w:pPr>
      <w:r>
        <w:rPr>
          <w:rFonts w:ascii="Calibri" w:hAnsi="Calibri"/>
          <w:sz w:val="22"/>
        </w:rPr>
        <w:t>ADR-klasse 1: Ontplofbare stoffen en voorwerpen</w:t>
      </w:r>
    </w:p>
    <w:p>
      <w:pPr>
        <w:pStyle w:val="ListBullet"/>
        <w:spacing w:after="60"/>
      </w:pPr>
      <w:r>
        <w:rPr>
          <w:rFonts w:ascii="Calibri" w:hAnsi="Calibri"/>
          <w:sz w:val="22"/>
        </w:rPr>
        <w:t>ADR-klasse 2: Gasflessen met giftige of bijtende inhoud (behalve ammoniak en ethyleenoxide)</w:t>
      </w:r>
    </w:p>
    <w:p>
      <w:pPr>
        <w:pStyle w:val="ListBullet"/>
        <w:spacing w:after="60"/>
      </w:pPr>
      <w:r>
        <w:rPr>
          <w:rFonts w:ascii="Calibri" w:hAnsi="Calibri"/>
          <w:sz w:val="22"/>
        </w:rPr>
        <w:t>ADR-klasse 5.2: Overige stoffen (hiervoor geldt PGS 8)</w:t>
      </w:r>
    </w:p>
    <w:p>
      <w:pPr>
        <w:pStyle w:val="ListBullet"/>
        <w:spacing w:after="60"/>
      </w:pPr>
      <w:r>
        <w:rPr>
          <w:rFonts w:ascii="Calibri" w:hAnsi="Calibri"/>
          <w:sz w:val="22"/>
        </w:rPr>
        <w:t>ADR-klasse 6.2: Overige infectueuze stoffen</w:t>
      </w:r>
    </w:p>
    <w:p>
      <w:pPr>
        <w:pStyle w:val="ListBullet"/>
        <w:spacing w:after="60"/>
      </w:pPr>
      <w:r>
        <w:rPr>
          <w:rFonts w:ascii="Calibri" w:hAnsi="Calibri"/>
          <w:sz w:val="22"/>
        </w:rPr>
        <w:t>ADR-klasse 7: Radioactieve stoffen</w:t>
      </w:r>
    </w:p>
    <w:p>
      <w:pPr>
        <w:pStyle w:val="ListBullet"/>
        <w:spacing w:after="60"/>
      </w:pPr>
      <w:r>
        <w:rPr>
          <w:rFonts w:ascii="Calibri" w:hAnsi="Calibri"/>
          <w:sz w:val="22"/>
        </w:rPr>
        <w:t>ADR-klasse 9: Overige stoffen en genetisch gemodificeerde organismen</w:t>
      </w:r>
    </w:p>
    <w:p>
      <w:pPr>
        <w:pStyle w:val="ListBullet"/>
        <w:spacing w:after="60"/>
      </w:pPr>
      <w:r>
        <w:rPr>
          <w:rFonts w:ascii="Calibri" w:hAnsi="Calibri"/>
          <w:sz w:val="22"/>
        </w:rPr>
        <w:t>Nitraathoudende kunstmeststoffen (hiervoor geldt PGS 7)</w:t>
      </w:r>
    </w:p>
    <w:p>
      <w:pPr>
        <w:pStyle w:val="ListBullet"/>
        <w:spacing w:after="60"/>
      </w:pPr>
      <w:r>
        <w:rPr>
          <w:rFonts w:ascii="Calibri" w:hAnsi="Calibri"/>
          <w:sz w:val="22"/>
        </w:rPr>
        <w:t>Bestrijdingsmiddelen tot 400 kg (valt onder het bestrijdingsmiddelenbesluit)</w:t>
      </w:r>
    </w:p>
    <w:p>
      <w:pPr>
        <w:pStyle w:val="ListBullet"/>
        <w:spacing w:after="60"/>
      </w:pPr>
      <w:r>
        <w:rPr>
          <w:rFonts w:ascii="Calibri" w:hAnsi="Calibri"/>
          <w:sz w:val="22"/>
        </w:rPr>
        <w:t>Vrijgestelde hoeveelheden conform het ADR</w:t>
      </w:r>
    </w:p>
    <w:p>
      <w:pPr>
        <w:spacing w:after="120" w:before="40"/>
      </w:pPr>
      <w:r>
        <w:rPr>
          <w:rFonts w:ascii="Calibri" w:hAnsi="Calibri"/>
          <w:color w:val="000000"/>
          <w:sz w:val="22"/>
        </w:rPr>
        <w:t>2.3 Ondergrenzen — Wanneer PGS-15 verplicht wordt</w:t>
      </w:r>
    </w:p>
    <w:p>
      <w:pPr>
        <w:spacing w:after="120" w:before="40"/>
      </w:pPr>
      <w:r>
        <w:rPr>
          <w:rFonts w:ascii="Calibri" w:hAnsi="Calibri"/>
          <w:color w:val="000000"/>
          <w:sz w:val="22"/>
        </w:rPr>
        <w:t xml:space="preserve">PGS 15 kent ondergrenzen per ADR-klasse en verpakkingsgroep. Pas wanneer de opgeslagen hoeveelheid de ondergrens overschrijdt, zijn de voorschriften van PGS 15 van toepassing. De ondergrenzen zijn vastgelegd in tabel 1.2 van PGS 15: </w:t>
      </w:r>
      <w:r>
        <w:rPr>
          <w:rFonts w:ascii="Calibri" w:hAnsi="Calibri"/>
          <w:i/>
          <w:color w:val="00A8E8"/>
          <w:sz w:val="22"/>
        </w:rPr>
        <w:t>[PGS 15:2016 — H1.4, tabel 1.2]</w:t>
      </w:r>
    </w:p>
    <w:tbl>
      <w:tblPr>
        <w:tblW w:type="auto" w:w="0"/>
        <w:jc w:val="center"/>
        <w:tblLayout w:type="autofit"/>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135"/>
        <w:gridCol w:w="3135"/>
        <w:gridCol w:w="3135"/>
      </w:tblGrid>
      <w:tr>
        <w:tc>
          <w:tcPr>
            <w:tcW w:type="dxa" w:w="3135"/>
            <w:shd w:fill="003366"/>
          </w:tcPr>
          <w:p>
            <w:pPr>
              <w:spacing w:before="40" w:after="40"/>
            </w:pPr>
            <w:r/>
            <w:r>
              <w:rPr>
                <w:rFonts w:ascii="Calibri" w:hAnsi="Calibri"/>
                <w:b/>
                <w:color w:val="FFFFFF"/>
                <w:sz w:val="20"/>
              </w:rPr>
              <w:t>Gevaar conform klasse</w:t>
            </w:r>
          </w:p>
        </w:tc>
        <w:tc>
          <w:tcPr>
            <w:tcW w:type="dxa" w:w="3135"/>
            <w:shd w:fill="003366"/>
          </w:tcPr>
          <w:p>
            <w:pPr>
              <w:spacing w:before="40" w:after="40"/>
            </w:pPr>
            <w:r/>
            <w:r>
              <w:rPr>
                <w:rFonts w:ascii="Calibri" w:hAnsi="Calibri"/>
                <w:b/>
                <w:color w:val="FFFFFF"/>
                <w:sz w:val="20"/>
              </w:rPr>
              <w:t>Verpakkingsgroep</w:t>
            </w:r>
          </w:p>
        </w:tc>
        <w:tc>
          <w:tcPr>
            <w:tcW w:type="dxa" w:w="3135"/>
            <w:shd w:fill="003366"/>
          </w:tcPr>
          <w:p>
            <w:pPr>
              <w:spacing w:before="40" w:after="40"/>
            </w:pPr>
            <w:r/>
            <w:r>
              <w:rPr>
                <w:rFonts w:ascii="Calibri" w:hAnsi="Calibri"/>
                <w:b/>
                <w:color w:val="FFFFFF"/>
                <w:sz w:val="20"/>
              </w:rPr>
              <w:t>Ondergrens (kg of l)</w:t>
            </w:r>
          </w:p>
        </w:tc>
      </w:tr>
      <w:tr>
        <w:tc>
          <w:tcPr>
            <w:tcW w:type="dxa" w:w="3135"/>
          </w:tcPr>
          <w:p>
            <w:pPr>
              <w:spacing w:before="40" w:after="40"/>
            </w:pPr>
            <w:r/>
            <w:r>
              <w:rPr>
                <w:rFonts w:ascii="Calibri" w:hAnsi="Calibri"/>
                <w:color w:val="000000"/>
                <w:sz w:val="20"/>
              </w:rPr>
              <w:t>---</w:t>
            </w:r>
          </w:p>
        </w:tc>
        <w:tc>
          <w:tcPr>
            <w:tcW w:type="dxa" w:w="3135"/>
          </w:tcPr>
          <w:p>
            <w:pPr>
              <w:spacing w:before="40" w:after="40"/>
            </w:pPr>
            <w:r/>
            <w:r>
              <w:rPr>
                <w:rFonts w:ascii="Calibri" w:hAnsi="Calibri"/>
                <w:color w:val="000000"/>
                <w:sz w:val="20"/>
              </w:rPr>
              <w:t>---</w:t>
            </w:r>
          </w:p>
        </w:tc>
        <w:tc>
          <w:tcPr>
            <w:tcW w:type="dxa" w:w="3135"/>
          </w:tcPr>
          <w:p>
            <w:pPr>
              <w:spacing w:before="40" w:after="40"/>
            </w:pPr>
            <w:r/>
            <w:r>
              <w:rPr>
                <w:rFonts w:ascii="Calibri" w:hAnsi="Calibri"/>
                <w:color w:val="000000"/>
                <w:sz w:val="20"/>
              </w:rPr>
              <w:t>---</w:t>
            </w:r>
          </w:p>
        </w:tc>
      </w:tr>
      <w:tr>
        <w:tc>
          <w:tcPr>
            <w:tcW w:type="dxa" w:w="3135"/>
            <w:shd w:fill="F8F9FA"/>
          </w:tcPr>
          <w:p>
            <w:pPr>
              <w:spacing w:before="40" w:after="40"/>
            </w:pPr>
            <w:r/>
            <w:r>
              <w:rPr>
                <w:rFonts w:ascii="Calibri" w:hAnsi="Calibri"/>
                <w:color w:val="000000"/>
                <w:sz w:val="20"/>
              </w:rPr>
              <w:t>Alle klassen</w:t>
            </w:r>
          </w:p>
        </w:tc>
        <w:tc>
          <w:tcPr>
            <w:tcW w:type="dxa" w:w="3135"/>
            <w:shd w:fill="F8F9FA"/>
          </w:tcPr>
          <w:p>
            <w:pPr>
              <w:spacing w:before="40" w:after="40"/>
            </w:pPr>
            <w:r/>
            <w:r>
              <w:rPr>
                <w:rFonts w:ascii="Calibri" w:hAnsi="Calibri"/>
                <w:color w:val="000000"/>
                <w:sz w:val="20"/>
              </w:rPr>
              <w:t>I</w:t>
            </w:r>
          </w:p>
        </w:tc>
        <w:tc>
          <w:tcPr>
            <w:tcW w:type="dxa" w:w="3135"/>
            <w:shd w:fill="F8F9FA"/>
          </w:tcPr>
          <w:p>
            <w:pPr>
              <w:spacing w:before="40" w:after="40"/>
            </w:pPr>
            <w:r/>
            <w:r>
              <w:rPr>
                <w:rFonts w:ascii="Calibri" w:hAnsi="Calibri"/>
                <w:color w:val="000000"/>
                <w:sz w:val="20"/>
              </w:rPr>
              <w:t>1</w:t>
            </w:r>
          </w:p>
        </w:tc>
      </w:tr>
      <w:tr>
        <w:tc>
          <w:tcPr>
            <w:tcW w:type="dxa" w:w="3135"/>
          </w:tcPr>
          <w:p>
            <w:pPr>
              <w:spacing w:before="40" w:after="40"/>
            </w:pPr>
            <w:r/>
            <w:r>
              <w:rPr>
                <w:rFonts w:ascii="Calibri" w:hAnsi="Calibri"/>
                <w:color w:val="000000"/>
                <w:sz w:val="20"/>
              </w:rPr>
              <w:t>CMR-stoffen</w:t>
            </w:r>
          </w:p>
        </w:tc>
        <w:tc>
          <w:tcPr>
            <w:tcW w:type="dxa" w:w="3135"/>
          </w:tcPr>
          <w:p>
            <w:pPr>
              <w:spacing w:before="40" w:after="40"/>
            </w:pPr>
            <w:r/>
            <w:r>
              <w:rPr>
                <w:rFonts w:ascii="Calibri" w:hAnsi="Calibri"/>
                <w:color w:val="000000"/>
                <w:sz w:val="20"/>
              </w:rPr>
              <w:t>n.v.t.</w:t>
            </w:r>
          </w:p>
        </w:tc>
        <w:tc>
          <w:tcPr>
            <w:tcW w:type="dxa" w:w="3135"/>
          </w:tcPr>
          <w:p>
            <w:pPr>
              <w:spacing w:before="40" w:after="40"/>
            </w:pPr>
            <w:r/>
            <w:r>
              <w:rPr>
                <w:rFonts w:ascii="Calibri" w:hAnsi="Calibri"/>
                <w:color w:val="000000"/>
                <w:sz w:val="20"/>
              </w:rPr>
              <w:t>25</w:t>
            </w:r>
          </w:p>
        </w:tc>
      </w:tr>
      <w:tr>
        <w:tc>
          <w:tcPr>
            <w:tcW w:type="dxa" w:w="3135"/>
            <w:shd w:fill="F8F9FA"/>
          </w:tcPr>
          <w:p>
            <w:pPr>
              <w:spacing w:before="40" w:after="40"/>
            </w:pPr>
            <w:r/>
            <w:r>
              <w:rPr>
                <w:rFonts w:ascii="Calibri" w:hAnsi="Calibri"/>
                <w:color w:val="000000"/>
                <w:sz w:val="20"/>
              </w:rPr>
              <w:t>Klasse 3</w:t>
            </w:r>
          </w:p>
        </w:tc>
        <w:tc>
          <w:tcPr>
            <w:tcW w:type="dxa" w:w="3135"/>
            <w:shd w:fill="F8F9FA"/>
          </w:tcPr>
          <w:p>
            <w:pPr>
              <w:spacing w:before="40" w:after="40"/>
            </w:pPr>
            <w:r/>
            <w:r>
              <w:rPr>
                <w:rFonts w:ascii="Calibri" w:hAnsi="Calibri"/>
                <w:color w:val="000000"/>
                <w:sz w:val="20"/>
              </w:rPr>
              <w:t>II</w:t>
            </w:r>
          </w:p>
        </w:tc>
        <w:tc>
          <w:tcPr>
            <w:tcW w:type="dxa" w:w="3135"/>
            <w:shd w:fill="F8F9FA"/>
          </w:tcPr>
          <w:p>
            <w:pPr>
              <w:spacing w:before="40" w:after="40"/>
            </w:pPr>
            <w:r/>
            <w:r>
              <w:rPr>
                <w:rFonts w:ascii="Calibri" w:hAnsi="Calibri"/>
                <w:color w:val="000000"/>
                <w:sz w:val="20"/>
              </w:rPr>
              <w:t>25</w:t>
            </w:r>
          </w:p>
        </w:tc>
      </w:tr>
      <w:tr>
        <w:tc>
          <w:tcPr>
            <w:tcW w:type="dxa" w:w="3135"/>
          </w:tcPr>
          <w:p>
            <w:pPr>
              <w:spacing w:before="40" w:after="40"/>
            </w:pPr>
            <w:r/>
            <w:r>
              <w:rPr>
                <w:rFonts w:ascii="Calibri" w:hAnsi="Calibri"/>
                <w:color w:val="000000"/>
                <w:sz w:val="20"/>
              </w:rPr>
              <w:t>Klasse 3</w:t>
            </w:r>
          </w:p>
        </w:tc>
        <w:tc>
          <w:tcPr>
            <w:tcW w:type="dxa" w:w="3135"/>
          </w:tcPr>
          <w:p>
            <w:pPr>
              <w:spacing w:before="40" w:after="40"/>
            </w:pPr>
            <w:r/>
            <w:r>
              <w:rPr>
                <w:rFonts w:ascii="Calibri" w:hAnsi="Calibri"/>
                <w:color w:val="000000"/>
                <w:sz w:val="20"/>
              </w:rPr>
              <w:t>III</w:t>
            </w:r>
          </w:p>
        </w:tc>
        <w:tc>
          <w:tcPr>
            <w:tcW w:type="dxa" w:w="3135"/>
          </w:tcPr>
          <w:p>
            <w:pPr>
              <w:spacing w:before="40" w:after="40"/>
            </w:pPr>
            <w:r/>
            <w:r>
              <w:rPr>
                <w:rFonts w:ascii="Calibri" w:hAnsi="Calibri"/>
                <w:color w:val="000000"/>
                <w:sz w:val="20"/>
              </w:rPr>
              <w:t>50</w:t>
            </w:r>
          </w:p>
        </w:tc>
      </w:tr>
      <w:tr>
        <w:tc>
          <w:tcPr>
            <w:tcW w:type="dxa" w:w="3135"/>
            <w:shd w:fill="F8F9FA"/>
          </w:tcPr>
          <w:p>
            <w:pPr>
              <w:spacing w:before="40" w:after="40"/>
            </w:pPr>
            <w:r/>
            <w:r>
              <w:rPr>
                <w:rFonts w:ascii="Calibri" w:hAnsi="Calibri"/>
                <w:color w:val="000000"/>
                <w:sz w:val="20"/>
              </w:rPr>
              <w:t>Klassen 4.1, 4.2, 4.3</w:t>
            </w:r>
          </w:p>
        </w:tc>
        <w:tc>
          <w:tcPr>
            <w:tcW w:type="dxa" w:w="3135"/>
            <w:shd w:fill="F8F9FA"/>
          </w:tcPr>
          <w:p>
            <w:pPr>
              <w:spacing w:before="40" w:after="40"/>
            </w:pPr>
            <w:r/>
            <w:r>
              <w:rPr>
                <w:rFonts w:ascii="Calibri" w:hAnsi="Calibri"/>
                <w:color w:val="000000"/>
                <w:sz w:val="20"/>
              </w:rPr>
              <w:t>II en III</w:t>
            </w:r>
          </w:p>
        </w:tc>
        <w:tc>
          <w:tcPr>
            <w:tcW w:type="dxa" w:w="3135"/>
            <w:shd w:fill="F8F9FA"/>
          </w:tcPr>
          <w:p>
            <w:pPr>
              <w:spacing w:before="40" w:after="40"/>
            </w:pPr>
            <w:r/>
            <w:r>
              <w:rPr>
                <w:rFonts w:ascii="Calibri" w:hAnsi="Calibri"/>
                <w:color w:val="000000"/>
                <w:sz w:val="20"/>
              </w:rPr>
              <w:t>50</w:t>
            </w:r>
          </w:p>
        </w:tc>
      </w:tr>
      <w:tr>
        <w:tc>
          <w:tcPr>
            <w:tcW w:type="dxa" w:w="3135"/>
          </w:tcPr>
          <w:p>
            <w:pPr>
              <w:spacing w:before="40" w:after="40"/>
            </w:pPr>
            <w:r/>
            <w:r>
              <w:rPr>
                <w:rFonts w:ascii="Calibri" w:hAnsi="Calibri"/>
                <w:color w:val="000000"/>
                <w:sz w:val="20"/>
              </w:rPr>
              <w:t>Klasse 5.1</w:t>
            </w:r>
          </w:p>
        </w:tc>
        <w:tc>
          <w:tcPr>
            <w:tcW w:type="dxa" w:w="3135"/>
          </w:tcPr>
          <w:p>
            <w:pPr>
              <w:spacing w:before="40" w:after="40"/>
            </w:pPr>
            <w:r/>
            <w:r>
              <w:rPr>
                <w:rFonts w:ascii="Calibri" w:hAnsi="Calibri"/>
                <w:color w:val="000000"/>
                <w:sz w:val="20"/>
              </w:rPr>
              <w:t>II en III</w:t>
            </w:r>
          </w:p>
        </w:tc>
        <w:tc>
          <w:tcPr>
            <w:tcW w:type="dxa" w:w="3135"/>
          </w:tcPr>
          <w:p>
            <w:pPr>
              <w:spacing w:before="40" w:after="40"/>
            </w:pPr>
            <w:r/>
            <w:r>
              <w:rPr>
                <w:rFonts w:ascii="Calibri" w:hAnsi="Calibri"/>
                <w:color w:val="000000"/>
                <w:sz w:val="20"/>
              </w:rPr>
              <w:t>50</w:t>
            </w:r>
          </w:p>
        </w:tc>
      </w:tr>
      <w:tr>
        <w:tc>
          <w:tcPr>
            <w:tcW w:type="dxa" w:w="3135"/>
            <w:shd w:fill="F8F9FA"/>
          </w:tcPr>
          <w:p>
            <w:pPr>
              <w:spacing w:before="40" w:after="40"/>
            </w:pPr>
            <w:r/>
            <w:r>
              <w:rPr>
                <w:rFonts w:ascii="Calibri" w:hAnsi="Calibri"/>
                <w:color w:val="000000"/>
                <w:sz w:val="20"/>
              </w:rPr>
              <w:t>Klasse 5.2 (LQ, UN 3103-3110)</w:t>
            </w:r>
          </w:p>
        </w:tc>
        <w:tc>
          <w:tcPr>
            <w:tcW w:type="dxa" w:w="3135"/>
            <w:shd w:fill="F8F9FA"/>
          </w:tcPr>
          <w:p>
            <w:pPr>
              <w:spacing w:before="40" w:after="40"/>
            </w:pPr>
            <w:r/>
            <w:r>
              <w:rPr>
                <w:rFonts w:ascii="Calibri" w:hAnsi="Calibri"/>
                <w:color w:val="000000"/>
                <w:sz w:val="20"/>
              </w:rPr>
              <w:t>—</w:t>
            </w:r>
          </w:p>
        </w:tc>
        <w:tc>
          <w:tcPr>
            <w:tcW w:type="dxa" w:w="3135"/>
            <w:shd w:fill="F8F9FA"/>
          </w:tcPr>
          <w:p>
            <w:pPr>
              <w:spacing w:before="40" w:after="40"/>
            </w:pPr>
            <w:r/>
            <w:r>
              <w:rPr>
                <w:rFonts w:ascii="Calibri" w:hAnsi="Calibri"/>
                <w:color w:val="000000"/>
                <w:sz w:val="20"/>
              </w:rPr>
              <w:t>30</w:t>
            </w:r>
          </w:p>
        </w:tc>
      </w:tr>
      <w:tr>
        <w:tc>
          <w:tcPr>
            <w:tcW w:type="dxa" w:w="3135"/>
          </w:tcPr>
          <w:p>
            <w:pPr>
              <w:spacing w:before="40" w:after="40"/>
            </w:pPr>
            <w:r/>
            <w:r>
              <w:rPr>
                <w:rFonts w:ascii="Calibri" w:hAnsi="Calibri"/>
                <w:color w:val="000000"/>
                <w:sz w:val="20"/>
              </w:rPr>
              <w:t>Klasse 6.1</w:t>
            </w:r>
          </w:p>
        </w:tc>
        <w:tc>
          <w:tcPr>
            <w:tcW w:type="dxa" w:w="3135"/>
          </w:tcPr>
          <w:p>
            <w:pPr>
              <w:spacing w:before="40" w:after="40"/>
            </w:pPr>
            <w:r/>
            <w:r>
              <w:rPr>
                <w:rFonts w:ascii="Calibri" w:hAnsi="Calibri"/>
                <w:color w:val="000000"/>
                <w:sz w:val="20"/>
              </w:rPr>
              <w:t>II en III</w:t>
            </w:r>
          </w:p>
        </w:tc>
        <w:tc>
          <w:tcPr>
            <w:tcW w:type="dxa" w:w="3135"/>
          </w:tcPr>
          <w:p>
            <w:pPr>
              <w:spacing w:before="40" w:after="40"/>
            </w:pPr>
            <w:r/>
            <w:r>
              <w:rPr>
                <w:rFonts w:ascii="Calibri" w:hAnsi="Calibri"/>
                <w:color w:val="000000"/>
                <w:sz w:val="20"/>
              </w:rPr>
              <w:t>50</w:t>
            </w:r>
          </w:p>
        </w:tc>
      </w:tr>
      <w:tr>
        <w:tc>
          <w:tcPr>
            <w:tcW w:type="dxa" w:w="3135"/>
            <w:shd w:fill="F8F9FA"/>
          </w:tcPr>
          <w:p>
            <w:pPr>
              <w:spacing w:before="40" w:after="40"/>
            </w:pPr>
            <w:r/>
            <w:r>
              <w:rPr>
                <w:rFonts w:ascii="Calibri" w:hAnsi="Calibri"/>
                <w:color w:val="000000"/>
                <w:sz w:val="20"/>
              </w:rPr>
              <w:t>Klasse 6.2 categorie I3, I4</w:t>
            </w:r>
          </w:p>
        </w:tc>
        <w:tc>
          <w:tcPr>
            <w:tcW w:type="dxa" w:w="3135"/>
            <w:shd w:fill="F8F9FA"/>
          </w:tcPr>
          <w:p>
            <w:pPr>
              <w:spacing w:before="40" w:after="40"/>
            </w:pPr>
            <w:r/>
            <w:r>
              <w:rPr>
                <w:rFonts w:ascii="Calibri" w:hAnsi="Calibri"/>
                <w:color w:val="000000"/>
                <w:sz w:val="20"/>
              </w:rPr>
              <w:t>II en III</w:t>
            </w:r>
          </w:p>
        </w:tc>
        <w:tc>
          <w:tcPr>
            <w:tcW w:type="dxa" w:w="3135"/>
            <w:shd w:fill="F8F9FA"/>
          </w:tcPr>
          <w:p>
            <w:pPr>
              <w:spacing w:before="40" w:after="40"/>
            </w:pPr>
            <w:r/>
            <w:r>
              <w:rPr>
                <w:rFonts w:ascii="Calibri" w:hAnsi="Calibri"/>
                <w:color w:val="000000"/>
                <w:sz w:val="20"/>
              </w:rPr>
              <w:t>50</w:t>
            </w:r>
          </w:p>
        </w:tc>
      </w:tr>
      <w:tr>
        <w:tc>
          <w:tcPr>
            <w:tcW w:type="dxa" w:w="3135"/>
          </w:tcPr>
          <w:p>
            <w:pPr>
              <w:spacing w:before="40" w:after="40"/>
            </w:pPr>
            <w:r/>
            <w:r>
              <w:rPr>
                <w:rFonts w:ascii="Calibri" w:hAnsi="Calibri"/>
                <w:color w:val="000000"/>
                <w:sz w:val="20"/>
              </w:rPr>
              <w:t>Klasse 8</w:t>
            </w:r>
          </w:p>
        </w:tc>
        <w:tc>
          <w:tcPr>
            <w:tcW w:type="dxa" w:w="3135"/>
          </w:tcPr>
          <w:p>
            <w:pPr>
              <w:spacing w:before="40" w:after="40"/>
            </w:pPr>
            <w:r/>
            <w:r>
              <w:rPr>
                <w:rFonts w:ascii="Calibri" w:hAnsi="Calibri"/>
                <w:color w:val="000000"/>
                <w:sz w:val="20"/>
              </w:rPr>
              <w:t>II en III</w:t>
            </w:r>
          </w:p>
        </w:tc>
        <w:tc>
          <w:tcPr>
            <w:tcW w:type="dxa" w:w="3135"/>
          </w:tcPr>
          <w:p>
            <w:pPr>
              <w:spacing w:before="40" w:after="40"/>
            </w:pPr>
            <w:r/>
            <w:r>
              <w:rPr>
                <w:rFonts w:ascii="Calibri" w:hAnsi="Calibri"/>
                <w:color w:val="000000"/>
                <w:sz w:val="20"/>
              </w:rPr>
              <w:t>250</w:t>
            </w:r>
          </w:p>
        </w:tc>
      </w:tr>
      <w:tr>
        <w:tc>
          <w:tcPr>
            <w:tcW w:type="dxa" w:w="3135"/>
            <w:shd w:fill="F8F9FA"/>
          </w:tcPr>
          <w:p>
            <w:pPr>
              <w:spacing w:before="40" w:after="40"/>
            </w:pPr>
            <w:r/>
            <w:r>
              <w:rPr>
                <w:rFonts w:ascii="Calibri" w:hAnsi="Calibri"/>
                <w:color w:val="000000"/>
                <w:sz w:val="20"/>
              </w:rPr>
              <w:t>Klasse 9</w:t>
            </w:r>
          </w:p>
        </w:tc>
        <w:tc>
          <w:tcPr>
            <w:tcW w:type="dxa" w:w="3135"/>
            <w:shd w:fill="F8F9FA"/>
          </w:tcPr>
          <w:p>
            <w:pPr>
              <w:spacing w:before="40" w:after="40"/>
            </w:pPr>
            <w:r/>
            <w:r>
              <w:rPr>
                <w:rFonts w:ascii="Calibri" w:hAnsi="Calibri"/>
                <w:color w:val="000000"/>
                <w:sz w:val="20"/>
              </w:rPr>
              <w:t>II en III</w:t>
            </w:r>
          </w:p>
        </w:tc>
        <w:tc>
          <w:tcPr>
            <w:tcW w:type="dxa" w:w="3135"/>
            <w:shd w:fill="F8F9FA"/>
          </w:tcPr>
          <w:p>
            <w:pPr>
              <w:spacing w:before="40" w:after="40"/>
            </w:pPr>
            <w:r/>
            <w:r>
              <w:rPr>
                <w:rFonts w:ascii="Calibri" w:hAnsi="Calibri"/>
                <w:color w:val="000000"/>
                <w:sz w:val="20"/>
              </w:rPr>
              <w:t>250</w:t>
            </w:r>
          </w:p>
        </w:tc>
      </w:tr>
      <w:tr>
        <w:tc>
          <w:tcPr>
            <w:tcW w:type="dxa" w:w="3135"/>
          </w:tcPr>
          <w:p>
            <w:pPr>
              <w:spacing w:before="40" w:after="40"/>
            </w:pPr>
            <w:r/>
            <w:r>
              <w:rPr>
                <w:rFonts w:ascii="Calibri" w:hAnsi="Calibri"/>
                <w:color w:val="000000"/>
                <w:sz w:val="20"/>
              </w:rPr>
              <w:t>Totaal alle stoffen</w:t>
            </w:r>
          </w:p>
        </w:tc>
        <w:tc>
          <w:tcPr>
            <w:tcW w:type="dxa" w:w="3135"/>
          </w:tcPr>
          <w:p>
            <w:pPr>
              <w:spacing w:before="40" w:after="40"/>
            </w:pPr>
            <w:r/>
            <w:r>
              <w:rPr>
                <w:rFonts w:ascii="Calibri" w:hAnsi="Calibri"/>
                <w:color w:val="000000"/>
                <w:sz w:val="20"/>
              </w:rPr>
              <w:t>—</w:t>
            </w:r>
          </w:p>
        </w:tc>
        <w:tc>
          <w:tcPr>
            <w:tcW w:type="dxa" w:w="3135"/>
          </w:tcPr>
          <w:p>
            <w:pPr>
              <w:spacing w:before="40" w:after="40"/>
            </w:pPr>
            <w:r/>
            <w:r>
              <w:rPr>
                <w:rFonts w:ascii="Calibri" w:hAnsi="Calibri"/>
                <w:color w:val="000000"/>
                <w:sz w:val="20"/>
              </w:rPr>
              <w:t>50</w:t>
            </w:r>
          </w:p>
        </w:tc>
      </w:tr>
      <w:tr>
        <w:tc>
          <w:tcPr>
            <w:tcW w:type="dxa" w:w="3135"/>
            <w:shd w:fill="F8F9FA"/>
          </w:tcPr>
          <w:p>
            <w:pPr>
              <w:spacing w:before="40" w:after="40"/>
            </w:pPr>
            <w:r/>
            <w:r>
              <w:rPr>
                <w:rFonts w:ascii="Calibri" w:hAnsi="Calibri"/>
                <w:color w:val="000000"/>
                <w:sz w:val="20"/>
              </w:rPr>
              <w:t>Klasse 2 (spuitbussen, UN 1950/2037)</w:t>
            </w:r>
          </w:p>
        </w:tc>
        <w:tc>
          <w:tcPr>
            <w:tcW w:type="dxa" w:w="3135"/>
            <w:shd w:fill="F8F9FA"/>
          </w:tcPr>
          <w:p>
            <w:pPr>
              <w:spacing w:before="40" w:after="40"/>
            </w:pPr>
            <w:r/>
            <w:r>
              <w:rPr>
                <w:rFonts w:ascii="Calibri" w:hAnsi="Calibri"/>
                <w:color w:val="000000"/>
                <w:sz w:val="20"/>
              </w:rPr>
              <w:t>—</w:t>
            </w:r>
          </w:p>
        </w:tc>
        <w:tc>
          <w:tcPr>
            <w:tcW w:type="dxa" w:w="3135"/>
            <w:shd w:fill="F8F9FA"/>
          </w:tcPr>
          <w:p>
            <w:pPr>
              <w:spacing w:before="40" w:after="40"/>
            </w:pPr>
            <w:r/>
            <w:r>
              <w:rPr>
                <w:rFonts w:ascii="Calibri" w:hAnsi="Calibri"/>
                <w:color w:val="000000"/>
                <w:sz w:val="20"/>
              </w:rPr>
              <w:t>250 (klasse 8 en 9)</w:t>
            </w:r>
          </w:p>
        </w:tc>
      </w:tr>
      <w:tr>
        <w:tc>
          <w:tcPr>
            <w:tcW w:type="dxa" w:w="3135"/>
          </w:tcPr>
          <w:p>
            <w:pPr>
              <w:spacing w:before="40" w:after="40"/>
            </w:pPr>
            <w:r/>
            <w:r>
              <w:rPr>
                <w:rFonts w:ascii="Calibri" w:hAnsi="Calibri"/>
                <w:color w:val="000000"/>
                <w:sz w:val="20"/>
              </w:rPr>
              <w:t>Klasse 2 (gasflessen)</w:t>
            </w:r>
          </w:p>
        </w:tc>
        <w:tc>
          <w:tcPr>
            <w:tcW w:type="dxa" w:w="3135"/>
          </w:tcPr>
          <w:p>
            <w:pPr>
              <w:spacing w:before="40" w:after="40"/>
            </w:pPr>
            <w:r/>
            <w:r>
              <w:rPr>
                <w:rFonts w:ascii="Calibri" w:hAnsi="Calibri"/>
                <w:color w:val="000000"/>
                <w:sz w:val="20"/>
              </w:rPr>
              <w:t>n.v.t.</w:t>
            </w:r>
          </w:p>
        </w:tc>
        <w:tc>
          <w:tcPr>
            <w:tcW w:type="dxa" w:w="3135"/>
          </w:tcPr>
          <w:p>
            <w:pPr>
              <w:spacing w:before="40" w:after="40"/>
            </w:pPr>
            <w:r/>
            <w:r>
              <w:rPr>
                <w:rFonts w:ascii="Calibri" w:hAnsi="Calibri"/>
                <w:color w:val="000000"/>
                <w:sz w:val="20"/>
              </w:rPr>
              <w:t>125 l waterinhoud</w:t>
            </w:r>
          </w:p>
        </w:tc>
      </w:tr>
    </w:tbl>
    <w:p/>
    <w:p>
      <w:pPr>
        <w:spacing w:after="120" w:before="40"/>
      </w:pPr>
      <w:r>
        <w:rPr>
          <w:rFonts w:ascii="Calibri" w:hAnsi="Calibri"/>
          <w:color w:val="000000"/>
          <w:sz w:val="22"/>
        </w:rPr>
        <w:t xml:space="preserve">Indien er sprake is van verschillende stoffen met verschillende ondergrenzen, wordt de ondergrens overschreden wanneer de som van (hoeveelheid/ondergrens) groter of gelijk is aan 1. </w:t>
      </w:r>
      <w:r>
        <w:rPr>
          <w:rFonts w:ascii="Calibri" w:hAnsi="Calibri"/>
          <w:i/>
          <w:color w:val="00A8E8"/>
          <w:sz w:val="22"/>
        </w:rPr>
        <w:t>[PGS 15:2016 — H1.4, tabel 1.2, voetnoot d]</w:t>
      </w:r>
    </w:p>
    <w:p>
      <w:pPr>
        <w:spacing w:after="120" w:before="40"/>
      </w:pPr>
      <w:r>
        <w:rPr>
          <w:rFonts w:ascii="Calibri" w:hAnsi="Calibri"/>
          <w:color w:val="000000"/>
          <w:sz w:val="22"/>
        </w:rPr>
        <w:t>2.4 Werkvoorraad vs opslag</w:t>
      </w:r>
    </w:p>
    <w:p>
      <w:pPr>
        <w:spacing w:after="120" w:before="40"/>
      </w:pPr>
      <w:r>
        <w:rPr>
          <w:rFonts w:ascii="Calibri" w:hAnsi="Calibri"/>
          <w:color w:val="000000"/>
          <w:sz w:val="22"/>
        </w:rPr>
        <w:t xml:space="preserve">Werkvoorraad is de hoeveelheid verpakte gevaarlijke stoffen op de werkplek die strikt noodzakelijk is voor een goede voortgang van het werk. Aan werkvoorraad gelden voorwaarden: </w:t>
      </w:r>
      <w:r>
        <w:rPr>
          <w:rFonts w:ascii="Calibri" w:hAnsi="Calibri"/>
          <w:i/>
          <w:color w:val="00A8E8"/>
          <w:sz w:val="22"/>
        </w:rPr>
        <w:t>[PGS 15:2016 — H3.1.3]</w:t>
      </w:r>
    </w:p>
    <w:p>
      <w:pPr>
        <w:pStyle w:val="ListBullet"/>
        <w:spacing w:after="60"/>
      </w:pPr>
      <w:r>
        <w:rPr>
          <w:rFonts w:ascii="Calibri" w:hAnsi="Calibri"/>
          <w:sz w:val="22"/>
        </w:rPr>
        <w:t>Per gevaarlijke stof mag maximaal één aangebroken verpakkingseenheid plus één reserve aanwezig zijn.</w:t>
      </w:r>
    </w:p>
    <w:p>
      <w:pPr>
        <w:pStyle w:val="ListBullet"/>
        <w:spacing w:after="60"/>
      </w:pPr>
      <w:r>
        <w:rPr>
          <w:rFonts w:ascii="Calibri" w:hAnsi="Calibri"/>
          <w:sz w:val="22"/>
        </w:rPr>
        <w:t>De werkvoorraad mag zich niet bevinden in een rijroute van een vorkheftruck en het vluchten niet belemmeren.</w:t>
      </w:r>
    </w:p>
    <w:p>
      <w:pPr>
        <w:pStyle w:val="ListBullet"/>
        <w:spacing w:after="60"/>
      </w:pPr>
      <w:r>
        <w:rPr>
          <w:rFonts w:ascii="Calibri" w:hAnsi="Calibri"/>
          <w:sz w:val="22"/>
        </w:rPr>
        <w:t>Bij meer dan 50 liter brandbare vloeistoffen is een lekbak vereist.</w:t>
      </w:r>
    </w:p>
    <w:p>
      <w:pPr>
        <w:pStyle w:val="ListBullet"/>
        <w:spacing w:after="60"/>
      </w:pPr>
      <w:r>
        <w:rPr>
          <w:rFonts w:ascii="Calibri" w:hAnsi="Calibri"/>
          <w:sz w:val="22"/>
        </w:rPr>
        <w:t>Werkvoorraad hoeft niet dagelijks te worden overgebracht naar de opslagruimte (transportrisico's wegen zwaarder dan stationair risico).</w:t>
      </w:r>
    </w:p>
    <w:p>
      <w:pPr>
        <w:pStyle w:val="ListBullet"/>
        <w:spacing w:after="60"/>
      </w:pPr>
      <w:r>
        <w:rPr>
          <w:rFonts w:ascii="Calibri" w:hAnsi="Calibri"/>
          <w:sz w:val="22"/>
        </w:rPr>
        <w:t>Meerdere niet-geopende eenheden die onnodig dagenlang in een werkruimte verblijven, kwalificeren als "verkapte opslag" en behoren in een opslagruimte te worden bewaard.</w:t>
      </w:r>
    </w:p>
    <w:p>
      <w:pPr>
        <w:spacing w:after="120" w:before="40"/>
      </w:pPr>
      <w:r>
        <w:rPr>
          <w:rFonts w:ascii="Calibri" w:hAnsi="Calibri"/>
          <w:color w:val="000000"/>
          <w:sz w:val="22"/>
        </w:rPr>
        <w:t>HOOFDSTUK 3 — HOE IS PGS-15 OPGEBOUWD?</w:t>
      </w:r>
    </w:p>
    <w:p>
      <w:pPr>
        <w:spacing w:after="120" w:before="40"/>
      </w:pPr>
      <w:r>
        <w:rPr>
          <w:rFonts w:ascii="Calibri" w:hAnsi="Calibri"/>
          <w:color w:val="000000"/>
          <w:sz w:val="22"/>
        </w:rPr>
        <w:t>3.1 Hoofdstukindeling</w:t>
      </w:r>
    </w:p>
    <w:p>
      <w:pPr>
        <w:spacing w:after="120" w:before="40"/>
      </w:pPr>
      <w:r>
        <w:rPr>
          <w:rFonts w:ascii="Calibri" w:hAnsi="Calibri"/>
          <w:color w:val="000000"/>
          <w:sz w:val="22"/>
        </w:rPr>
        <w:t xml:space="preserve">PGS 15:2016 kent de volgende hoofdstukken: </w:t>
      </w:r>
      <w:r>
        <w:rPr>
          <w:rFonts w:ascii="Calibri" w:hAnsi="Calibri"/>
          <w:i/>
          <w:color w:val="00A8E8"/>
          <w:sz w:val="22"/>
        </w:rPr>
        <w:t>[PGS 15:2016 — algemene structuur]</w:t>
      </w:r>
    </w:p>
    <w:p>
      <w:pPr>
        <w:pStyle w:val="ListBullet"/>
        <w:spacing w:after="60"/>
      </w:pPr>
      <w:r>
        <w:rPr>
          <w:rFonts w:ascii="Calibri" w:hAnsi="Calibri"/>
          <w:sz w:val="22"/>
        </w:rPr>
        <w:t>Hoofdstuk 1: Algemene uitgangspunten, werkingssfeer, ondergrenzen, definities</w:t>
      </w:r>
    </w:p>
    <w:p>
      <w:pPr>
        <w:pStyle w:val="ListBullet"/>
        <w:spacing w:after="60"/>
      </w:pPr>
      <w:r>
        <w:rPr>
          <w:rFonts w:ascii="Calibri" w:hAnsi="Calibri"/>
          <w:sz w:val="22"/>
        </w:rPr>
        <w:t>Hoofdstuk 2: Maatregelen van algemene aard (toelichting op de hoofdlijnen)</w:t>
      </w:r>
    </w:p>
    <w:p>
      <w:pPr>
        <w:pStyle w:val="ListBullet"/>
        <w:spacing w:after="60"/>
      </w:pPr>
      <w:r>
        <w:rPr>
          <w:rFonts w:ascii="Calibri" w:hAnsi="Calibri"/>
          <w:sz w:val="22"/>
        </w:rPr>
        <w:t>Hoofdstuk 3: Maatregelen voor opslagvoorzieningen tot 10.000 kg — algemene voorschriften inclusief werkvoorraad, bouwkundige eisen, productopvang, brandveiligheidskasten, incidentenbestrijding, veiligheidsinstructies, vakbekwaamheid, journaal, noodplan</w:t>
      </w:r>
    </w:p>
    <w:p>
      <w:pPr>
        <w:pStyle w:val="ListBullet"/>
        <w:spacing w:after="60"/>
      </w:pPr>
      <w:r>
        <w:rPr>
          <w:rFonts w:ascii="Calibri" w:hAnsi="Calibri"/>
          <w:sz w:val="22"/>
        </w:rPr>
        <w:t>Hoofdstuk 4: Opslagvoorzieningen van meer dan 10.000 kg — beschermingsniveaus 1, 2a, 3 en 4, brandbeveiligingsinstallaties, bluswateropvang</w:t>
      </w:r>
    </w:p>
    <w:p>
      <w:pPr>
        <w:pStyle w:val="ListBullet"/>
        <w:spacing w:after="60"/>
      </w:pPr>
      <w:r>
        <w:rPr>
          <w:rFonts w:ascii="Calibri" w:hAnsi="Calibri"/>
          <w:sz w:val="22"/>
        </w:rPr>
        <w:t>Hoofdstuk 5: Tijdelijke opslag van verpakte gevaarlijke stoffen</w:t>
      </w:r>
    </w:p>
    <w:p>
      <w:pPr>
        <w:pStyle w:val="ListBullet"/>
        <w:spacing w:after="60"/>
      </w:pPr>
      <w:r>
        <w:rPr>
          <w:rFonts w:ascii="Calibri" w:hAnsi="Calibri"/>
          <w:sz w:val="22"/>
        </w:rPr>
        <w:t>Hoofdstuk 6: Gasflessen — algemeen en brandveiligheidskasten (H6.3)</w:t>
      </w:r>
    </w:p>
    <w:p>
      <w:pPr>
        <w:pStyle w:val="ListBullet"/>
        <w:spacing w:after="60"/>
      </w:pPr>
      <w:r>
        <w:rPr>
          <w:rFonts w:ascii="Calibri" w:hAnsi="Calibri"/>
          <w:sz w:val="22"/>
        </w:rPr>
        <w:t>Hoofdstuk 7: Spuitbussen en gaspatronen</w:t>
      </w:r>
    </w:p>
    <w:p>
      <w:pPr>
        <w:pStyle w:val="ListBullet"/>
        <w:spacing w:after="60"/>
      </w:pPr>
      <w:r>
        <w:rPr>
          <w:rFonts w:ascii="Calibri" w:hAnsi="Calibri"/>
          <w:sz w:val="22"/>
        </w:rPr>
        <w:t>Hoofdstuk 8: Stoffen uit de klassen 4.1, 4.2 en 4.3</w:t>
      </w:r>
    </w:p>
    <w:p>
      <w:pPr>
        <w:pStyle w:val="ListBullet"/>
        <w:spacing w:after="60"/>
      </w:pPr>
      <w:r>
        <w:rPr>
          <w:rFonts w:ascii="Calibri" w:hAnsi="Calibri"/>
          <w:sz w:val="22"/>
        </w:rPr>
        <w:t>Hoofdstuk 9: Beperkte hoeveelheden organische peroxiden</w:t>
      </w:r>
    </w:p>
    <w:p>
      <w:pPr>
        <w:pStyle w:val="ListBullet"/>
        <w:spacing w:after="60"/>
      </w:pPr>
      <w:r>
        <w:rPr>
          <w:rFonts w:ascii="Calibri" w:hAnsi="Calibri"/>
          <w:sz w:val="22"/>
        </w:rPr>
        <w:t>Hoofdstuk 10: Containerterminals — opslag van containers geladen met gevaarlijke stoffen</w:t>
      </w:r>
    </w:p>
    <w:p>
      <w:pPr>
        <w:spacing w:after="120" w:before="40"/>
      </w:pPr>
      <w:r>
        <w:rPr>
          <w:rFonts w:ascii="Calibri" w:hAnsi="Calibri"/>
          <w:color w:val="000000"/>
          <w:sz w:val="22"/>
        </w:rPr>
        <w:t>Daarnaast bevatten de bijlagen A t/m I aanvullende informatie, waaronder bijlage E (compartimentering en onverenigbare combinaties) en bijlage G (verwijzing naar PGS 14, brandblus- en brandbeheersingssystemen).</w:t>
      </w:r>
    </w:p>
    <w:p>
      <w:pPr>
        <w:spacing w:after="120" w:before="40"/>
      </w:pPr>
      <w:r>
        <w:rPr>
          <w:rFonts w:ascii="Calibri" w:hAnsi="Calibri"/>
          <w:color w:val="000000"/>
          <w:sz w:val="22"/>
        </w:rPr>
        <w:t>3.2 Waar vind je wat</w:t>
      </w:r>
    </w:p>
    <w:tbl>
      <w:tblPr>
        <w:tblW w:type="auto" w:w="0"/>
        <w:jc w:val="center"/>
        <w:tblLayout w:type="autofit"/>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703"/>
        <w:gridCol w:w="4703"/>
      </w:tblGrid>
      <w:tr>
        <w:tc>
          <w:tcPr>
            <w:tcW w:type="dxa" w:w="4703"/>
            <w:shd w:fill="003366"/>
          </w:tcPr>
          <w:p>
            <w:pPr>
              <w:spacing w:before="40" w:after="40"/>
            </w:pPr>
            <w:r/>
            <w:r>
              <w:rPr>
                <w:rFonts w:ascii="Calibri" w:hAnsi="Calibri"/>
                <w:b/>
                <w:color w:val="FFFFFF"/>
                <w:sz w:val="20"/>
              </w:rPr>
              <w:t>Onderwerp</w:t>
            </w:r>
          </w:p>
        </w:tc>
        <w:tc>
          <w:tcPr>
            <w:tcW w:type="dxa" w:w="4703"/>
            <w:shd w:fill="003366"/>
          </w:tcPr>
          <w:p>
            <w:pPr>
              <w:spacing w:before="40" w:after="40"/>
            </w:pPr>
            <w:r/>
            <w:r>
              <w:rPr>
                <w:rFonts w:ascii="Calibri" w:hAnsi="Calibri"/>
                <w:b/>
                <w:color w:val="FFFFFF"/>
                <w:sz w:val="20"/>
              </w:rPr>
              <w:t>Hoofdstuk</w:t>
            </w:r>
          </w:p>
        </w:tc>
      </w:tr>
      <w:tr>
        <w:tc>
          <w:tcPr>
            <w:tcW w:type="dxa" w:w="4703"/>
          </w:tcPr>
          <w:p>
            <w:pPr>
              <w:spacing w:before="40" w:after="40"/>
            </w:pPr>
            <w:r/>
            <w:r>
              <w:rPr>
                <w:rFonts w:ascii="Calibri" w:hAnsi="Calibri"/>
                <w:color w:val="000000"/>
                <w:sz w:val="20"/>
              </w:rPr>
              <w:t>---</w:t>
            </w:r>
          </w:p>
        </w:tc>
        <w:tc>
          <w:tcPr>
            <w:tcW w:type="dxa" w:w="4703"/>
          </w:tcPr>
          <w:p>
            <w:pPr>
              <w:spacing w:before="40" w:after="40"/>
            </w:pPr>
            <w:r/>
            <w:r>
              <w:rPr>
                <w:rFonts w:ascii="Calibri" w:hAnsi="Calibri"/>
                <w:color w:val="000000"/>
                <w:sz w:val="20"/>
              </w:rPr>
              <w:t>---</w:t>
            </w:r>
          </w:p>
        </w:tc>
      </w:tr>
      <w:tr>
        <w:tc>
          <w:tcPr>
            <w:tcW w:type="dxa" w:w="4703"/>
            <w:shd w:fill="F8F9FA"/>
          </w:tcPr>
          <w:p>
            <w:pPr>
              <w:spacing w:before="40" w:after="40"/>
            </w:pPr>
            <w:r/>
            <w:r>
              <w:rPr>
                <w:rFonts w:ascii="Calibri" w:hAnsi="Calibri"/>
                <w:color w:val="000000"/>
                <w:sz w:val="20"/>
              </w:rPr>
              <w:t>Werkingssfeer en ondergrenzen</w:t>
            </w:r>
          </w:p>
        </w:tc>
        <w:tc>
          <w:tcPr>
            <w:tcW w:type="dxa" w:w="4703"/>
            <w:shd w:fill="F8F9FA"/>
          </w:tcPr>
          <w:p>
            <w:pPr>
              <w:spacing w:before="40" w:after="40"/>
            </w:pPr>
            <w:r/>
            <w:r>
              <w:rPr>
                <w:rFonts w:ascii="Calibri" w:hAnsi="Calibri"/>
                <w:color w:val="000000"/>
                <w:sz w:val="20"/>
              </w:rPr>
              <w:t>H1</w:t>
            </w:r>
          </w:p>
        </w:tc>
      </w:tr>
      <w:tr>
        <w:tc>
          <w:tcPr>
            <w:tcW w:type="dxa" w:w="4703"/>
          </w:tcPr>
          <w:p>
            <w:pPr>
              <w:spacing w:before="40" w:after="40"/>
            </w:pPr>
            <w:r/>
            <w:r>
              <w:rPr>
                <w:rFonts w:ascii="Calibri" w:hAnsi="Calibri"/>
                <w:color w:val="000000"/>
                <w:sz w:val="20"/>
              </w:rPr>
              <w:t>Werkvoorraad</w:t>
            </w:r>
          </w:p>
        </w:tc>
        <w:tc>
          <w:tcPr>
            <w:tcW w:type="dxa" w:w="4703"/>
          </w:tcPr>
          <w:p>
            <w:pPr>
              <w:spacing w:before="40" w:after="40"/>
            </w:pPr>
            <w:r/>
            <w:r>
              <w:rPr>
                <w:rFonts w:ascii="Calibri" w:hAnsi="Calibri"/>
                <w:color w:val="000000"/>
                <w:sz w:val="20"/>
              </w:rPr>
              <w:t>H3.1</w:t>
            </w:r>
          </w:p>
        </w:tc>
      </w:tr>
      <w:tr>
        <w:tc>
          <w:tcPr>
            <w:tcW w:type="dxa" w:w="4703"/>
            <w:shd w:fill="F8F9FA"/>
          </w:tcPr>
          <w:p>
            <w:pPr>
              <w:spacing w:before="40" w:after="40"/>
            </w:pPr>
            <w:r/>
            <w:r>
              <w:rPr>
                <w:rFonts w:ascii="Calibri" w:hAnsi="Calibri"/>
                <w:color w:val="000000"/>
                <w:sz w:val="20"/>
              </w:rPr>
              <w:t>Bouwkundige eisen opslagvoorziening</w:t>
            </w:r>
          </w:p>
        </w:tc>
        <w:tc>
          <w:tcPr>
            <w:tcW w:type="dxa" w:w="4703"/>
            <w:shd w:fill="F8F9FA"/>
          </w:tcPr>
          <w:p>
            <w:pPr>
              <w:spacing w:before="40" w:after="40"/>
            </w:pPr>
            <w:r/>
            <w:r>
              <w:rPr>
                <w:rFonts w:ascii="Calibri" w:hAnsi="Calibri"/>
                <w:color w:val="000000"/>
                <w:sz w:val="20"/>
              </w:rPr>
              <w:t>H3.2</w:t>
            </w:r>
          </w:p>
        </w:tc>
      </w:tr>
      <w:tr>
        <w:tc>
          <w:tcPr>
            <w:tcW w:type="dxa" w:w="4703"/>
          </w:tcPr>
          <w:p>
            <w:pPr>
              <w:spacing w:before="40" w:after="40"/>
            </w:pPr>
            <w:r/>
            <w:r>
              <w:rPr>
                <w:rFonts w:ascii="Calibri" w:hAnsi="Calibri"/>
                <w:color w:val="000000"/>
                <w:sz w:val="20"/>
              </w:rPr>
              <w:t>Productopvang</w:t>
            </w:r>
          </w:p>
        </w:tc>
        <w:tc>
          <w:tcPr>
            <w:tcW w:type="dxa" w:w="4703"/>
          </w:tcPr>
          <w:p>
            <w:pPr>
              <w:spacing w:before="40" w:after="40"/>
            </w:pPr>
            <w:r/>
            <w:r>
              <w:rPr>
                <w:rFonts w:ascii="Calibri" w:hAnsi="Calibri"/>
                <w:color w:val="000000"/>
                <w:sz w:val="20"/>
              </w:rPr>
              <w:t>H3.3</w:t>
            </w:r>
          </w:p>
        </w:tc>
      </w:tr>
      <w:tr>
        <w:tc>
          <w:tcPr>
            <w:tcW w:type="dxa" w:w="4703"/>
            <w:shd w:fill="F8F9FA"/>
          </w:tcPr>
          <w:p>
            <w:pPr>
              <w:spacing w:before="40" w:after="40"/>
            </w:pPr>
            <w:r/>
            <w:r>
              <w:rPr>
                <w:rFonts w:ascii="Calibri" w:hAnsi="Calibri"/>
                <w:color w:val="000000"/>
                <w:sz w:val="20"/>
              </w:rPr>
              <w:t>Compartimentering</w:t>
            </w:r>
          </w:p>
        </w:tc>
        <w:tc>
          <w:tcPr>
            <w:tcW w:type="dxa" w:w="4703"/>
            <w:shd w:fill="F8F9FA"/>
          </w:tcPr>
          <w:p>
            <w:pPr>
              <w:spacing w:before="40" w:after="40"/>
            </w:pPr>
            <w:r/>
            <w:r>
              <w:rPr>
                <w:rFonts w:ascii="Calibri" w:hAnsi="Calibri"/>
                <w:color w:val="000000"/>
                <w:sz w:val="20"/>
              </w:rPr>
              <w:t>H3.4, bijlage E</w:t>
            </w:r>
          </w:p>
        </w:tc>
      </w:tr>
      <w:tr>
        <w:tc>
          <w:tcPr>
            <w:tcW w:type="dxa" w:w="4703"/>
          </w:tcPr>
          <w:p>
            <w:pPr>
              <w:spacing w:before="40" w:after="40"/>
            </w:pPr>
            <w:r/>
            <w:r>
              <w:rPr>
                <w:rFonts w:ascii="Calibri" w:hAnsi="Calibri"/>
                <w:color w:val="000000"/>
                <w:sz w:val="20"/>
              </w:rPr>
              <w:t>Vakbekwaamheid</w:t>
            </w:r>
          </w:p>
        </w:tc>
        <w:tc>
          <w:tcPr>
            <w:tcW w:type="dxa" w:w="4703"/>
          </w:tcPr>
          <w:p>
            <w:pPr>
              <w:spacing w:before="40" w:after="40"/>
            </w:pPr>
            <w:r/>
            <w:r>
              <w:rPr>
                <w:rFonts w:ascii="Calibri" w:hAnsi="Calibri"/>
                <w:color w:val="000000"/>
                <w:sz w:val="20"/>
              </w:rPr>
              <w:t>H3.5</w:t>
            </w:r>
          </w:p>
        </w:tc>
      </w:tr>
      <w:tr>
        <w:tc>
          <w:tcPr>
            <w:tcW w:type="dxa" w:w="4703"/>
            <w:shd w:fill="F8F9FA"/>
          </w:tcPr>
          <w:p>
            <w:pPr>
              <w:spacing w:before="40" w:after="40"/>
            </w:pPr>
            <w:r/>
            <w:r>
              <w:rPr>
                <w:rFonts w:ascii="Calibri" w:hAnsi="Calibri"/>
                <w:color w:val="000000"/>
                <w:sz w:val="20"/>
              </w:rPr>
              <w:t>Journaal en registratie</w:t>
            </w:r>
          </w:p>
        </w:tc>
        <w:tc>
          <w:tcPr>
            <w:tcW w:type="dxa" w:w="4703"/>
            <w:shd w:fill="F8F9FA"/>
          </w:tcPr>
          <w:p>
            <w:pPr>
              <w:spacing w:before="40" w:after="40"/>
            </w:pPr>
            <w:r/>
            <w:r>
              <w:rPr>
                <w:rFonts w:ascii="Calibri" w:hAnsi="Calibri"/>
                <w:color w:val="000000"/>
                <w:sz w:val="20"/>
              </w:rPr>
              <w:t>H3.6</w:t>
            </w:r>
          </w:p>
        </w:tc>
      </w:tr>
      <w:tr>
        <w:tc>
          <w:tcPr>
            <w:tcW w:type="dxa" w:w="4703"/>
          </w:tcPr>
          <w:p>
            <w:pPr>
              <w:spacing w:before="40" w:after="40"/>
            </w:pPr>
            <w:r/>
            <w:r>
              <w:rPr>
                <w:rFonts w:ascii="Calibri" w:hAnsi="Calibri"/>
                <w:color w:val="000000"/>
                <w:sz w:val="20"/>
              </w:rPr>
              <w:t>Intern noodplan</w:t>
            </w:r>
          </w:p>
        </w:tc>
        <w:tc>
          <w:tcPr>
            <w:tcW w:type="dxa" w:w="4703"/>
          </w:tcPr>
          <w:p>
            <w:pPr>
              <w:spacing w:before="40" w:after="40"/>
            </w:pPr>
            <w:r/>
            <w:r>
              <w:rPr>
                <w:rFonts w:ascii="Calibri" w:hAnsi="Calibri"/>
                <w:color w:val="000000"/>
                <w:sz w:val="20"/>
              </w:rPr>
              <w:t>H3.7</w:t>
            </w:r>
          </w:p>
        </w:tc>
      </w:tr>
      <w:tr>
        <w:tc>
          <w:tcPr>
            <w:tcW w:type="dxa" w:w="4703"/>
            <w:shd w:fill="F8F9FA"/>
          </w:tcPr>
          <w:p>
            <w:pPr>
              <w:spacing w:before="40" w:after="40"/>
            </w:pPr>
            <w:r/>
            <w:r>
              <w:rPr>
                <w:rFonts w:ascii="Calibri" w:hAnsi="Calibri"/>
                <w:color w:val="000000"/>
                <w:sz w:val="20"/>
              </w:rPr>
              <w:t>Veiligheidssignalering</w:t>
            </w:r>
          </w:p>
        </w:tc>
        <w:tc>
          <w:tcPr>
            <w:tcW w:type="dxa" w:w="4703"/>
            <w:shd w:fill="F8F9FA"/>
          </w:tcPr>
          <w:p>
            <w:pPr>
              <w:spacing w:before="40" w:after="40"/>
            </w:pPr>
            <w:r/>
            <w:r>
              <w:rPr>
                <w:rFonts w:ascii="Calibri" w:hAnsi="Calibri"/>
                <w:color w:val="000000"/>
                <w:sz w:val="20"/>
              </w:rPr>
              <w:t>H3.8</w:t>
            </w:r>
          </w:p>
        </w:tc>
      </w:tr>
      <w:tr>
        <w:tc>
          <w:tcPr>
            <w:tcW w:type="dxa" w:w="4703"/>
          </w:tcPr>
          <w:p>
            <w:pPr>
              <w:spacing w:before="40" w:after="40"/>
            </w:pPr>
            <w:r/>
            <w:r>
              <w:rPr>
                <w:rFonts w:ascii="Calibri" w:hAnsi="Calibri"/>
                <w:color w:val="000000"/>
                <w:sz w:val="20"/>
              </w:rPr>
              <w:t>Opslag &gt;10.000 kg</w:t>
            </w:r>
          </w:p>
        </w:tc>
        <w:tc>
          <w:tcPr>
            <w:tcW w:type="dxa" w:w="4703"/>
          </w:tcPr>
          <w:p>
            <w:pPr>
              <w:spacing w:before="40" w:after="40"/>
            </w:pPr>
            <w:r/>
            <w:r>
              <w:rPr>
                <w:rFonts w:ascii="Calibri" w:hAnsi="Calibri"/>
                <w:color w:val="000000"/>
                <w:sz w:val="20"/>
              </w:rPr>
              <w:t>H4</w:t>
            </w:r>
          </w:p>
        </w:tc>
      </w:tr>
      <w:tr>
        <w:tc>
          <w:tcPr>
            <w:tcW w:type="dxa" w:w="4703"/>
            <w:shd w:fill="F8F9FA"/>
          </w:tcPr>
          <w:p>
            <w:pPr>
              <w:spacing w:before="40" w:after="40"/>
            </w:pPr>
            <w:r/>
            <w:r>
              <w:rPr>
                <w:rFonts w:ascii="Calibri" w:hAnsi="Calibri"/>
                <w:color w:val="000000"/>
                <w:sz w:val="20"/>
              </w:rPr>
              <w:t>Tijdelijke opslag</w:t>
            </w:r>
          </w:p>
        </w:tc>
        <w:tc>
          <w:tcPr>
            <w:tcW w:type="dxa" w:w="4703"/>
            <w:shd w:fill="F8F9FA"/>
          </w:tcPr>
          <w:p>
            <w:pPr>
              <w:spacing w:before="40" w:after="40"/>
            </w:pPr>
            <w:r/>
            <w:r>
              <w:rPr>
                <w:rFonts w:ascii="Calibri" w:hAnsi="Calibri"/>
                <w:color w:val="000000"/>
                <w:sz w:val="20"/>
              </w:rPr>
              <w:t>H5</w:t>
            </w:r>
          </w:p>
        </w:tc>
      </w:tr>
      <w:tr>
        <w:tc>
          <w:tcPr>
            <w:tcW w:type="dxa" w:w="4703"/>
          </w:tcPr>
          <w:p>
            <w:pPr>
              <w:spacing w:before="40" w:after="40"/>
            </w:pPr>
            <w:r/>
            <w:r>
              <w:rPr>
                <w:rFonts w:ascii="Calibri" w:hAnsi="Calibri"/>
                <w:color w:val="000000"/>
                <w:sz w:val="20"/>
              </w:rPr>
              <w:t>Gasflessen</w:t>
            </w:r>
          </w:p>
        </w:tc>
        <w:tc>
          <w:tcPr>
            <w:tcW w:type="dxa" w:w="4703"/>
          </w:tcPr>
          <w:p>
            <w:pPr>
              <w:spacing w:before="40" w:after="40"/>
            </w:pPr>
            <w:r/>
            <w:r>
              <w:rPr>
                <w:rFonts w:ascii="Calibri" w:hAnsi="Calibri"/>
                <w:color w:val="000000"/>
                <w:sz w:val="20"/>
              </w:rPr>
              <w:t>H6</w:t>
            </w:r>
          </w:p>
        </w:tc>
      </w:tr>
      <w:tr>
        <w:tc>
          <w:tcPr>
            <w:tcW w:type="dxa" w:w="4703"/>
            <w:shd w:fill="F8F9FA"/>
          </w:tcPr>
          <w:p>
            <w:pPr>
              <w:spacing w:before="40" w:after="40"/>
            </w:pPr>
            <w:r/>
            <w:r>
              <w:rPr>
                <w:rFonts w:ascii="Calibri" w:hAnsi="Calibri"/>
                <w:color w:val="000000"/>
                <w:sz w:val="20"/>
              </w:rPr>
              <w:t>Spuitbussen</w:t>
            </w:r>
          </w:p>
        </w:tc>
        <w:tc>
          <w:tcPr>
            <w:tcW w:type="dxa" w:w="4703"/>
            <w:shd w:fill="F8F9FA"/>
          </w:tcPr>
          <w:p>
            <w:pPr>
              <w:spacing w:before="40" w:after="40"/>
            </w:pPr>
            <w:r/>
            <w:r>
              <w:rPr>
                <w:rFonts w:ascii="Calibri" w:hAnsi="Calibri"/>
                <w:color w:val="000000"/>
                <w:sz w:val="20"/>
              </w:rPr>
              <w:t>H7</w:t>
            </w:r>
          </w:p>
        </w:tc>
      </w:tr>
      <w:tr>
        <w:tc>
          <w:tcPr>
            <w:tcW w:type="dxa" w:w="4703"/>
          </w:tcPr>
          <w:p>
            <w:pPr>
              <w:spacing w:before="40" w:after="40"/>
            </w:pPr>
            <w:r/>
            <w:r>
              <w:rPr>
                <w:rFonts w:ascii="Calibri" w:hAnsi="Calibri"/>
                <w:color w:val="000000"/>
                <w:sz w:val="20"/>
              </w:rPr>
              <w:t>Klasse 4-stoffen</w:t>
            </w:r>
          </w:p>
        </w:tc>
        <w:tc>
          <w:tcPr>
            <w:tcW w:type="dxa" w:w="4703"/>
          </w:tcPr>
          <w:p>
            <w:pPr>
              <w:spacing w:before="40" w:after="40"/>
            </w:pPr>
            <w:r/>
            <w:r>
              <w:rPr>
                <w:rFonts w:ascii="Calibri" w:hAnsi="Calibri"/>
                <w:color w:val="000000"/>
                <w:sz w:val="20"/>
              </w:rPr>
              <w:t>H8</w:t>
            </w:r>
          </w:p>
        </w:tc>
      </w:tr>
      <w:tr>
        <w:tc>
          <w:tcPr>
            <w:tcW w:type="dxa" w:w="4703"/>
            <w:shd w:fill="F8F9FA"/>
          </w:tcPr>
          <w:p>
            <w:pPr>
              <w:spacing w:before="40" w:after="40"/>
            </w:pPr>
            <w:r/>
            <w:r>
              <w:rPr>
                <w:rFonts w:ascii="Calibri" w:hAnsi="Calibri"/>
                <w:color w:val="000000"/>
                <w:sz w:val="20"/>
              </w:rPr>
              <w:t>Organische peroxiden</w:t>
            </w:r>
          </w:p>
        </w:tc>
        <w:tc>
          <w:tcPr>
            <w:tcW w:type="dxa" w:w="4703"/>
            <w:shd w:fill="F8F9FA"/>
          </w:tcPr>
          <w:p>
            <w:pPr>
              <w:spacing w:before="40" w:after="40"/>
            </w:pPr>
            <w:r/>
            <w:r>
              <w:rPr>
                <w:rFonts w:ascii="Calibri" w:hAnsi="Calibri"/>
                <w:color w:val="000000"/>
                <w:sz w:val="20"/>
              </w:rPr>
              <w:t>H9</w:t>
            </w:r>
          </w:p>
        </w:tc>
      </w:tr>
      <w:tr>
        <w:tc>
          <w:tcPr>
            <w:tcW w:type="dxa" w:w="4703"/>
          </w:tcPr>
          <w:p>
            <w:pPr>
              <w:spacing w:before="40" w:after="40"/>
            </w:pPr>
            <w:r/>
            <w:r>
              <w:rPr>
                <w:rFonts w:ascii="Calibri" w:hAnsi="Calibri"/>
                <w:color w:val="000000"/>
                <w:sz w:val="20"/>
              </w:rPr>
              <w:t>Containerterminals</w:t>
            </w:r>
          </w:p>
        </w:tc>
        <w:tc>
          <w:tcPr>
            <w:tcW w:type="dxa" w:w="4703"/>
          </w:tcPr>
          <w:p>
            <w:pPr>
              <w:spacing w:before="40" w:after="40"/>
            </w:pPr>
            <w:r/>
            <w:r>
              <w:rPr>
                <w:rFonts w:ascii="Calibri" w:hAnsi="Calibri"/>
                <w:color w:val="000000"/>
                <w:sz w:val="20"/>
              </w:rPr>
              <w:t>H10</w:t>
            </w:r>
          </w:p>
        </w:tc>
      </w:tr>
    </w:tbl>
    <w:p/>
    <w:p>
      <w:pPr>
        <w:spacing w:after="120" w:before="40"/>
      </w:pPr>
      <w:r>
        <w:rPr>
          <w:rFonts w:ascii="Calibri" w:hAnsi="Calibri"/>
          <w:color w:val="000000"/>
          <w:sz w:val="22"/>
        </w:rPr>
        <w:t>3.3 Beschermingsniveaus uitgelegd</w:t>
      </w:r>
    </w:p>
    <w:p>
      <w:pPr>
        <w:spacing w:after="120" w:before="40"/>
      </w:pPr>
      <w:r>
        <w:rPr>
          <w:rFonts w:ascii="Calibri" w:hAnsi="Calibri"/>
          <w:color w:val="000000"/>
          <w:sz w:val="22"/>
        </w:rPr>
        <w:t xml:space="preserve">Voor opslagvoorzieningen van meer dan 10.000 kg hanteert PGS 15 vier beschermingsniveaus. Het niveau wordt bepaald door: soort gevaarlijke stoffen (inclusief bijkomende gevaren), hoeveelheid, oppervlakte per vak, verpakkingsmateriaal en omgevingskenmerken. </w:t>
      </w:r>
      <w:r>
        <w:rPr>
          <w:rFonts w:ascii="Calibri" w:hAnsi="Calibri"/>
          <w:i/>
          <w:color w:val="00A8E8"/>
          <w:sz w:val="22"/>
        </w:rPr>
        <w:t>[PGS 15:2016 — H4]</w:t>
      </w:r>
    </w:p>
    <w:p>
      <w:pPr>
        <w:spacing w:after="120" w:before="40"/>
      </w:pPr>
      <w:r>
        <w:rPr>
          <w:rFonts w:ascii="Calibri" w:hAnsi="Calibri"/>
          <w:color w:val="000000"/>
          <w:sz w:val="22"/>
        </w:rPr>
        <w:t>Beschermingsniveau 1:</w:t>
      </w:r>
    </w:p>
    <w:p>
      <w:pPr>
        <w:spacing w:after="120" w:before="40"/>
      </w:pPr>
      <w:r>
        <w:rPr>
          <w:rFonts w:ascii="Calibri" w:hAnsi="Calibri"/>
          <w:color w:val="000000"/>
          <w:sz w:val="22"/>
        </w:rPr>
        <w:t xml:space="preserve">Vereist doelmatige branddetectie en (semi-)automatische blussing binnen korte tijd. Bluswateropvang is verplicht. Een uitgangspuntendocument (UPD) voor het brandbeveiligingssysteem is vereist, goedgekeurd door het bevoegd gezag. Jaarlijkse inspectie door een geaccrediteerde type A inspectie-instelling is verplicht. </w:t>
      </w:r>
      <w:r>
        <w:rPr>
          <w:rFonts w:ascii="Calibri" w:hAnsi="Calibri"/>
          <w:i/>
          <w:color w:val="00A8E8"/>
          <w:sz w:val="22"/>
        </w:rPr>
        <w:t>[PGS 15:2016 — H4]</w:t>
      </w:r>
    </w:p>
    <w:p>
      <w:pPr>
        <w:spacing w:after="120" w:before="40"/>
      </w:pPr>
      <w:r>
        <w:rPr>
          <w:rFonts w:ascii="Calibri" w:hAnsi="Calibri"/>
          <w:color w:val="000000"/>
          <w:sz w:val="22"/>
        </w:rPr>
        <w:t>Beschermingsniveau 2a:</w:t>
      </w:r>
    </w:p>
    <w:p>
      <w:pPr>
        <w:spacing w:after="120" w:before="40"/>
      </w:pPr>
      <w:r>
        <w:rPr>
          <w:rFonts w:ascii="Calibri" w:hAnsi="Calibri"/>
          <w:color w:val="000000"/>
          <w:sz w:val="22"/>
        </w:rPr>
        <w:t xml:space="preserve">Uitgangspunt is de brand binnen het brandcompartiment te houden zonder actieve blussing. Voldoende koelwater moet beschikbaar zijn om hittestraling op de erfgrens en eigen gebouwen te reduceren. Snelle branddetectie met doormelding naar een alarmcentrale is vereist. Maakt opslag tot maximaal 100 ton mogelijk zonder blussysteem en zonder binnenaanval door de brandweer. </w:t>
      </w:r>
      <w:r>
        <w:rPr>
          <w:rFonts w:ascii="Calibri" w:hAnsi="Calibri"/>
          <w:i/>
          <w:color w:val="00A8E8"/>
          <w:sz w:val="22"/>
        </w:rPr>
        <w:t>[PGS 15:2016 — H4]</w:t>
      </w:r>
    </w:p>
    <w:p>
      <w:pPr>
        <w:spacing w:after="120" w:before="40"/>
      </w:pPr>
      <w:r>
        <w:rPr>
          <w:rFonts w:ascii="Calibri" w:hAnsi="Calibri"/>
          <w:color w:val="000000"/>
          <w:sz w:val="22"/>
        </w:rPr>
        <w:t>Beschermingsniveau 3:</w:t>
      </w:r>
    </w:p>
    <w:p>
      <w:pPr>
        <w:spacing w:after="120" w:before="40"/>
      </w:pPr>
      <w:r>
        <w:rPr>
          <w:rFonts w:ascii="Calibri" w:hAnsi="Calibri"/>
          <w:color w:val="000000"/>
          <w:sz w:val="22"/>
        </w:rPr>
        <w:t xml:space="preserve">Van toepassing wanneer de kans op een omvangrijke brand klein wordt geacht (bijvoorbeeld niet-brandbare, niet-brandonderhoudende stoffen). Verdergaande eisen voor brandpreventie en bluswateropvang worden niet als redelijkerwijs te verlangen beschouwd. Preventieve maatregelen gelden wel. </w:t>
      </w:r>
      <w:r>
        <w:rPr>
          <w:rFonts w:ascii="Calibri" w:hAnsi="Calibri"/>
          <w:i/>
          <w:color w:val="00A8E8"/>
          <w:sz w:val="22"/>
        </w:rPr>
        <w:t>[PGS 15:2016 — H4]</w:t>
      </w:r>
    </w:p>
    <w:p>
      <w:pPr>
        <w:spacing w:after="120" w:before="40"/>
      </w:pPr>
      <w:r>
        <w:rPr>
          <w:rFonts w:ascii="Calibri" w:hAnsi="Calibri"/>
          <w:color w:val="000000"/>
          <w:sz w:val="22"/>
        </w:rPr>
        <w:t>Beschermingsniveau 4:</w:t>
      </w:r>
    </w:p>
    <w:p>
      <w:pPr>
        <w:spacing w:after="120" w:before="40"/>
      </w:pPr>
      <w:r>
        <w:rPr>
          <w:rFonts w:ascii="Calibri" w:hAnsi="Calibri"/>
          <w:color w:val="000000"/>
          <w:sz w:val="22"/>
        </w:rPr>
        <w:t xml:space="preserve">Bestemd voor ADR-klasse 8 en 9 die niet brandbaar of niet brandonderhoudend zijn. Geen eisen voor branddetectiesysteem en geen bluswateropvang vereist. Wel gelden eisen voor gescheiden opslag, bereikbaarheid, productopvang en veiligheidssignalering. </w:t>
      </w:r>
      <w:r>
        <w:rPr>
          <w:rFonts w:ascii="Calibri" w:hAnsi="Calibri"/>
          <w:i/>
          <w:color w:val="00A8E8"/>
          <w:sz w:val="22"/>
        </w:rPr>
        <w:t>[PGS 15:2016 — H4]</w:t>
      </w:r>
    </w:p>
    <w:p>
      <w:pPr>
        <w:spacing w:after="120" w:before="40"/>
      </w:pPr>
      <w:r>
        <w:rPr>
          <w:rFonts w:ascii="Calibri" w:hAnsi="Calibri"/>
          <w:color w:val="000000"/>
          <w:sz w:val="22"/>
        </w:rPr>
        <w:t>HOOFDSTUK 4 — KERNBEGRIPPEN UITGELEGD</w:t>
      </w:r>
    </w:p>
    <w:p>
      <w:pPr>
        <w:spacing w:after="120" w:before="40"/>
      </w:pPr>
      <w:r>
        <w:rPr>
          <w:rFonts w:ascii="Calibri" w:hAnsi="Calibri"/>
          <w:color w:val="000000"/>
          <w:sz w:val="22"/>
        </w:rPr>
        <w:t>4.1 Opslagvoorziening (inpandig vs uitpandig)</w:t>
      </w:r>
    </w:p>
    <w:p>
      <w:pPr>
        <w:spacing w:after="120" w:before="40"/>
      </w:pPr>
      <w:r>
        <w:rPr>
          <w:rFonts w:ascii="Calibri" w:hAnsi="Calibri"/>
          <w:color w:val="000000"/>
          <w:sz w:val="22"/>
        </w:rPr>
        <w:t xml:space="preserve">Een opslagvoorziening is een constructie die valt onder de bouwtechnische voorschriften van het Bouwbesluit, met aanvullende eisen uit PGS 15 voor de veilige opslag van gevaarlijke stoffen. </w:t>
      </w:r>
      <w:r>
        <w:rPr>
          <w:rFonts w:ascii="Calibri" w:hAnsi="Calibri"/>
          <w:i/>
          <w:color w:val="00A8E8"/>
          <w:sz w:val="22"/>
        </w:rPr>
        <w:t>[PGS 15:2016 — H3.2]</w:t>
      </w:r>
    </w:p>
    <w:p>
      <w:pPr>
        <w:spacing w:after="120" w:before="40"/>
      </w:pPr>
      <w:r>
        <w:rPr>
          <w:rFonts w:ascii="Calibri" w:hAnsi="Calibri"/>
          <w:color w:val="000000"/>
          <w:sz w:val="22"/>
        </w:rPr>
        <w:t>Inpandige opslagvoorziening: Alle voorzieningen die in een bouwwerk zijn aangebracht, inclusief kant-en-klare opslagsystemen en brandveiligheidsopslagkasten. Bouwtechnische eisen:</w:t>
      </w:r>
    </w:p>
    <w:p>
      <w:pPr>
        <w:pStyle w:val="ListBullet"/>
        <w:spacing w:after="60"/>
      </w:pPr>
      <w:r>
        <w:rPr>
          <w:rFonts w:ascii="Calibri" w:hAnsi="Calibri"/>
          <w:sz w:val="22"/>
        </w:rPr>
        <w:t>Brandveiligheidskasten: minimaal 30 minuten brandwerendheid.</w:t>
      </w:r>
    </w:p>
    <w:p>
      <w:pPr>
        <w:pStyle w:val="ListBullet"/>
        <w:spacing w:after="60"/>
      </w:pPr>
      <w:r>
        <w:rPr>
          <w:rFonts w:ascii="Calibri" w:hAnsi="Calibri"/>
          <w:sz w:val="22"/>
        </w:rPr>
        <w:t>Inpandige opslag op verdieping: maximaal 250 kg of liter.</w:t>
      </w:r>
    </w:p>
    <w:p>
      <w:pPr>
        <w:pStyle w:val="ListBullet"/>
        <w:spacing w:after="60"/>
      </w:pPr>
      <w:r>
        <w:rPr>
          <w:rFonts w:ascii="Calibri" w:hAnsi="Calibri"/>
          <w:sz w:val="22"/>
        </w:rPr>
        <w:t>Overige inpandige opslag: maximaal 2.500 kg of liter; wanden en dak moeten 60 minuten brandwerend zijn.</w:t>
      </w:r>
    </w:p>
    <w:p>
      <w:pPr>
        <w:pStyle w:val="ListBullet"/>
        <w:spacing w:after="60"/>
      </w:pPr>
      <w:r>
        <w:rPr>
          <w:rFonts w:ascii="Calibri" w:hAnsi="Calibri"/>
          <w:sz w:val="22"/>
        </w:rPr>
        <w:t xml:space="preserve">Inpandige opslag tot 10.000 kg: toegestaan met brandmeldsysteem met doormelder naar de brandweer of gelijkwaardige voorziening. </w:t>
      </w:r>
      <w:r>
        <w:rPr>
          <w:rFonts w:ascii="Calibri" w:hAnsi="Calibri"/>
          <w:i/>
          <w:color w:val="00A8E8"/>
          <w:sz w:val="22"/>
        </w:rPr>
        <w:t>[PGS 15:2016 — H3.2]</w:t>
      </w:r>
    </w:p>
    <w:p>
      <w:pPr>
        <w:spacing w:after="120" w:before="40"/>
      </w:pPr>
      <w:r>
        <w:rPr>
          <w:rFonts w:ascii="Calibri" w:hAnsi="Calibri"/>
          <w:color w:val="000000"/>
          <w:sz w:val="22"/>
        </w:rPr>
        <w:t xml:space="preserve">Uitpandige opslagvoorziening: Zelfstandige constructie buiten een hoofdgebouw. Wand en dak moeten een WBDBO van 60 minuten hebben. Een afstand van 5 meter (inclusief inrichtingsgrens) wordt gelijkgesteld aan 30 minuten WBDBO. Een afstand van 10 meter wordt gelijkgesteld aan 60 minuten WBDBO. </w:t>
      </w:r>
      <w:r>
        <w:rPr>
          <w:rFonts w:ascii="Calibri" w:hAnsi="Calibri"/>
          <w:i/>
          <w:color w:val="00A8E8"/>
          <w:sz w:val="22"/>
        </w:rPr>
        <w:t>[PGS 15:2016 — H3.2]</w:t>
      </w:r>
    </w:p>
    <w:p>
      <w:pPr>
        <w:spacing w:after="120" w:before="40"/>
      </w:pPr>
      <w:r>
        <w:rPr>
          <w:rFonts w:ascii="Calibri" w:hAnsi="Calibri"/>
          <w:color w:val="000000"/>
          <w:sz w:val="22"/>
        </w:rPr>
        <w:t>4.2 Brandveiligheidskast</w:t>
      </w:r>
    </w:p>
    <w:p>
      <w:pPr>
        <w:spacing w:after="120" w:before="40"/>
      </w:pPr>
      <w:r>
        <w:rPr>
          <w:rFonts w:ascii="Calibri" w:hAnsi="Calibri"/>
          <w:color w:val="000000"/>
          <w:sz w:val="22"/>
        </w:rPr>
        <w:t xml:space="preserve">Een brandveiligheidskast is een inpandige opslagvoorziening die voldoet aan een brandwerendheid van minimaal 30 minuten. Nieuwe losse brandveiligheidskasten moeten aan deze eis voldoen. In hoofdstuk 6.3 van PGS 15 zijn specifieke voorschriften opgenomen voor de opslag van gasflessen in een brandveiligheidskast. </w:t>
      </w:r>
      <w:r>
        <w:rPr>
          <w:rFonts w:ascii="Calibri" w:hAnsi="Calibri"/>
          <w:i/>
          <w:color w:val="00A8E8"/>
          <w:sz w:val="22"/>
        </w:rPr>
        <w:t>[PGS 15:2016 — H3.2, H6.3]</w:t>
      </w:r>
    </w:p>
    <w:p>
      <w:pPr>
        <w:spacing w:after="120" w:before="40"/>
      </w:pPr>
      <w:r>
        <w:rPr>
          <w:rFonts w:ascii="Calibri" w:hAnsi="Calibri"/>
          <w:color w:val="000000"/>
          <w:sz w:val="22"/>
        </w:rPr>
        <w:t>4.3 Productopvang (110%-regel)</w:t>
      </w:r>
    </w:p>
    <w:p>
      <w:pPr>
        <w:spacing w:after="120" w:before="40"/>
      </w:pPr>
      <w:r>
        <w:rPr>
          <w:rFonts w:ascii="Calibri" w:hAnsi="Calibri"/>
          <w:color w:val="000000"/>
          <w:sz w:val="22"/>
        </w:rPr>
        <w:t xml:space="preserve">Indien in een opslagvoorziening vloeistoffen worden opgeslagen, moet een opvangvoorziening aanwezig zijn voor mogelijke lekkage. De opvangcapaciteit bedraagt: </w:t>
      </w:r>
      <w:r>
        <w:rPr>
          <w:rFonts w:ascii="Calibri" w:hAnsi="Calibri"/>
          <w:i/>
          <w:color w:val="00A8E8"/>
          <w:sz w:val="22"/>
        </w:rPr>
        <w:t>[PGS 15:2016 — H3.3]</w:t>
      </w:r>
    </w:p>
    <w:p>
      <w:pPr>
        <w:pStyle w:val="ListBullet"/>
        <w:spacing w:after="60"/>
      </w:pPr>
      <w:r>
        <w:rPr>
          <w:rFonts w:ascii="Calibri" w:hAnsi="Calibri"/>
          <w:sz w:val="22"/>
        </w:rPr>
        <w:t>110% van de grootste afzonderlijke verpakking; of</w:t>
      </w:r>
    </w:p>
    <w:p>
      <w:pPr>
        <w:pStyle w:val="ListBullet"/>
        <w:spacing w:after="60"/>
      </w:pPr>
      <w:r>
        <w:rPr>
          <w:rFonts w:ascii="Calibri" w:hAnsi="Calibri"/>
          <w:sz w:val="22"/>
        </w:rPr>
        <w:t>10% van de totale inhoud van alle verpakkingen samen;</w:t>
      </w:r>
    </w:p>
    <w:p>
      <w:pPr>
        <w:pStyle w:val="ListBullet"/>
        <w:spacing w:after="60"/>
      </w:pPr>
      <w:r>
        <w:rPr>
          <w:rFonts w:ascii="Calibri" w:hAnsi="Calibri"/>
          <w:sz w:val="22"/>
        </w:rPr>
        <w:t>Daarvan uitgaande dat het hoogste van beide bepalend is.</w:t>
      </w:r>
    </w:p>
    <w:p>
      <w:pPr>
        <w:spacing w:after="120" w:before="40"/>
      </w:pPr>
      <w:r>
        <w:rPr>
          <w:rFonts w:ascii="Calibri" w:hAnsi="Calibri"/>
          <w:color w:val="000000"/>
          <w:sz w:val="22"/>
        </w:rPr>
        <w:t xml:space="preserve">Voor opslagvoorzieningen groter dan 10.000 kg gelden afwijkende eisen afhankelijk van de uitvoering. Lege ongereinigde verpakkingen tellen niet mee bij het bepalen van de opvangcapaciteit. </w:t>
      </w:r>
      <w:r>
        <w:rPr>
          <w:rFonts w:ascii="Calibri" w:hAnsi="Calibri"/>
          <w:i/>
          <w:color w:val="00A8E8"/>
          <w:sz w:val="22"/>
        </w:rPr>
        <w:t>[PGS 15:2016 — H3.3]</w:t>
      </w:r>
    </w:p>
    <w:p>
      <w:pPr>
        <w:spacing w:after="120" w:before="40"/>
      </w:pPr>
      <w:r>
        <w:rPr>
          <w:rFonts w:ascii="Calibri" w:hAnsi="Calibri"/>
          <w:color w:val="000000"/>
          <w:sz w:val="22"/>
        </w:rPr>
        <w:t>4.4 Compartimentering (onverenigbare combinaties)</w:t>
      </w:r>
    </w:p>
    <w:p>
      <w:pPr>
        <w:spacing w:after="120" w:before="40"/>
      </w:pPr>
      <w:r>
        <w:rPr>
          <w:rFonts w:ascii="Calibri" w:hAnsi="Calibri"/>
          <w:color w:val="000000"/>
          <w:sz w:val="22"/>
        </w:rPr>
        <w:t xml:space="preserve">Compartimentering voorkomt dat bij gelijktijdig vrijkomen van verschillende stoffen gevaarlijke onderlinge reacties ontstaan. Het doel is te voorkomen dat er stoffen ontstaan die giftiger of brandbaarder zijn dan de oorspronkelijk opgeslagen stoffen. </w:t>
      </w:r>
      <w:r>
        <w:rPr>
          <w:rFonts w:ascii="Calibri" w:hAnsi="Calibri"/>
          <w:i/>
          <w:color w:val="00A8E8"/>
          <w:sz w:val="22"/>
        </w:rPr>
        <w:t>[PGS 15:2016 — H3.4, bijlage E]</w:t>
      </w:r>
    </w:p>
    <w:p>
      <w:pPr>
        <w:spacing w:after="120" w:before="40"/>
      </w:pPr>
      <w:r>
        <w:rPr>
          <w:rFonts w:ascii="Calibri" w:hAnsi="Calibri"/>
          <w:color w:val="000000"/>
          <w:sz w:val="22"/>
        </w:rPr>
        <w:t>De compartimenteringseisen zijn vastgelegd in tabel E.1 van PGS 15:</w:t>
      </w:r>
    </w:p>
    <w:p>
      <w:pPr>
        <w:spacing w:after="120" w:before="40"/>
      </w:pPr>
      <w:r>
        <w:rPr>
          <w:rFonts w:ascii="Calibri" w:hAnsi="Calibri"/>
          <w:color w:val="000000"/>
          <w:sz w:val="22"/>
        </w:rPr>
        <w:t>V = Opslag in aparte vakken (vakscheiding)</w:t>
      </w:r>
    </w:p>
    <w:p>
      <w:pPr>
        <w:spacing w:after="120" w:before="40"/>
      </w:pPr>
      <w:r>
        <w:rPr>
          <w:rFonts w:ascii="Calibri" w:hAnsi="Calibri"/>
          <w:color w:val="000000"/>
          <w:sz w:val="22"/>
        </w:rPr>
        <w:t>B = Gescheiden opslag, tenzij is beoordeeld dat stoffen niet met elkaar reageren of dat beide stoffen als vaste stof zijn ingedeeld. Beoordeling op basis van veiligheidsinformatiebladen (VIB/SDS) of Chemiekaartenboek.</w:t>
      </w:r>
    </w:p>
    <w:p>
      <w:pPr>
        <w:pStyle w:val="ListBullet"/>
        <w:spacing w:after="60"/>
      </w:pPr>
      <w:r>
        <w:rPr>
          <w:rFonts w:ascii="Calibri" w:hAnsi="Calibri"/>
          <w:sz w:val="22"/>
        </w:rPr>
        <w:t>(streepje) = Gescheiden opslag niet noodzakelijk</w:t>
      </w:r>
    </w:p>
    <w:p>
      <w:pPr>
        <w:spacing w:after="120" w:before="40"/>
      </w:pPr>
      <w:r>
        <w:rPr>
          <w:rFonts w:ascii="Calibri" w:hAnsi="Calibri"/>
          <w:color w:val="000000"/>
          <w:sz w:val="22"/>
        </w:rPr>
        <w:t>Belangrijke bijzonderheden:</w:t>
      </w:r>
    </w:p>
    <w:p>
      <w:pPr>
        <w:pStyle w:val="ListBullet"/>
        <w:spacing w:after="60"/>
      </w:pPr>
      <w:r>
        <w:rPr>
          <w:rFonts w:ascii="Calibri" w:hAnsi="Calibri"/>
          <w:sz w:val="22"/>
        </w:rPr>
        <w:t>De scheidingseisen gelden NIET voor gelimiteerde hoeveelheden (LQ) of vrijgestelde hoeveelheden.</w:t>
      </w:r>
    </w:p>
    <w:p>
      <w:pPr>
        <w:pStyle w:val="ListBullet"/>
        <w:spacing w:after="60"/>
      </w:pPr>
      <w:r>
        <w:rPr>
          <w:rFonts w:ascii="Calibri" w:hAnsi="Calibri"/>
          <w:sz w:val="22"/>
        </w:rPr>
        <w:t>Stoffen van klasse 6.1, verpakkingsgroep I, of klasse 8, verpakkingsgroep I met aanvullend etiket 6.1, moeten in een apart brandcompartiment of met 5 meter vrije zone worden opgeslagen.</w:t>
      </w:r>
    </w:p>
    <w:p>
      <w:pPr>
        <w:pStyle w:val="ListBullet"/>
        <w:spacing w:after="60"/>
      </w:pPr>
      <w:r>
        <w:rPr>
          <w:rFonts w:ascii="Calibri" w:hAnsi="Calibri"/>
          <w:sz w:val="22"/>
        </w:rPr>
        <w:t xml:space="preserve">ADR-voorschrift 5.2.1.8.3 ("dode boom met visje" — milieugevaarlijk etiket) wordt in PGS 15 als bijkomend gevaar beschouwd. </w:t>
      </w:r>
      <w:r>
        <w:rPr>
          <w:rFonts w:ascii="Calibri" w:hAnsi="Calibri"/>
          <w:i/>
          <w:color w:val="00A8E8"/>
          <w:sz w:val="22"/>
        </w:rPr>
        <w:t>[PGS 15:2016 — bijlage E]</w:t>
      </w:r>
    </w:p>
    <w:p>
      <w:pPr>
        <w:spacing w:after="120" w:before="40"/>
      </w:pPr>
      <w:r>
        <w:rPr>
          <w:rFonts w:ascii="Calibri" w:hAnsi="Calibri"/>
          <w:color w:val="000000"/>
          <w:sz w:val="22"/>
        </w:rPr>
        <w:t>Kritische combinaties:</w:t>
      </w:r>
    </w:p>
    <w:p>
      <w:pPr>
        <w:pStyle w:val="ListBullet"/>
        <w:spacing w:after="60"/>
      </w:pPr>
      <w:r>
        <w:rPr>
          <w:rFonts w:ascii="Calibri" w:hAnsi="Calibri"/>
          <w:sz w:val="22"/>
        </w:rPr>
        <w:t>Klasse 3 (brandbare vloeistoffen) en klasse 5.1 (oxiderende stoffen): V (aparte vakken)</w:t>
      </w:r>
    </w:p>
    <w:p>
      <w:pPr>
        <w:pStyle w:val="ListBullet"/>
        <w:spacing w:after="60"/>
      </w:pPr>
      <w:r>
        <w:rPr>
          <w:rFonts w:ascii="Calibri" w:hAnsi="Calibri"/>
          <w:sz w:val="22"/>
        </w:rPr>
        <w:t>Klasse 5.1 en klasse 6.1/CMR: B* (beoordeling met strengere eisen voor PG I)</w:t>
      </w:r>
    </w:p>
    <w:p>
      <w:pPr>
        <w:pStyle w:val="ListBullet"/>
        <w:spacing w:after="60"/>
      </w:pPr>
      <w:r>
        <w:rPr>
          <w:rFonts w:ascii="Calibri" w:hAnsi="Calibri"/>
          <w:sz w:val="22"/>
        </w:rPr>
        <w:t>Klasse 6.1 (giftig) en klasse 3 (brandbaar): B* of V</w:t>
      </w:r>
    </w:p>
    <w:p>
      <w:pPr>
        <w:spacing w:after="120" w:before="40"/>
      </w:pPr>
      <w:r>
        <w:rPr>
          <w:rFonts w:ascii="Calibri" w:hAnsi="Calibri"/>
          <w:color w:val="000000"/>
          <w:sz w:val="22"/>
        </w:rPr>
        <w:t>4.5 WBDBO (Weerstand tegen Branddoorslag en Brandoverslag)</w:t>
      </w:r>
    </w:p>
    <w:p>
      <w:pPr>
        <w:spacing w:after="120" w:before="40"/>
      </w:pPr>
      <w:r>
        <w:rPr>
          <w:rFonts w:ascii="Calibri" w:hAnsi="Calibri"/>
          <w:color w:val="000000"/>
          <w:sz w:val="22"/>
        </w:rPr>
        <w:t xml:space="preserve">WBDBO is de maat voor de weerstand van een constructie tegen het doorslaan of overslaan van brand naar aangrenzende ruimten of gebouwen. Uitgedrukt in minuten. </w:t>
      </w:r>
      <w:r>
        <w:rPr>
          <w:rFonts w:ascii="Calibri" w:hAnsi="Calibri"/>
          <w:i/>
          <w:color w:val="00A8E8"/>
          <w:sz w:val="22"/>
        </w:rPr>
        <w:t>[PGS 15:2016 — H3.2]</w:t>
      </w:r>
    </w:p>
    <w:p>
      <w:pPr>
        <w:pStyle w:val="ListBullet"/>
        <w:spacing w:after="60"/>
      </w:pPr>
      <w:r>
        <w:rPr>
          <w:rFonts w:ascii="Calibri" w:hAnsi="Calibri"/>
          <w:sz w:val="22"/>
        </w:rPr>
        <w:t>30 minuten: minimum voor brandveiligheidskasten en bepaalde compartimenteringswanden</w:t>
      </w:r>
    </w:p>
    <w:p>
      <w:pPr>
        <w:pStyle w:val="ListBullet"/>
        <w:spacing w:after="60"/>
      </w:pPr>
      <w:r>
        <w:rPr>
          <w:rFonts w:ascii="Calibri" w:hAnsi="Calibri"/>
          <w:sz w:val="22"/>
        </w:rPr>
        <w:t>60 minuten: standaard voor wanden en dak van uitpandige opslagvoorzieningen tot 10.000 kg en voor inpandige opslagvoorzieningen tot 2.500 kg</w:t>
      </w:r>
    </w:p>
    <w:p>
      <w:pPr>
        <w:pStyle w:val="ListBullet"/>
        <w:spacing w:after="60"/>
      </w:pPr>
      <w:r>
        <w:rPr>
          <w:rFonts w:ascii="Calibri" w:hAnsi="Calibri"/>
          <w:sz w:val="22"/>
        </w:rPr>
        <w:t>Afstandsequivalenten: 5 meter = 30 minuten WBDBO; 10 meter = 60 minuten WBDBO</w:t>
      </w:r>
    </w:p>
    <w:p>
      <w:pPr>
        <w:spacing w:after="120" w:before="40"/>
      </w:pPr>
      <w:r>
        <w:rPr>
          <w:rFonts w:ascii="Calibri" w:hAnsi="Calibri"/>
          <w:color w:val="000000"/>
          <w:sz w:val="22"/>
        </w:rPr>
        <w:t>4.6 Vakbekwaamheid</w:t>
      </w:r>
    </w:p>
    <w:p>
      <w:pPr>
        <w:spacing w:after="120" w:before="40"/>
      </w:pPr>
      <w:r>
        <w:rPr>
          <w:rFonts w:ascii="Calibri" w:hAnsi="Calibri"/>
          <w:color w:val="000000"/>
          <w:sz w:val="22"/>
        </w:rPr>
        <w:t xml:space="preserve">Bij opslag van meer dan 2.500 kg gevaarlijke stoffen moet een door het bedrijf aangestelde deskundige in de inrichting aanwezig zijn tijdens werkzaamheden met gevaarlijke stoffen. De vakbekwaamheid moet aantoonbaar zijn via certificaten of relevante opleidingen. </w:t>
      </w:r>
      <w:r>
        <w:rPr>
          <w:rFonts w:ascii="Calibri" w:hAnsi="Calibri"/>
          <w:i/>
          <w:color w:val="00A8E8"/>
          <w:sz w:val="22"/>
        </w:rPr>
        <w:t>[PGS 15:2016 — H3.5]</w:t>
      </w:r>
    </w:p>
    <w:p>
      <w:pPr>
        <w:spacing w:after="120" w:before="40"/>
      </w:pPr>
      <w:r>
        <w:rPr>
          <w:rFonts w:ascii="Calibri" w:hAnsi="Calibri"/>
          <w:color w:val="000000"/>
          <w:sz w:val="22"/>
        </w:rPr>
        <w:t>In de praktijk volstaat het aanstellen van een veiligheidsadviseur gevaarlijke stoffen (vervoersvoorschriften). Deze adviseur:</w:t>
      </w:r>
    </w:p>
    <w:p>
      <w:pPr>
        <w:pStyle w:val="ListBullet"/>
        <w:spacing w:after="60"/>
      </w:pPr>
      <w:r>
        <w:rPr>
          <w:rFonts w:ascii="Calibri" w:hAnsi="Calibri"/>
          <w:sz w:val="22"/>
        </w:rPr>
        <w:t>Adviseert over vervoer van gevaarlijke stoffen</w:t>
      </w:r>
    </w:p>
    <w:p>
      <w:pPr>
        <w:pStyle w:val="ListBullet"/>
        <w:spacing w:after="60"/>
      </w:pPr>
      <w:r>
        <w:rPr>
          <w:rFonts w:ascii="Calibri" w:hAnsi="Calibri"/>
          <w:sz w:val="22"/>
        </w:rPr>
        <w:t>Toeziet op naleving van regels</w:t>
      </w:r>
    </w:p>
    <w:p>
      <w:pPr>
        <w:pStyle w:val="ListBullet"/>
        <w:spacing w:after="60"/>
      </w:pPr>
      <w:r>
        <w:rPr>
          <w:rFonts w:ascii="Calibri" w:hAnsi="Calibri"/>
          <w:sz w:val="22"/>
        </w:rPr>
        <w:t>Stelt noodprocedures op</w:t>
      </w:r>
    </w:p>
    <w:p>
      <w:pPr>
        <w:pStyle w:val="ListBullet"/>
        <w:spacing w:after="60"/>
      </w:pPr>
      <w:r>
        <w:rPr>
          <w:rFonts w:ascii="Calibri" w:hAnsi="Calibri"/>
          <w:sz w:val="22"/>
        </w:rPr>
        <w:t>Meldt ongevallen en maakt jaarverslagen</w:t>
      </w:r>
    </w:p>
    <w:p>
      <w:pPr>
        <w:pStyle w:val="ListBullet"/>
        <w:spacing w:after="60"/>
      </w:pPr>
      <w:r>
        <w:rPr>
          <w:rFonts w:ascii="Calibri" w:hAnsi="Calibri"/>
          <w:sz w:val="22"/>
        </w:rPr>
        <w:t>Controleert kennis en bewustwording van personeel</w:t>
      </w:r>
    </w:p>
    <w:p>
      <w:pPr>
        <w:spacing w:after="120" w:before="40"/>
      </w:pPr>
      <w:r>
        <w:rPr>
          <w:rFonts w:ascii="Calibri" w:hAnsi="Calibri"/>
          <w:color w:val="000000"/>
          <w:sz w:val="22"/>
        </w:rPr>
        <w:t xml:space="preserve">De veiligheidsadviseur moet elke vijf jaar bijscholing volgen en opnieuw examen afleggen. </w:t>
      </w:r>
      <w:r>
        <w:rPr>
          <w:rFonts w:ascii="Calibri" w:hAnsi="Calibri"/>
          <w:i/>
          <w:color w:val="00A8E8"/>
          <w:sz w:val="22"/>
        </w:rPr>
        <w:t>[PGS 15:2016 — H3.5]</w:t>
      </w:r>
    </w:p>
    <w:p>
      <w:pPr>
        <w:spacing w:after="120" w:before="40"/>
      </w:pPr>
      <w:r>
        <w:rPr>
          <w:rFonts w:ascii="Calibri" w:hAnsi="Calibri"/>
          <w:color w:val="000000"/>
          <w:sz w:val="22"/>
        </w:rPr>
        <w:t>4.7 Journaalverplichting</w:t>
      </w:r>
    </w:p>
    <w:p>
      <w:pPr>
        <w:spacing w:after="120" w:before="40"/>
      </w:pPr>
      <w:r>
        <w:rPr>
          <w:rFonts w:ascii="Calibri" w:hAnsi="Calibri"/>
          <w:color w:val="000000"/>
          <w:sz w:val="22"/>
        </w:rPr>
        <w:t xml:space="preserve">Bij opslag van meer dan 2.500 kg gevaarlijke stoffen en/of CMR-stoffen is een actueel journaal verplicht. Het journaal moet direct toegankelijk zijn voor hulpverlenende diensten en bevatten: </w:t>
      </w:r>
      <w:r>
        <w:rPr>
          <w:rFonts w:ascii="Calibri" w:hAnsi="Calibri"/>
          <w:i/>
          <w:color w:val="00A8E8"/>
          <w:sz w:val="22"/>
        </w:rPr>
        <w:t>[PGS 15:2016 — H3.6]</w:t>
      </w:r>
    </w:p>
    <w:p>
      <w:pPr>
        <w:pStyle w:val="ListBullet"/>
        <w:spacing w:after="60"/>
      </w:pPr>
      <w:r>
        <w:rPr>
          <w:rFonts w:ascii="Calibri" w:hAnsi="Calibri"/>
          <w:sz w:val="22"/>
        </w:rPr>
        <w:t>Vervoersnaam plus technische benaming (ADR/IMDG)</w:t>
      </w:r>
    </w:p>
    <w:p>
      <w:pPr>
        <w:pStyle w:val="ListBullet"/>
        <w:spacing w:after="60"/>
      </w:pPr>
      <w:r>
        <w:rPr>
          <w:rFonts w:ascii="Calibri" w:hAnsi="Calibri"/>
          <w:sz w:val="22"/>
        </w:rPr>
        <w:t>Hoeveelheid per ADR-klasse</w:t>
      </w:r>
    </w:p>
    <w:p>
      <w:pPr>
        <w:pStyle w:val="ListBullet"/>
        <w:spacing w:after="60"/>
      </w:pPr>
      <w:r>
        <w:rPr>
          <w:rFonts w:ascii="Calibri" w:hAnsi="Calibri"/>
          <w:sz w:val="22"/>
        </w:rPr>
        <w:t>Verpakkingsgroep</w:t>
      </w:r>
    </w:p>
    <w:p>
      <w:pPr>
        <w:pStyle w:val="ListBullet"/>
        <w:spacing w:after="60"/>
      </w:pPr>
      <w:r>
        <w:rPr>
          <w:rFonts w:ascii="Calibri" w:hAnsi="Calibri"/>
          <w:sz w:val="22"/>
        </w:rPr>
        <w:t>UN-nummer</w:t>
      </w:r>
    </w:p>
    <w:p>
      <w:pPr>
        <w:pStyle w:val="ListBullet"/>
        <w:spacing w:after="60"/>
      </w:pPr>
      <w:r>
        <w:rPr>
          <w:rFonts w:ascii="Calibri" w:hAnsi="Calibri"/>
          <w:sz w:val="22"/>
        </w:rPr>
        <w:t>Modelnummers gevaarsetiketten (conform ADR 5.2)</w:t>
      </w:r>
    </w:p>
    <w:p>
      <w:pPr>
        <w:pStyle w:val="ListBullet"/>
        <w:spacing w:after="60"/>
      </w:pPr>
      <w:r>
        <w:rPr>
          <w:rFonts w:ascii="Calibri" w:hAnsi="Calibri"/>
          <w:sz w:val="22"/>
        </w:rPr>
        <w:t>Chemische naam van CMR-stoffen met vermelding "CMR"</w:t>
      </w:r>
    </w:p>
    <w:p>
      <w:pPr>
        <w:pStyle w:val="ListBullet"/>
        <w:spacing w:after="60"/>
      </w:pPr>
      <w:r>
        <w:rPr>
          <w:rFonts w:ascii="Calibri" w:hAnsi="Calibri"/>
          <w:sz w:val="22"/>
        </w:rPr>
        <w:t>Contactinformatie calamiteiten (namen + telefoonnummers)</w:t>
      </w:r>
    </w:p>
    <w:p>
      <w:pPr>
        <w:pStyle w:val="ListBullet"/>
        <w:spacing w:after="60"/>
      </w:pPr>
      <w:r>
        <w:rPr>
          <w:rFonts w:ascii="Calibri" w:hAnsi="Calibri"/>
          <w:sz w:val="22"/>
        </w:rPr>
        <w:t>Actuele tekening met: plattegrond, gebouwen, opslaglocaties, noordpijl</w:t>
      </w:r>
    </w:p>
    <w:p>
      <w:pPr>
        <w:spacing w:after="120" w:before="40"/>
      </w:pPr>
      <w:r>
        <w:rPr>
          <w:rFonts w:ascii="Calibri" w:hAnsi="Calibri"/>
          <w:color w:val="000000"/>
          <w:sz w:val="22"/>
        </w:rPr>
        <w:t>Aanvullende aandachtspunten:</w:t>
      </w:r>
    </w:p>
    <w:p>
      <w:pPr>
        <w:pStyle w:val="ListBullet"/>
        <w:spacing w:after="60"/>
      </w:pPr>
      <w:r>
        <w:rPr>
          <w:rFonts w:ascii="Calibri" w:hAnsi="Calibri"/>
          <w:sz w:val="22"/>
        </w:rPr>
        <w:t>(Tank)containers in de inrichting moeten ook in het journaal worden vermeld.</w:t>
      </w:r>
    </w:p>
    <w:p>
      <w:pPr>
        <w:pStyle w:val="ListBullet"/>
        <w:spacing w:after="60"/>
      </w:pPr>
      <w:r>
        <w:rPr>
          <w:rFonts w:ascii="Calibri" w:hAnsi="Calibri"/>
          <w:sz w:val="22"/>
        </w:rPr>
        <w:t>Bij meerdere opslagvoorzieningen &gt;10.000 kg: per voorziening aangeven welke gevarenklassen aanwezig zijn.</w:t>
      </w:r>
    </w:p>
    <w:p>
      <w:pPr>
        <w:pStyle w:val="ListBullet"/>
        <w:spacing w:after="60"/>
      </w:pPr>
      <w:r>
        <w:rPr>
          <w:rFonts w:ascii="Calibri" w:hAnsi="Calibri"/>
          <w:sz w:val="22"/>
        </w:rPr>
        <w:t>Een digitaal journaal is acceptabel mits gegarandeerd toegankelijk bij calamiteiten.</w:t>
      </w:r>
    </w:p>
    <w:p>
      <w:pPr>
        <w:pStyle w:val="ListBullet"/>
        <w:spacing w:after="60"/>
      </w:pPr>
      <w:r>
        <w:rPr>
          <w:rFonts w:ascii="Calibri" w:hAnsi="Calibri"/>
          <w:sz w:val="22"/>
        </w:rPr>
        <w:t>BRZO-plichtige inrichtingen met stoffenlijstplicht kunnen dit journaal integreren.</w:t>
      </w:r>
    </w:p>
    <w:p>
      <w:pPr>
        <w:pStyle w:val="ListBullet"/>
        <w:spacing w:after="60"/>
      </w:pPr>
      <w:r>
        <w:rPr>
          <w:rFonts w:ascii="Calibri" w:hAnsi="Calibri"/>
          <w:sz w:val="22"/>
        </w:rPr>
        <w:t xml:space="preserve">Bij stabiele voorraden (niet-vervoersgebonden) kan worden volstaan met een eenmalige lijst van maximale opslag. Bij frequente wijzigingen: dagelijkse actualisatie. </w:t>
      </w:r>
      <w:r>
        <w:rPr>
          <w:rFonts w:ascii="Calibri" w:hAnsi="Calibri"/>
          <w:i/>
          <w:color w:val="00A8E8"/>
          <w:sz w:val="22"/>
        </w:rPr>
        <w:t>[PGS 15:2016 — H3.6]</w:t>
      </w:r>
    </w:p>
    <w:p>
      <w:pPr>
        <w:spacing w:after="120" w:before="40"/>
      </w:pPr>
      <w:r>
        <w:rPr>
          <w:rFonts w:ascii="Calibri" w:hAnsi="Calibri"/>
          <w:color w:val="000000"/>
          <w:sz w:val="22"/>
        </w:rPr>
        <w:t>4.8 ADR-indeling en verpakkingsgroepen</w:t>
      </w:r>
    </w:p>
    <w:p>
      <w:pPr>
        <w:spacing w:after="120" w:before="40"/>
      </w:pPr>
      <w:r>
        <w:rPr>
          <w:rFonts w:ascii="Calibri" w:hAnsi="Calibri"/>
          <w:color w:val="000000"/>
          <w:sz w:val="22"/>
        </w:rPr>
        <w:t xml:space="preserve">Het ADR classificeert gevaarlijke stoffen in 9 hoofdklassen (zie paragraaf 2.1 van dit document). Binnen de klassen onderscheidt het ADR verpakkingsgroepen die het gevaarsniveau aangeven: </w:t>
      </w:r>
      <w:r>
        <w:rPr>
          <w:rFonts w:ascii="Calibri" w:hAnsi="Calibri"/>
          <w:i/>
          <w:color w:val="00A8E8"/>
          <w:sz w:val="22"/>
        </w:rPr>
        <w:t>[PGS 15:2016 — H1.4]</w:t>
      </w:r>
    </w:p>
    <w:p>
      <w:pPr>
        <w:pStyle w:val="ListBullet"/>
        <w:spacing w:after="60"/>
      </w:pPr>
      <w:r>
        <w:rPr>
          <w:rFonts w:ascii="Calibri" w:hAnsi="Calibri"/>
          <w:sz w:val="22"/>
        </w:rPr>
        <w:t>Verpakkingsgroep I: Groot gevaar (strengste eisen)</w:t>
      </w:r>
    </w:p>
    <w:p>
      <w:pPr>
        <w:pStyle w:val="ListBullet"/>
        <w:spacing w:after="60"/>
      </w:pPr>
      <w:r>
        <w:rPr>
          <w:rFonts w:ascii="Calibri" w:hAnsi="Calibri"/>
          <w:sz w:val="22"/>
        </w:rPr>
        <w:t>Verpakkingsgroep II: Middelgroot gevaar</w:t>
      </w:r>
    </w:p>
    <w:p>
      <w:pPr>
        <w:pStyle w:val="ListBullet"/>
        <w:spacing w:after="60"/>
      </w:pPr>
      <w:r>
        <w:rPr>
          <w:rFonts w:ascii="Calibri" w:hAnsi="Calibri"/>
          <w:sz w:val="22"/>
        </w:rPr>
        <w:t>Verpakkingsgroep III: Gering gevaar (minste eisen)</w:t>
      </w:r>
    </w:p>
    <w:p>
      <w:pPr>
        <w:spacing w:after="120" w:before="40"/>
      </w:pPr>
      <w:r>
        <w:rPr>
          <w:rFonts w:ascii="Calibri" w:hAnsi="Calibri"/>
          <w:color w:val="000000"/>
          <w:sz w:val="22"/>
        </w:rPr>
        <w:t>De verpakkingsgroep is bepalend voor de ondergrens (wanneer PGS 15 van toepassing wordt), het beschermingsniveau en de compartimenteringseisen. Stoffen met een bijkomend gevaar (bijvoorbeeld brandbaar én giftig) worden beoordeeld op basis van het zwaarste gevaar.</w:t>
      </w:r>
    </w:p>
    <w:p>
      <w:pPr>
        <w:spacing w:after="120" w:before="40"/>
      </w:pPr>
      <w:r>
        <w:rPr>
          <w:rFonts w:ascii="Calibri" w:hAnsi="Calibri"/>
          <w:color w:val="000000"/>
          <w:sz w:val="22"/>
        </w:rPr>
        <w:t>4.9 CMR-stoffen</w:t>
      </w:r>
    </w:p>
    <w:p>
      <w:pPr>
        <w:spacing w:after="120" w:before="40"/>
      </w:pPr>
      <w:r>
        <w:rPr>
          <w:rFonts w:ascii="Calibri" w:hAnsi="Calibri"/>
          <w:color w:val="000000"/>
          <w:sz w:val="22"/>
        </w:rPr>
        <w:t xml:space="preserve">CMR-stoffen zijn carcinogene, mutagene en reprotoxische stoffen. In PGS 15 vallen CMR-stoffen die niet al op andere wijze in het ADR zijn geclassificeerd onder de werkingssfeer. De ondergrens voor CMR-stoffen bedraagt 25 kg, onafhankelijk van verpakkingsgroep. </w:t>
      </w:r>
      <w:r>
        <w:rPr>
          <w:rFonts w:ascii="Calibri" w:hAnsi="Calibri"/>
          <w:i/>
          <w:color w:val="00A8E8"/>
          <w:sz w:val="22"/>
        </w:rPr>
        <w:t>[PGS 15:2016 — H1.4, tabel 1.2]</w:t>
      </w:r>
    </w:p>
    <w:p>
      <w:pPr>
        <w:spacing w:after="120" w:before="40"/>
      </w:pPr>
      <w:r>
        <w:rPr>
          <w:rFonts w:ascii="Calibri" w:hAnsi="Calibri"/>
          <w:color w:val="000000"/>
          <w:sz w:val="22"/>
        </w:rPr>
        <w:t>CMR-stoffen zijn in de compartimenteringstabel (bijlage E) een aparte categorie en vereisen B*-scheiding (beoordeling met strengere voorwaarden) van de meeste andere stofklassen.</w:t>
      </w:r>
    </w:p>
    <w:p>
      <w:pPr>
        <w:spacing w:after="120" w:before="40"/>
      </w:pPr>
      <w:r>
        <w:rPr>
          <w:rFonts w:ascii="Calibri" w:hAnsi="Calibri"/>
          <w:color w:val="000000"/>
          <w:sz w:val="22"/>
        </w:rPr>
        <w:t>4.10 LQ (Gelimiteerde Hoeveelheden)</w:t>
      </w:r>
    </w:p>
    <w:p>
      <w:pPr>
        <w:spacing w:after="120" w:before="40"/>
      </w:pPr>
      <w:r>
        <w:rPr>
          <w:rFonts w:ascii="Calibri" w:hAnsi="Calibri"/>
          <w:color w:val="000000"/>
          <w:sz w:val="22"/>
        </w:rPr>
        <w:t xml:space="preserve">Gelimiteerde hoeveelheden (Limited Quantities, LQ) zijn kleine hoeveelheden gevaarlijke stoffen die onder vereenvoudigde voorschriften mogen worden verpakt en vervoerd. LQ-verpakkingen zijn herkenbaar aan het speciale LQ-label (een ruitvormig merk met zwarte rand). </w:t>
      </w:r>
      <w:r>
        <w:rPr>
          <w:rFonts w:ascii="Calibri" w:hAnsi="Calibri"/>
          <w:i/>
          <w:color w:val="00A8E8"/>
          <w:sz w:val="22"/>
        </w:rPr>
        <w:t>[PGS 15:2016 — H8.3]</w:t>
      </w:r>
    </w:p>
    <w:p>
      <w:pPr>
        <w:spacing w:after="120" w:before="40"/>
      </w:pPr>
      <w:r>
        <w:rPr>
          <w:rFonts w:ascii="Calibri" w:hAnsi="Calibri"/>
          <w:color w:val="000000"/>
          <w:sz w:val="22"/>
        </w:rPr>
        <w:t>Voor PGS 15 is relevant dat:</w:t>
      </w:r>
    </w:p>
    <w:p>
      <w:pPr>
        <w:pStyle w:val="ListBullet"/>
        <w:spacing w:after="60"/>
      </w:pPr>
      <w:r>
        <w:rPr>
          <w:rFonts w:ascii="Calibri" w:hAnsi="Calibri"/>
          <w:sz w:val="22"/>
        </w:rPr>
        <w:t>LQ-hoeveelheden zijn vrijgesteld van de compartimenteringseisen (bijlage E).</w:t>
      </w:r>
    </w:p>
    <w:p>
      <w:pPr>
        <w:pStyle w:val="ListBullet"/>
        <w:spacing w:after="60"/>
      </w:pPr>
      <w:r>
        <w:rPr>
          <w:rFonts w:ascii="Calibri" w:hAnsi="Calibri"/>
          <w:sz w:val="22"/>
        </w:rPr>
        <w:t>De ondergrens voor organische peroxiden in LQ-verpakkingen (UN 3103–3110) bedraagt 30 kg.</w:t>
      </w:r>
    </w:p>
    <w:p>
      <w:pPr>
        <w:spacing w:after="120" w:before="40"/>
      </w:pPr>
      <w:r>
        <w:rPr>
          <w:rFonts w:ascii="Calibri" w:hAnsi="Calibri"/>
          <w:color w:val="000000"/>
          <w:sz w:val="22"/>
        </w:rPr>
        <w:t>HOOFDSTUK 5 — SNELLE REFERENTIE: DREMPELWAARDEN</w:t>
      </w:r>
    </w:p>
    <w:p>
      <w:pPr>
        <w:spacing w:after="120" w:before="40"/>
      </w:pPr>
      <w:r>
        <w:rPr>
          <w:rFonts w:ascii="Calibri" w:hAnsi="Calibri"/>
          <w:color w:val="000000"/>
          <w:sz w:val="22"/>
        </w:rPr>
        <w:t>5.1 Drempelwaarden tabel</w:t>
      </w:r>
    </w:p>
    <w:p>
      <w:pPr>
        <w:spacing w:after="120" w:before="40"/>
      </w:pPr>
      <w:r>
        <w:rPr>
          <w:rFonts w:ascii="Calibri" w:hAnsi="Calibri"/>
          <w:color w:val="000000"/>
          <w:sz w:val="22"/>
        </w:rPr>
        <w:t>De eisen die PGS 15 stelt nemen toe naarmate de opgeslagen hoeveelheid stijgt. De volgende drempelwaarden zijn onderscheiden:</w:t>
      </w:r>
    </w:p>
    <w:p>
      <w:pPr>
        <w:spacing w:after="120" w:before="40"/>
      </w:pPr>
      <w:r>
        <w:rPr>
          <w:rFonts w:ascii="Calibri" w:hAnsi="Calibri"/>
          <w:color w:val="000000"/>
          <w:sz w:val="22"/>
        </w:rPr>
        <w:t>Van toepassing: PGS 15 basisvoorschriften (hoofdstuk 3).</w:t>
      </w:r>
    </w:p>
    <w:p>
      <w:pPr>
        <w:pStyle w:val="ListBullet"/>
        <w:spacing w:after="60"/>
      </w:pPr>
      <w:r>
        <w:rPr>
          <w:rFonts w:ascii="Calibri" w:hAnsi="Calibri"/>
          <w:sz w:val="22"/>
        </w:rPr>
        <w:t>Stoffen moeten verantwoord worden opgeslagen (niet op werkvloer, behalve werkvoorraad).</w:t>
      </w:r>
    </w:p>
    <w:p>
      <w:pPr>
        <w:pStyle w:val="ListBullet"/>
        <w:spacing w:after="60"/>
      </w:pPr>
      <w:r>
        <w:rPr>
          <w:rFonts w:ascii="Calibri" w:hAnsi="Calibri"/>
          <w:sz w:val="22"/>
        </w:rPr>
        <w:t>Etikettering conform ADR/CLP.</w:t>
      </w:r>
    </w:p>
    <w:p>
      <w:pPr>
        <w:pStyle w:val="ListBullet"/>
        <w:spacing w:after="60"/>
      </w:pPr>
      <w:r>
        <w:rPr>
          <w:rFonts w:ascii="Calibri" w:hAnsi="Calibri"/>
          <w:sz w:val="22"/>
        </w:rPr>
        <w:t>Veiligheidsinstructies aanwezig.</w:t>
      </w:r>
    </w:p>
    <w:p>
      <w:pPr>
        <w:pStyle w:val="ListBullet"/>
        <w:spacing w:after="60"/>
      </w:pPr>
      <w:r>
        <w:rPr>
          <w:rFonts w:ascii="Calibri" w:hAnsi="Calibri"/>
          <w:sz w:val="22"/>
        </w:rPr>
        <w:t>Nooddouche en persoonlijke beschermingsmiddelen beschikbaar.</w:t>
      </w:r>
    </w:p>
    <w:p>
      <w:pPr>
        <w:pStyle w:val="ListBullet"/>
        <w:spacing w:after="60"/>
      </w:pPr>
      <w:r>
        <w:rPr>
          <w:rFonts w:ascii="Calibri" w:hAnsi="Calibri"/>
          <w:sz w:val="22"/>
        </w:rPr>
        <w:t xml:space="preserve">Scheiding van onverenigbare combinaties (bijlage E). </w:t>
      </w:r>
      <w:r>
        <w:rPr>
          <w:rFonts w:ascii="Calibri" w:hAnsi="Calibri"/>
          <w:i/>
          <w:color w:val="00A8E8"/>
          <w:sz w:val="22"/>
        </w:rPr>
        <w:t>[PGS 15:2016 — H1.4, H3]</w:t>
      </w:r>
    </w:p>
    <w:p>
      <w:pPr>
        <w:spacing w:after="120" w:before="40"/>
      </w:pPr>
      <w:r>
        <w:rPr>
          <w:rFonts w:ascii="Calibri" w:hAnsi="Calibri"/>
          <w:color w:val="000000"/>
          <w:sz w:val="22"/>
        </w:rPr>
        <w:t>Van toepassing: Alle eisen uit drempel 1, plus:</w:t>
      </w:r>
    </w:p>
    <w:p>
      <w:pPr>
        <w:pStyle w:val="ListBullet"/>
        <w:spacing w:after="60"/>
      </w:pPr>
      <w:r>
        <w:rPr>
          <w:rFonts w:ascii="Calibri" w:hAnsi="Calibri"/>
          <w:sz w:val="22"/>
        </w:rPr>
        <w:t>Inpandige opslag: wanden en dak 60 minuten brandwerend.</w:t>
      </w:r>
    </w:p>
    <w:p>
      <w:pPr>
        <w:pStyle w:val="ListBullet"/>
        <w:spacing w:after="60"/>
      </w:pPr>
      <w:r>
        <w:rPr>
          <w:rFonts w:ascii="Calibri" w:hAnsi="Calibri"/>
          <w:sz w:val="22"/>
        </w:rPr>
        <w:t>Uitpandige opslag: WBDBO 60 minuten (of 10 meter afstand).</w:t>
      </w:r>
    </w:p>
    <w:p>
      <w:pPr>
        <w:pStyle w:val="ListBullet"/>
        <w:spacing w:after="60"/>
      </w:pPr>
      <w:r>
        <w:rPr>
          <w:rFonts w:ascii="Calibri" w:hAnsi="Calibri"/>
          <w:sz w:val="22"/>
        </w:rPr>
        <w:t>Productopvang (110% regel) verplicht bij vloeistoffen.</w:t>
      </w:r>
    </w:p>
    <w:p>
      <w:pPr>
        <w:pStyle w:val="ListBullet"/>
        <w:spacing w:after="60"/>
      </w:pPr>
      <w:r>
        <w:rPr>
          <w:rFonts w:ascii="Calibri" w:hAnsi="Calibri"/>
          <w:sz w:val="22"/>
        </w:rPr>
        <w:t>Brandveiligheidskasten: minimaal 30 minuten brandwerend.</w:t>
      </w:r>
    </w:p>
    <w:p>
      <w:pPr>
        <w:pStyle w:val="ListBullet"/>
        <w:spacing w:after="60"/>
      </w:pPr>
      <w:r>
        <w:rPr>
          <w:rFonts w:ascii="Calibri" w:hAnsi="Calibri"/>
          <w:sz w:val="22"/>
        </w:rPr>
        <w:t xml:space="preserve">Veiligheidssignalering aan buitenzijde (gevaarsymbolen of ADR-etiketten). </w:t>
      </w:r>
      <w:r>
        <w:rPr>
          <w:rFonts w:ascii="Calibri" w:hAnsi="Calibri"/>
          <w:i/>
          <w:color w:val="00A8E8"/>
          <w:sz w:val="22"/>
        </w:rPr>
        <w:t>[PGS 15:2016 — H3.2, H3.3, H3.8]</w:t>
      </w:r>
    </w:p>
    <w:p>
      <w:pPr>
        <w:spacing w:after="120" w:before="40"/>
      </w:pPr>
      <w:r>
        <w:rPr>
          <w:rFonts w:ascii="Calibri" w:hAnsi="Calibri"/>
          <w:color w:val="000000"/>
          <w:sz w:val="22"/>
        </w:rPr>
        <w:t>Van toepassing: Alle eisen uit drempel 1 en 2, plus:</w:t>
      </w:r>
    </w:p>
    <w:p>
      <w:pPr>
        <w:pStyle w:val="ListBullet"/>
        <w:spacing w:after="60"/>
      </w:pPr>
      <w:r>
        <w:rPr>
          <w:rFonts w:ascii="Calibri" w:hAnsi="Calibri"/>
          <w:sz w:val="22"/>
        </w:rPr>
        <w:t xml:space="preserve">Vakbekwaamheid: aangestelde deskundige verplicht tijdens werkzaamheden. </w:t>
      </w:r>
      <w:r>
        <w:rPr>
          <w:rFonts w:ascii="Calibri" w:hAnsi="Calibri"/>
          <w:i/>
          <w:color w:val="00A8E8"/>
          <w:sz w:val="22"/>
        </w:rPr>
        <w:t>[PGS 15:2016 — H3.5]</w:t>
      </w:r>
    </w:p>
    <w:p>
      <w:pPr>
        <w:pStyle w:val="ListBullet"/>
        <w:spacing w:after="60"/>
      </w:pPr>
      <w:r>
        <w:rPr>
          <w:rFonts w:ascii="Calibri" w:hAnsi="Calibri"/>
          <w:sz w:val="22"/>
        </w:rPr>
        <w:t xml:space="preserve">Journaalverplichting: actueel journaal met stoffenlijst, hoeveelheden en plattegrond. </w:t>
      </w:r>
      <w:r>
        <w:rPr>
          <w:rFonts w:ascii="Calibri" w:hAnsi="Calibri"/>
          <w:i/>
          <w:color w:val="00A8E8"/>
          <w:sz w:val="22"/>
        </w:rPr>
        <w:t>[PGS 15:2016 — H3.6]</w:t>
      </w:r>
    </w:p>
    <w:p>
      <w:pPr>
        <w:pStyle w:val="ListBullet"/>
        <w:spacing w:after="60"/>
      </w:pPr>
      <w:r>
        <w:rPr>
          <w:rFonts w:ascii="Calibri" w:hAnsi="Calibri"/>
          <w:sz w:val="22"/>
        </w:rPr>
        <w:t xml:space="preserve">Inpandige opslag tot 10.000 kg: brandmeldsysteem met doormelder naar brandweer verplicht. </w:t>
      </w:r>
      <w:r>
        <w:rPr>
          <w:rFonts w:ascii="Calibri" w:hAnsi="Calibri"/>
          <w:i/>
          <w:color w:val="00A8E8"/>
          <w:sz w:val="22"/>
        </w:rPr>
        <w:t>[PGS 15:2016 — H3.2]</w:t>
      </w:r>
    </w:p>
    <w:p>
      <w:pPr>
        <w:pStyle w:val="ListBullet"/>
        <w:spacing w:after="60"/>
      </w:pPr>
      <w:r>
        <w:rPr>
          <w:rFonts w:ascii="Calibri" w:hAnsi="Calibri"/>
          <w:sz w:val="22"/>
        </w:rPr>
        <w:t xml:space="preserve">Intern noodplan verplicht indien &gt;10.000 kg OF &gt;1.000 kg zeer giftige stoffen (klasse 6.1 PG I) OF &gt;250 liter giftige/bijtende gassen. </w:t>
      </w:r>
      <w:r>
        <w:rPr>
          <w:rFonts w:ascii="Calibri" w:hAnsi="Calibri"/>
          <w:i/>
          <w:color w:val="00A8E8"/>
          <w:sz w:val="22"/>
        </w:rPr>
        <w:t>[PGS 15:2016 — H3.7]</w:t>
      </w:r>
    </w:p>
    <w:p>
      <w:pPr>
        <w:spacing w:after="120" w:before="40"/>
      </w:pPr>
      <w:r>
        <w:rPr>
          <w:rFonts w:ascii="Calibri" w:hAnsi="Calibri"/>
          <w:color w:val="000000"/>
          <w:sz w:val="22"/>
        </w:rPr>
        <w:t>Van toepassing: Alle eisen uit drempel 1 t/m 3, plus:</w:t>
      </w:r>
    </w:p>
    <w:p>
      <w:pPr>
        <w:pStyle w:val="ListBullet"/>
        <w:spacing w:after="60"/>
      </w:pPr>
      <w:r>
        <w:rPr>
          <w:rFonts w:ascii="Calibri" w:hAnsi="Calibri"/>
          <w:sz w:val="22"/>
        </w:rPr>
        <w:t>Hoofdstuk 4 PGS 15 volledig van toepassing.</w:t>
      </w:r>
    </w:p>
    <w:p>
      <w:pPr>
        <w:pStyle w:val="ListBullet"/>
        <w:spacing w:after="60"/>
      </w:pPr>
      <w:r>
        <w:rPr>
          <w:rFonts w:ascii="Calibri" w:hAnsi="Calibri"/>
          <w:sz w:val="22"/>
        </w:rPr>
        <w:t xml:space="preserve">Bepaling beschermingsniveau (1, 2a, 3 of 4) op basis van stofeigenschappen, hoeveelheid, verpakkingsmateriaal en omgevingskenmerken. </w:t>
      </w:r>
      <w:r>
        <w:rPr>
          <w:rFonts w:ascii="Calibri" w:hAnsi="Calibri"/>
          <w:i/>
          <w:color w:val="00A8E8"/>
          <w:sz w:val="22"/>
        </w:rPr>
        <w:t>[PGS 15:2016 — H4]</w:t>
      </w:r>
    </w:p>
    <w:p>
      <w:pPr>
        <w:pStyle w:val="ListBullet"/>
        <w:spacing w:after="60"/>
      </w:pPr>
      <w:r>
        <w:rPr>
          <w:rFonts w:ascii="Calibri" w:hAnsi="Calibri"/>
          <w:sz w:val="22"/>
        </w:rPr>
        <w:t>Beschermingsniveau 1: branddetectie + (semi-)automatische blussing + bluswateropvang + UPD + jaarlijkse inspectie.</w:t>
      </w:r>
    </w:p>
    <w:p>
      <w:pPr>
        <w:pStyle w:val="ListBullet"/>
        <w:spacing w:after="60"/>
      </w:pPr>
      <w:r>
        <w:rPr>
          <w:rFonts w:ascii="Calibri" w:hAnsi="Calibri"/>
          <w:sz w:val="22"/>
        </w:rPr>
        <w:t>Beschermingsniveau 2a: geen blussysteem, wel koelwater, branddetectie met doormelding.</w:t>
      </w:r>
    </w:p>
    <w:p>
      <w:pPr>
        <w:pStyle w:val="ListBullet"/>
        <w:spacing w:after="60"/>
      </w:pPr>
      <w:r>
        <w:rPr>
          <w:rFonts w:ascii="Calibri" w:hAnsi="Calibri"/>
          <w:sz w:val="22"/>
        </w:rPr>
        <w:t>Beschermingsniveau 3: preventieve maatregelen, geen verdere brandpreventie-eisen.</w:t>
      </w:r>
    </w:p>
    <w:p>
      <w:pPr>
        <w:pStyle w:val="ListBullet"/>
        <w:spacing w:after="60"/>
      </w:pPr>
      <w:r>
        <w:rPr>
          <w:rFonts w:ascii="Calibri" w:hAnsi="Calibri"/>
          <w:sz w:val="22"/>
        </w:rPr>
        <w:t>Beschermingsniveau 4: geen branddetectie, geen bluswateropvang (alleen klasse 8 en 9, niet-brandbaar).</w:t>
      </w:r>
    </w:p>
    <w:p>
      <w:pPr>
        <w:pStyle w:val="ListBullet"/>
        <w:spacing w:after="60"/>
      </w:pPr>
      <w:r>
        <w:rPr>
          <w:rFonts w:ascii="Calibri" w:hAnsi="Calibri"/>
          <w:sz w:val="22"/>
        </w:rPr>
        <w:t xml:space="preserve">Vergunningplichtig (niet onder het Activiteitenbesluit, maar omgevingsvergunning vereist). </w:t>
      </w:r>
      <w:r>
        <w:rPr>
          <w:rFonts w:ascii="Calibri" w:hAnsi="Calibri"/>
          <w:i/>
          <w:color w:val="00A8E8"/>
          <w:sz w:val="22"/>
        </w:rPr>
        <w:t>[PGS 15:2016 — H7]</w:t>
      </w:r>
    </w:p>
    <w:p>
      <w:pPr>
        <w:pStyle w:val="ListBullet"/>
        <w:spacing w:after="60"/>
      </w:pPr>
      <w:r>
        <w:rPr>
          <w:rFonts w:ascii="Calibri" w:hAnsi="Calibri"/>
          <w:sz w:val="22"/>
        </w:rPr>
        <w:t xml:space="preserve">Toepassing PGS 14 (brandblus- en brandbeheersingssystemen) als supplement. </w:t>
      </w:r>
      <w:r>
        <w:rPr>
          <w:rFonts w:ascii="Calibri" w:hAnsi="Calibri"/>
          <w:i/>
          <w:color w:val="00A8E8"/>
          <w:sz w:val="22"/>
        </w:rPr>
        <w:t>[PGS 15:2016 — bijlage G]</w:t>
      </w:r>
    </w:p>
    <w:p>
      <w:pPr>
        <w:spacing w:after="120" w:before="40"/>
      </w:pPr>
      <w:r>
        <w:rPr>
          <w:rFonts w:ascii="Calibri" w:hAnsi="Calibri"/>
          <w:color w:val="000000"/>
          <w:sz w:val="22"/>
        </w:rPr>
        <w:t>5.2 Samenvattende tabel</w:t>
      </w:r>
    </w:p>
    <w:tbl>
      <w:tblPr>
        <w:tblW w:type="auto" w:w="0"/>
        <w:jc w:val="center"/>
        <w:tblLayout w:type="autofit"/>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176"/>
        <w:gridCol w:w="1176"/>
        <w:gridCol w:w="1176"/>
        <w:gridCol w:w="1176"/>
        <w:gridCol w:w="1176"/>
        <w:gridCol w:w="1176"/>
        <w:gridCol w:w="1176"/>
        <w:gridCol w:w="1176"/>
      </w:tblGrid>
      <w:tr>
        <w:tc>
          <w:tcPr>
            <w:tcW w:type="dxa" w:w="1176"/>
            <w:shd w:fill="003366"/>
          </w:tcPr>
          <w:p>
            <w:pPr>
              <w:spacing w:before="40" w:after="40"/>
            </w:pPr>
            <w:r/>
            <w:r>
              <w:rPr>
                <w:rFonts w:ascii="Calibri" w:hAnsi="Calibri"/>
                <w:b/>
                <w:color w:val="FFFFFF"/>
                <w:sz w:val="20"/>
              </w:rPr>
              <w:t>Hoeveelheid</w:t>
            </w:r>
          </w:p>
        </w:tc>
        <w:tc>
          <w:tcPr>
            <w:tcW w:type="dxa" w:w="1176"/>
            <w:shd w:fill="003366"/>
          </w:tcPr>
          <w:p>
            <w:pPr>
              <w:spacing w:before="40" w:after="40"/>
            </w:pPr>
            <w:r/>
            <w:r>
              <w:rPr>
                <w:rFonts w:ascii="Calibri" w:hAnsi="Calibri"/>
                <w:b/>
                <w:color w:val="FFFFFF"/>
                <w:sz w:val="20"/>
              </w:rPr>
              <w:t>Basiswaisen</w:t>
            </w:r>
          </w:p>
        </w:tc>
        <w:tc>
          <w:tcPr>
            <w:tcW w:type="dxa" w:w="1176"/>
            <w:shd w:fill="003366"/>
          </w:tcPr>
          <w:p>
            <w:pPr>
              <w:spacing w:before="40" w:after="40"/>
            </w:pPr>
            <w:r/>
            <w:r>
              <w:rPr>
                <w:rFonts w:ascii="Calibri" w:hAnsi="Calibri"/>
                <w:b/>
                <w:color w:val="FFFFFF"/>
                <w:sz w:val="20"/>
              </w:rPr>
              <w:t>Bouwkundig</w:t>
            </w:r>
          </w:p>
        </w:tc>
        <w:tc>
          <w:tcPr>
            <w:tcW w:type="dxa" w:w="1176"/>
            <w:shd w:fill="003366"/>
          </w:tcPr>
          <w:p>
            <w:pPr>
              <w:spacing w:before="40" w:after="40"/>
            </w:pPr>
            <w:r/>
            <w:r>
              <w:rPr>
                <w:rFonts w:ascii="Calibri" w:hAnsi="Calibri"/>
                <w:b/>
                <w:color w:val="FFFFFF"/>
                <w:sz w:val="20"/>
              </w:rPr>
              <w:t>Productopvang</w:t>
            </w:r>
          </w:p>
        </w:tc>
        <w:tc>
          <w:tcPr>
            <w:tcW w:type="dxa" w:w="1176"/>
            <w:shd w:fill="003366"/>
          </w:tcPr>
          <w:p>
            <w:pPr>
              <w:spacing w:before="40" w:after="40"/>
            </w:pPr>
            <w:r/>
            <w:r>
              <w:rPr>
                <w:rFonts w:ascii="Calibri" w:hAnsi="Calibri"/>
                <w:b/>
                <w:color w:val="FFFFFF"/>
                <w:sz w:val="20"/>
              </w:rPr>
              <w:t>Vakbekwaam</w:t>
            </w:r>
          </w:p>
        </w:tc>
        <w:tc>
          <w:tcPr>
            <w:tcW w:type="dxa" w:w="1176"/>
            <w:shd w:fill="003366"/>
          </w:tcPr>
          <w:p>
            <w:pPr>
              <w:spacing w:before="40" w:after="40"/>
            </w:pPr>
            <w:r/>
            <w:r>
              <w:rPr>
                <w:rFonts w:ascii="Calibri" w:hAnsi="Calibri"/>
                <w:b/>
                <w:color w:val="FFFFFF"/>
                <w:sz w:val="20"/>
              </w:rPr>
              <w:t>Journaal</w:t>
            </w:r>
          </w:p>
        </w:tc>
        <w:tc>
          <w:tcPr>
            <w:tcW w:type="dxa" w:w="1176"/>
            <w:shd w:fill="003366"/>
          </w:tcPr>
          <w:p>
            <w:pPr>
              <w:spacing w:before="40" w:after="40"/>
            </w:pPr>
            <w:r/>
            <w:r>
              <w:rPr>
                <w:rFonts w:ascii="Calibri" w:hAnsi="Calibri"/>
                <w:b/>
                <w:color w:val="FFFFFF"/>
                <w:sz w:val="20"/>
              </w:rPr>
              <w:t>Branddetectie</w:t>
            </w:r>
          </w:p>
        </w:tc>
        <w:tc>
          <w:tcPr>
            <w:tcW w:type="dxa" w:w="1176"/>
            <w:shd w:fill="003366"/>
          </w:tcPr>
          <w:p>
            <w:pPr>
              <w:spacing w:before="40" w:after="40"/>
            </w:pPr>
            <w:r/>
            <w:r>
              <w:rPr>
                <w:rFonts w:ascii="Calibri" w:hAnsi="Calibri"/>
                <w:b/>
                <w:color w:val="FFFFFF"/>
                <w:sz w:val="20"/>
              </w:rPr>
              <w:t>Noodplan</w:t>
            </w:r>
          </w:p>
        </w:tc>
      </w:tr>
      <w:tr>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c>
          <w:tcPr>
            <w:tcW w:type="dxa" w:w="1176"/>
          </w:tcPr>
          <w:p>
            <w:pPr>
              <w:spacing w:before="40" w:after="40"/>
            </w:pPr>
            <w:r/>
            <w:r>
              <w:rPr>
                <w:rFonts w:ascii="Calibri" w:hAnsi="Calibri"/>
                <w:color w:val="000000"/>
                <w:sz w:val="20"/>
              </w:rPr>
              <w:t>---</w:t>
            </w:r>
          </w:p>
        </w:tc>
      </w:tr>
      <w:tr>
        <w:tc>
          <w:tcPr>
            <w:tcW w:type="dxa" w:w="1176"/>
            <w:shd w:fill="F8F9FA"/>
          </w:tcPr>
          <w:p>
            <w:pPr>
              <w:spacing w:before="40" w:after="40"/>
            </w:pPr>
            <w:r/>
            <w:r>
              <w:rPr>
                <w:rFonts w:ascii="Calibri" w:hAnsi="Calibri"/>
                <w:color w:val="000000"/>
                <w:sz w:val="20"/>
              </w:rPr>
              <w:t>&lt; ondergrens</w:t>
            </w:r>
          </w:p>
        </w:tc>
        <w:tc>
          <w:tcPr>
            <w:tcW w:type="dxa" w:w="1176"/>
            <w:shd w:fill="F8F9FA"/>
          </w:tcPr>
          <w:p>
            <w:pPr>
              <w:spacing w:before="40" w:after="40"/>
            </w:pPr>
            <w:r/>
            <w:r>
              <w:rPr>
                <w:rFonts w:ascii="Calibri" w:hAnsi="Calibri"/>
                <w:color w:val="000000"/>
                <w:sz w:val="20"/>
              </w:rPr>
              <w:t>Algemeen</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r>
      <w:tr>
        <w:tc>
          <w:tcPr>
            <w:tcW w:type="dxa" w:w="1176"/>
          </w:tcPr>
          <w:p>
            <w:pPr>
              <w:spacing w:before="40" w:after="40"/>
            </w:pPr>
            <w:r/>
            <w:r>
              <w:rPr>
                <w:rFonts w:ascii="Calibri" w:hAnsi="Calibri"/>
                <w:color w:val="000000"/>
                <w:sz w:val="20"/>
              </w:rPr>
              <w:t>Ondergrens–250 kg</w:t>
            </w:r>
          </w:p>
        </w:tc>
        <w:tc>
          <w:tcPr>
            <w:tcW w:type="dxa" w:w="1176"/>
          </w:tcPr>
          <w:p>
            <w:pPr>
              <w:spacing w:before="40" w:after="40"/>
            </w:pPr>
            <w:r/>
            <w:r>
              <w:rPr>
                <w:rFonts w:ascii="Calibri" w:hAnsi="Calibri"/>
                <w:color w:val="000000"/>
                <w:sz w:val="20"/>
              </w:rPr>
              <w:t>H3 basis</w:t>
            </w:r>
          </w:p>
        </w:tc>
        <w:tc>
          <w:tcPr>
            <w:tcW w:type="dxa" w:w="1176"/>
          </w:tcPr>
          <w:p>
            <w:pPr>
              <w:spacing w:before="40" w:after="40"/>
            </w:pPr>
            <w:r/>
            <w:r>
              <w:rPr>
                <w:rFonts w:ascii="Calibri" w:hAnsi="Calibri"/>
                <w:color w:val="000000"/>
                <w:sz w:val="20"/>
              </w:rPr>
              <w:t>Aanbevolen</w:t>
            </w:r>
          </w:p>
        </w:tc>
        <w:tc>
          <w:tcPr>
            <w:tcW w:type="dxa" w:w="1176"/>
          </w:tcPr>
          <w:p>
            <w:pPr>
              <w:spacing w:before="40" w:after="40"/>
            </w:pPr>
            <w:r/>
            <w:r>
              <w:rPr>
                <w:rFonts w:ascii="Calibri" w:hAnsi="Calibri"/>
                <w:color w:val="000000"/>
                <w:sz w:val="20"/>
              </w:rPr>
              <w:t>Aanbevolen</w:t>
            </w:r>
          </w:p>
        </w:tc>
        <w:tc>
          <w:tcPr>
            <w:tcW w:type="dxa" w:w="1176"/>
          </w:tcPr>
          <w:p>
            <w:pPr>
              <w:spacing w:before="40" w:after="40"/>
            </w:pPr>
            <w:r/>
            <w:r>
              <w:rPr>
                <w:rFonts w:ascii="Calibri" w:hAnsi="Calibri"/>
                <w:color w:val="000000"/>
                <w:sz w:val="20"/>
              </w:rPr>
              <w:t>Nee</w:t>
            </w:r>
          </w:p>
        </w:tc>
        <w:tc>
          <w:tcPr>
            <w:tcW w:type="dxa" w:w="1176"/>
          </w:tcPr>
          <w:p>
            <w:pPr>
              <w:spacing w:before="40" w:after="40"/>
            </w:pPr>
            <w:r/>
            <w:r>
              <w:rPr>
                <w:rFonts w:ascii="Calibri" w:hAnsi="Calibri"/>
                <w:color w:val="000000"/>
                <w:sz w:val="20"/>
              </w:rPr>
              <w:t>Nee</w:t>
            </w:r>
          </w:p>
        </w:tc>
        <w:tc>
          <w:tcPr>
            <w:tcW w:type="dxa" w:w="1176"/>
          </w:tcPr>
          <w:p>
            <w:pPr>
              <w:spacing w:before="40" w:after="40"/>
            </w:pPr>
            <w:r/>
            <w:r>
              <w:rPr>
                <w:rFonts w:ascii="Calibri" w:hAnsi="Calibri"/>
                <w:color w:val="000000"/>
                <w:sz w:val="20"/>
              </w:rPr>
              <w:t>Nee</w:t>
            </w:r>
          </w:p>
        </w:tc>
        <w:tc>
          <w:tcPr>
            <w:tcW w:type="dxa" w:w="1176"/>
          </w:tcPr>
          <w:p>
            <w:pPr>
              <w:spacing w:before="40" w:after="40"/>
            </w:pPr>
            <w:r/>
            <w:r>
              <w:rPr>
                <w:rFonts w:ascii="Calibri" w:hAnsi="Calibri"/>
                <w:color w:val="000000"/>
                <w:sz w:val="20"/>
              </w:rPr>
              <w:t>Nee</w:t>
            </w:r>
          </w:p>
        </w:tc>
      </w:tr>
      <w:tr>
        <w:tc>
          <w:tcPr>
            <w:tcW w:type="dxa" w:w="1176"/>
            <w:shd w:fill="F8F9FA"/>
          </w:tcPr>
          <w:p>
            <w:pPr>
              <w:spacing w:before="40" w:after="40"/>
            </w:pPr>
            <w:r/>
            <w:r>
              <w:rPr>
                <w:rFonts w:ascii="Calibri" w:hAnsi="Calibri"/>
                <w:color w:val="000000"/>
                <w:sz w:val="20"/>
              </w:rPr>
              <w:t>250–2.500 kg</w:t>
            </w:r>
          </w:p>
        </w:tc>
        <w:tc>
          <w:tcPr>
            <w:tcW w:type="dxa" w:w="1176"/>
            <w:shd w:fill="F8F9FA"/>
          </w:tcPr>
          <w:p>
            <w:pPr>
              <w:spacing w:before="40" w:after="40"/>
            </w:pPr>
            <w:r/>
            <w:r>
              <w:rPr>
                <w:rFonts w:ascii="Calibri" w:hAnsi="Calibri"/>
                <w:color w:val="000000"/>
                <w:sz w:val="20"/>
              </w:rPr>
              <w:t>H3</w:t>
            </w:r>
          </w:p>
        </w:tc>
        <w:tc>
          <w:tcPr>
            <w:tcW w:type="dxa" w:w="1176"/>
            <w:shd w:fill="F8F9FA"/>
          </w:tcPr>
          <w:p>
            <w:pPr>
              <w:spacing w:before="40" w:after="40"/>
            </w:pPr>
            <w:r/>
            <w:r>
              <w:rPr>
                <w:rFonts w:ascii="Calibri" w:hAnsi="Calibri"/>
                <w:color w:val="000000"/>
                <w:sz w:val="20"/>
              </w:rPr>
              <w:t>60 min BW</w:t>
            </w:r>
          </w:p>
        </w:tc>
        <w:tc>
          <w:tcPr>
            <w:tcW w:type="dxa" w:w="1176"/>
            <w:shd w:fill="F8F9FA"/>
          </w:tcPr>
          <w:p>
            <w:pPr>
              <w:spacing w:before="40" w:after="40"/>
            </w:pPr>
            <w:r/>
            <w:r>
              <w:rPr>
                <w:rFonts w:ascii="Calibri" w:hAnsi="Calibri"/>
                <w:color w:val="000000"/>
                <w:sz w:val="20"/>
              </w:rPr>
              <w:t>Ja (vloeistoffen)</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c>
          <w:tcPr>
            <w:tcW w:type="dxa" w:w="1176"/>
            <w:shd w:fill="F8F9FA"/>
          </w:tcPr>
          <w:p>
            <w:pPr>
              <w:spacing w:before="40" w:after="40"/>
            </w:pPr>
            <w:r/>
            <w:r>
              <w:rPr>
                <w:rFonts w:ascii="Calibri" w:hAnsi="Calibri"/>
                <w:color w:val="000000"/>
                <w:sz w:val="20"/>
              </w:rPr>
              <w:t>Nee</w:t>
            </w:r>
          </w:p>
        </w:tc>
      </w:tr>
      <w:tr>
        <w:tc>
          <w:tcPr>
            <w:tcW w:type="dxa" w:w="1176"/>
          </w:tcPr>
          <w:p>
            <w:pPr>
              <w:spacing w:before="40" w:after="40"/>
            </w:pPr>
            <w:r/>
            <w:r>
              <w:rPr>
                <w:rFonts w:ascii="Calibri" w:hAnsi="Calibri"/>
                <w:color w:val="000000"/>
                <w:sz w:val="20"/>
              </w:rPr>
              <w:t>2.500–10.000 kg</w:t>
            </w:r>
          </w:p>
        </w:tc>
        <w:tc>
          <w:tcPr>
            <w:tcW w:type="dxa" w:w="1176"/>
          </w:tcPr>
          <w:p>
            <w:pPr>
              <w:spacing w:before="40" w:after="40"/>
            </w:pPr>
            <w:r/>
            <w:r>
              <w:rPr>
                <w:rFonts w:ascii="Calibri" w:hAnsi="Calibri"/>
                <w:color w:val="000000"/>
                <w:sz w:val="20"/>
              </w:rPr>
              <w:t>H3</w:t>
            </w:r>
          </w:p>
        </w:tc>
        <w:tc>
          <w:tcPr>
            <w:tcW w:type="dxa" w:w="1176"/>
          </w:tcPr>
          <w:p>
            <w:pPr>
              <w:spacing w:before="40" w:after="40"/>
            </w:pPr>
            <w:r/>
            <w:r>
              <w:rPr>
                <w:rFonts w:ascii="Calibri" w:hAnsi="Calibri"/>
                <w:color w:val="000000"/>
                <w:sz w:val="20"/>
              </w:rPr>
              <w:t>60 min BW</w:t>
            </w:r>
          </w:p>
        </w:tc>
        <w:tc>
          <w:tcPr>
            <w:tcW w:type="dxa" w:w="1176"/>
          </w:tcPr>
          <w:p>
            <w:pPr>
              <w:spacing w:before="40" w:after="40"/>
            </w:pPr>
            <w:r/>
            <w:r>
              <w:rPr>
                <w:rFonts w:ascii="Calibri" w:hAnsi="Calibri"/>
                <w:color w:val="000000"/>
                <w:sz w:val="20"/>
              </w:rPr>
              <w:t>Ja</w:t>
            </w:r>
          </w:p>
        </w:tc>
        <w:tc>
          <w:tcPr>
            <w:tcW w:type="dxa" w:w="1176"/>
          </w:tcPr>
          <w:p>
            <w:pPr>
              <w:spacing w:before="40" w:after="40"/>
            </w:pPr>
            <w:r/>
            <w:r>
              <w:rPr>
                <w:rFonts w:ascii="Calibri" w:hAnsi="Calibri"/>
                <w:color w:val="000000"/>
                <w:sz w:val="20"/>
              </w:rPr>
              <w:t>Ja</w:t>
            </w:r>
          </w:p>
        </w:tc>
        <w:tc>
          <w:tcPr>
            <w:tcW w:type="dxa" w:w="1176"/>
          </w:tcPr>
          <w:p>
            <w:pPr>
              <w:spacing w:before="40" w:after="40"/>
            </w:pPr>
            <w:r/>
            <w:r>
              <w:rPr>
                <w:rFonts w:ascii="Calibri" w:hAnsi="Calibri"/>
                <w:color w:val="000000"/>
                <w:sz w:val="20"/>
              </w:rPr>
              <w:t>Ja</w:t>
            </w:r>
          </w:p>
        </w:tc>
        <w:tc>
          <w:tcPr>
            <w:tcW w:type="dxa" w:w="1176"/>
          </w:tcPr>
          <w:p>
            <w:pPr>
              <w:spacing w:before="40" w:after="40"/>
            </w:pPr>
            <w:r/>
            <w:r>
              <w:rPr>
                <w:rFonts w:ascii="Calibri" w:hAnsi="Calibri"/>
                <w:color w:val="000000"/>
                <w:sz w:val="20"/>
              </w:rPr>
              <w:t>Brandmeldsysteem inpandig</w:t>
            </w:r>
          </w:p>
        </w:tc>
        <w:tc>
          <w:tcPr>
            <w:tcW w:type="dxa" w:w="1176"/>
          </w:tcPr>
          <w:p>
            <w:pPr>
              <w:spacing w:before="40" w:after="40"/>
            </w:pPr>
            <w:r/>
            <w:r>
              <w:rPr>
                <w:rFonts w:ascii="Calibri" w:hAnsi="Calibri"/>
                <w:color w:val="000000"/>
                <w:sz w:val="20"/>
              </w:rPr>
              <w:t>Indien &gt;10t/1t PG I/250l gas</w:t>
            </w:r>
          </w:p>
        </w:tc>
      </w:tr>
      <w:tr>
        <w:tc>
          <w:tcPr>
            <w:tcW w:type="dxa" w:w="1176"/>
            <w:shd w:fill="F8F9FA"/>
          </w:tcPr>
          <w:p>
            <w:pPr>
              <w:spacing w:before="40" w:after="40"/>
            </w:pPr>
            <w:r/>
            <w:r>
              <w:rPr>
                <w:rFonts w:ascii="Calibri" w:hAnsi="Calibri"/>
                <w:color w:val="000000"/>
                <w:sz w:val="20"/>
              </w:rPr>
              <w:t>&gt;10.000 kg</w:t>
            </w:r>
          </w:p>
        </w:tc>
        <w:tc>
          <w:tcPr>
            <w:tcW w:type="dxa" w:w="1176"/>
            <w:shd w:fill="F8F9FA"/>
          </w:tcPr>
          <w:p>
            <w:pPr>
              <w:spacing w:before="40" w:after="40"/>
            </w:pPr>
            <w:r/>
            <w:r>
              <w:rPr>
                <w:rFonts w:ascii="Calibri" w:hAnsi="Calibri"/>
                <w:color w:val="000000"/>
                <w:sz w:val="20"/>
              </w:rPr>
              <w:t>H3 + H4</w:t>
            </w:r>
          </w:p>
        </w:tc>
        <w:tc>
          <w:tcPr>
            <w:tcW w:type="dxa" w:w="1176"/>
            <w:shd w:fill="F8F9FA"/>
          </w:tcPr>
          <w:p>
            <w:pPr>
              <w:spacing w:before="40" w:after="40"/>
            </w:pPr>
            <w:r/>
            <w:r>
              <w:rPr>
                <w:rFonts w:ascii="Calibri" w:hAnsi="Calibri"/>
                <w:color w:val="000000"/>
                <w:sz w:val="20"/>
              </w:rPr>
              <w:t>Niveau-afhankelijk</w:t>
            </w:r>
          </w:p>
        </w:tc>
        <w:tc>
          <w:tcPr>
            <w:tcW w:type="dxa" w:w="1176"/>
            <w:shd w:fill="F8F9FA"/>
          </w:tcPr>
          <w:p>
            <w:pPr>
              <w:spacing w:before="40" w:after="40"/>
            </w:pPr>
            <w:r/>
            <w:r>
              <w:rPr>
                <w:rFonts w:ascii="Calibri" w:hAnsi="Calibri"/>
                <w:color w:val="000000"/>
                <w:sz w:val="20"/>
              </w:rPr>
              <w:t>Ja</w:t>
            </w:r>
          </w:p>
        </w:tc>
        <w:tc>
          <w:tcPr>
            <w:tcW w:type="dxa" w:w="1176"/>
            <w:shd w:fill="F8F9FA"/>
          </w:tcPr>
          <w:p>
            <w:pPr>
              <w:spacing w:before="40" w:after="40"/>
            </w:pPr>
            <w:r/>
            <w:r>
              <w:rPr>
                <w:rFonts w:ascii="Calibri" w:hAnsi="Calibri"/>
                <w:color w:val="000000"/>
                <w:sz w:val="20"/>
              </w:rPr>
              <w:t>Ja</w:t>
            </w:r>
          </w:p>
        </w:tc>
        <w:tc>
          <w:tcPr>
            <w:tcW w:type="dxa" w:w="1176"/>
            <w:shd w:fill="F8F9FA"/>
          </w:tcPr>
          <w:p>
            <w:pPr>
              <w:spacing w:before="40" w:after="40"/>
            </w:pPr>
            <w:r/>
            <w:r>
              <w:rPr>
                <w:rFonts w:ascii="Calibri" w:hAnsi="Calibri"/>
                <w:color w:val="000000"/>
                <w:sz w:val="20"/>
              </w:rPr>
              <w:t>Ja</w:t>
            </w:r>
          </w:p>
        </w:tc>
        <w:tc>
          <w:tcPr>
            <w:tcW w:type="dxa" w:w="1176"/>
            <w:shd w:fill="F8F9FA"/>
          </w:tcPr>
          <w:p>
            <w:pPr>
              <w:spacing w:before="40" w:after="40"/>
            </w:pPr>
            <w:r/>
            <w:r>
              <w:rPr>
                <w:rFonts w:ascii="Calibri" w:hAnsi="Calibri"/>
                <w:color w:val="000000"/>
                <w:sz w:val="20"/>
              </w:rPr>
              <w:t>Niveau-afhankelijk</w:t>
            </w:r>
          </w:p>
        </w:tc>
        <w:tc>
          <w:tcPr>
            <w:tcW w:type="dxa" w:w="1176"/>
            <w:shd w:fill="F8F9FA"/>
          </w:tcPr>
          <w:p>
            <w:pPr>
              <w:spacing w:before="40" w:after="40"/>
            </w:pPr>
            <w:r/>
            <w:r>
              <w:rPr>
                <w:rFonts w:ascii="Calibri" w:hAnsi="Calibri"/>
                <w:color w:val="000000"/>
                <w:sz w:val="20"/>
              </w:rPr>
              <w:t>Ja</w:t>
            </w:r>
          </w:p>
        </w:tc>
      </w:tr>
    </w:tbl>
    <w:p/>
    <w:p>
      <w:pPr>
        <w:spacing w:after="120" w:before="40"/>
      </w:pPr>
      <w:r>
        <w:rPr>
          <w:rFonts w:ascii="Calibri" w:hAnsi="Calibri"/>
          <w:i/>
          <w:color w:val="00A8E8"/>
          <w:sz w:val="22"/>
        </w:rPr>
        <w:t>[Bron: PGS 15:2016 — H3, H4, H7]</w:t>
      </w:r>
    </w:p>
    <w:p>
      <w:pPr>
        <w:spacing w:after="120" w:before="40"/>
      </w:pPr>
      <w:r>
        <w:rPr>
          <w:rFonts w:ascii="Calibri" w:hAnsi="Calibri"/>
          <w:color w:val="000000"/>
          <w:sz w:val="22"/>
        </w:rPr>
        <w:t>COLOFON</w:t>
      </w:r>
    </w:p>
    <w:p>
      <w:pPr>
        <w:spacing w:after="120" w:before="40"/>
      </w:pPr>
      <w:r>
        <w:rPr>
          <w:rFonts w:ascii="Calibri" w:hAnsi="Calibri"/>
          <w:color w:val="000000"/>
          <w:sz w:val="22"/>
        </w:rPr>
        <w:t>Bronvermelding: Publicatiereeks Gevaarlijke Stoffen 15:2016 — Opslag van verpakte gevaarlijke stoffen.</w:t>
      </w:r>
    </w:p>
    <w:p>
      <w:pPr>
        <w:spacing w:after="120" w:before="40"/>
      </w:pPr>
      <w:r>
        <w:rPr>
          <w:rFonts w:ascii="Calibri" w:hAnsi="Calibri"/>
          <w:color w:val="000000"/>
          <w:sz w:val="22"/>
        </w:rPr>
        <w:t>Aanvullende bron: Sdu HSE, AI-83 Op- en overslag gevaarlijke stoffen.</w:t>
      </w:r>
    </w:p>
    <w:p>
      <w:pPr>
        <w:spacing w:after="120" w:before="40"/>
      </w:pPr>
      <w:r>
        <w:rPr>
          <w:rFonts w:ascii="Calibri" w:hAnsi="Calibri"/>
          <w:color w:val="000000"/>
          <w:sz w:val="22"/>
        </w:rPr>
        <w:t>Versie: 1.0 | Samengesteld april 2026.</w:t>
      </w:r>
    </w:p>
    <w:p>
      <w:pPr>
        <w:spacing w:after="120" w:before="40"/>
      </w:pPr>
      <w:r>
        <w:rPr>
          <w:rFonts w:ascii="Calibri" w:hAnsi="Calibri"/>
          <w:color w:val="000000"/>
          <w:sz w:val="22"/>
        </w:rPr>
        <w:t>Dit document is bedoeld als hulpmiddel bij PGS-15 audits en vervangt niet de originele PGS 15-publicatie.</w:t>
      </w:r>
    </w:p>
    <w:p>
      <w:pPr>
        <w:spacing w:after="120" w:before="40"/>
      </w:pPr>
      <w:r>
        <w:rPr>
          <w:rFonts w:ascii="Calibri" w:hAnsi="Calibri"/>
          <w:color w:val="000000"/>
          <w:sz w:val="22"/>
        </w:rPr>
        <w:t>EINDE DOCUMENT 1</w:t>
      </w:r>
    </w:p>
    <w:sectPr w:rsidR="00FC693F" w:rsidRPr="0006063C" w:rsidSect="00034616">
      <w:headerReference w:type="default" r:id="rId10"/>
      <w:footerReference w:type="default" r:id="rId11"/>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xml:space="preserve">JvG Consultancy — PGS-15 Audit Toolkit  |  April 2026  |  Pagina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482682" cy="432000"/>
          <wp:docPr id="1" name="Picture 1"/>
          <wp:cNvGraphicFramePr>
            <a:graphicFrameLocks noChangeAspect="1"/>
          </wp:cNvGraphicFramePr>
          <a:graphic>
            <a:graphicData uri="http://schemas.openxmlformats.org/drawingml/2006/picture">
              <pic:pic>
                <pic:nvPicPr>
                  <pic:cNvPr id="0" name="jvg-logo-small.png"/>
                  <pic:cNvPicPr/>
                </pic:nvPicPr>
                <pic:blipFill>
                  <a:blip r:embed="rId1"/>
                  <a:stretch>
                    <a:fillRect/>
                  </a:stretch>
                </pic:blipFill>
                <pic:spPr>
                  <a:xfrm>
                    <a:off x="0" y="0"/>
                    <a:ext cx="482682" cy="432000"/>
                  </a:xfrm>
                  <a:prstGeom prst="rect"/>
                </pic:spPr>
              </pic:pic>
            </a:graphicData>
          </a:graphic>
        </wp:inline>
      </w:drawing>
    </w:r>
    <w:r>
      <w:rPr>
        <w:rFonts w:ascii="Calibri" w:hAnsi="Calibri"/>
        <w:color w:val="374151"/>
        <w:sz w:val="16"/>
      </w:rPr>
      <w:t xml:space="preserve">  PGS-15 Basishandleiding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