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drawing>
          <wp:inline xmlns:a="http://schemas.openxmlformats.org/drawingml/2006/main" xmlns:pic="http://schemas.openxmlformats.org/drawingml/2006/picture">
            <wp:extent cx="1440000" cy="1291200"/>
            <wp:docPr id="1" name="Picture 1"/>
            <wp:cNvGraphicFramePr>
              <a:graphicFrameLocks noChangeAspect="1"/>
            </wp:cNvGraphicFramePr>
            <a:graphic>
              <a:graphicData uri="http://schemas.openxmlformats.org/drawingml/2006/picture">
                <pic:pic>
                  <pic:nvPicPr>
                    <pic:cNvPr id="0" name="jvg-logo-white-large.png"/>
                    <pic:cNvPicPr/>
                  </pic:nvPicPr>
                  <pic:blipFill>
                    <a:blip r:embed="rId9"/>
                    <a:stretch>
                      <a:fillRect/>
                    </a:stretch>
                  </pic:blipFill>
                  <pic:spPr>
                    <a:xfrm>
                      <a:off x="0" y="0"/>
                      <a:ext cx="1440000" cy="1291200"/>
                    </a:xfrm>
                    <a:prstGeom prst="rect"/>
                  </pic:spPr>
                </pic:pic>
              </a:graphicData>
            </a:graphic>
          </wp:inline>
        </w:drawing>
      </w:r>
    </w:p>
    <w:p/>
    <w:p>
      <w:pPr>
        <w:spacing w:after="120"/>
      </w:pPr>
      <w:r>
        <w:rPr>
          <w:rFonts w:ascii="Calibri" w:hAnsi="Calibri"/>
          <w:b/>
          <w:i w:val="0"/>
          <w:color w:val="003366"/>
          <w:sz w:val="56"/>
        </w:rPr>
        <w:t>PGS 15:2025</w:t>
      </w:r>
    </w:p>
    <w:p>
      <w:pPr>
        <w:spacing w:after="120"/>
      </w:pPr>
      <w:r>
        <w:rPr>
          <w:rFonts w:ascii="Calibri" w:hAnsi="Calibri"/>
          <w:b/>
          <w:i w:val="0"/>
          <w:color w:val="003366"/>
          <w:sz w:val="44"/>
        </w:rPr>
        <w:t>Compliance Toetsing</w:t>
      </w:r>
    </w:p>
    <w:p/>
    <w:p>
      <w:pPr>
        <w:spacing w:after="120"/>
      </w:pPr>
      <w:r>
        <w:rPr>
          <w:rFonts w:ascii="Calibri" w:hAnsi="Calibri"/>
          <w:b/>
          <w:i w:val="0"/>
          <w:color w:val="1F2937"/>
          <w:sz w:val="32"/>
        </w:rPr>
        <w:t>Test</w:t>
      </w:r>
    </w:p>
    <w:p/>
    <w:p>
      <w:pPr>
        <w:spacing w:after="120"/>
      </w:pPr>
      <w:r>
        <w:rPr>
          <w:rFonts w:ascii="Calibri" w:hAnsi="Calibri"/>
          <w:b w:val="0"/>
          <w:i w:val="0"/>
          <w:color w:val="374151"/>
          <w:sz w:val="24"/>
        </w:rPr>
        <w:t>Datum van analyse: 07-05-2026</w:t>
      </w:r>
    </w:p>
    <w:p>
      <w:pPr>
        <w:spacing w:after="120"/>
      </w:pPr>
      <w:r>
        <w:rPr>
          <w:rFonts w:ascii="Calibri" w:hAnsi="Calibri"/>
          <w:b w:val="0"/>
          <w:i w:val="0"/>
          <w:color w:val="374151"/>
          <w:sz w:val="24"/>
        </w:rPr>
        <w:t>Aantal stoffen in scope: 0</w:t>
      </w:r>
    </w:p>
    <w:p>
      <w:pPr>
        <w:spacing w:after="120"/>
      </w:pPr>
      <w:r>
        <w:rPr>
          <w:rFonts w:ascii="Calibri" w:hAnsi="Calibri"/>
          <w:b w:val="0"/>
          <w:i w:val="0"/>
          <w:color w:val="374151"/>
          <w:sz w:val="24"/>
        </w:rPr>
        <w:t>Totaal opslag: 0.0 kg</w:t>
      </w:r>
    </w:p>
    <w:p>
      <w:pPr>
        <w:spacing w:after="120"/>
      </w:pPr>
      <w:r>
        <w:rPr>
          <w:rFonts w:ascii="Calibri" w:hAnsi="Calibri"/>
          <w:b w:val="0"/>
          <w:i w:val="0"/>
          <w:color w:val="374151"/>
          <w:sz w:val="24"/>
        </w:rPr>
        <w:t>Geaggregeerd veiligheidsniveau: -</w:t>
      </w:r>
    </w:p>
    <w:p/>
    <w:p/>
    <w:p>
      <w:pPr>
        <w:spacing w:after="120"/>
      </w:pPr>
      <w:r>
        <w:rPr>
          <w:rFonts w:ascii="Calibri" w:hAnsi="Calibri"/>
          <w:b w:val="0"/>
          <w:i/>
          <w:color w:val="374151"/>
          <w:sz w:val="20"/>
        </w:rPr>
        <w:t>Vertrouwelijk — JvG Consultancy</w:t>
      </w:r>
    </w:p>
    <w:p>
      <w:r>
        <w:br w:type="page"/>
      </w:r>
    </w:p>
    <w:p>
      <w:pPr>
        <w:pStyle w:val="Heading1"/>
      </w:pPr>
      <w:r>
        <w:t>1. Inleiding &amp; Scope</w:t>
      </w:r>
    </w:p>
    <w:p>
      <w:pPr>
        <w:spacing w:after="120"/>
      </w:pPr>
      <w:r>
        <w:rPr>
          <w:rFonts w:ascii="Calibri" w:hAnsi="Calibri"/>
          <w:b/>
          <w:i w:val="0"/>
          <w:color w:val="003366"/>
          <w:sz w:val="24"/>
        </w:rPr>
        <w:t>Doel van de toetsing</w:t>
      </w:r>
    </w:p>
    <w:p>
      <w:pPr>
        <w:spacing w:after="120"/>
      </w:pPr>
      <w:r>
        <w:rPr>
          <w:rFonts w:ascii="Calibri" w:hAnsi="Calibri"/>
          <w:b w:val="0"/>
          <w:i w:val="0"/>
          <w:sz w:val="22"/>
        </w:rPr>
        <w:t>Dit rapport bevat de PGS 15:2025 compliance toetsing voor Test. De toetsing bepaalt per stof het vereiste veiligheidsniveau op basis van ADR- en CLP-classificering, deelt verplichte maatregelen toe volgens doelstellingen en scenario's, en analyseert stoffencombinatie-effecten inclusief aggregatie, scheiding en synergie. Het rapport sluit af met een voorstel voor gezamenlijke opslag.</w:t>
      </w:r>
    </w:p>
    <w:p/>
    <w:p>
      <w:pPr>
        <w:spacing w:after="120"/>
      </w:pPr>
      <w:r>
        <w:rPr>
          <w:rFonts w:ascii="Calibri" w:hAnsi="Calibri"/>
          <w:b/>
          <w:i w:val="0"/>
          <w:color w:val="003366"/>
          <w:sz w:val="24"/>
        </w:rPr>
        <w:t>Referentiekader</w:t>
      </w:r>
    </w:p>
    <w:p>
      <w:pPr>
        <w:spacing w:after="120"/>
      </w:pPr>
      <w:r>
        <w:rPr>
          <w:rFonts w:ascii="Calibri" w:hAnsi="Calibri"/>
          <w:b w:val="0"/>
          <w:i w:val="0"/>
          <w:sz w:val="22"/>
        </w:rPr>
        <w:t>Publicatiegroep Stoffen (PGS) 15:2025, Publicatie 565 — "Opslag van pakketten vloeistoffen". Deze publicatie stelt veiligheidsniveaus (Basis, C, B, A) vast op basis van de hoeveelheid en gevaarsklasse van opgeslagen stoffen, en koppelt daar verplichte maatregelen aan.</w:t>
      </w:r>
    </w:p>
    <w:p/>
    <w:p>
      <w:pPr>
        <w:spacing w:after="120"/>
      </w:pPr>
      <w:r>
        <w:rPr>
          <w:rFonts w:ascii="Calibri" w:hAnsi="Calibri"/>
          <w:b/>
          <w:i w:val="0"/>
          <w:color w:val="003366"/>
          <w:sz w:val="24"/>
        </w:rPr>
        <w:t>Scope</w:t>
      </w:r>
    </w:p>
    <w:p>
      <w:pPr>
        <w:spacing w:after="120"/>
      </w:pPr>
      <w:r>
        <w:rPr>
          <w:rFonts w:ascii="Calibri" w:hAnsi="Calibri"/>
          <w:b w:val="0"/>
          <w:i w:val="0"/>
          <w:sz w:val="22"/>
        </w:rPr>
        <w:t>0 stoffen zijn meegenomen in de analyse. Hiervan vallen 0 binnen de werkingssfeer van PGS 15:2025 en 0 buiten scope.</w:t>
      </w:r>
    </w:p>
    <w:p/>
    <w:p>
      <w:pPr>
        <w:spacing w:after="120"/>
      </w:pPr>
      <w:r>
        <w:rPr>
          <w:rFonts w:ascii="Calibri" w:hAnsi="Calibri"/>
          <w:b w:val="0"/>
          <w:i w:val="0"/>
          <w:color w:val="374151"/>
          <w:sz w:val="20"/>
        </w:rPr>
        <w:t>Datum van analyse: 07-05-2026</w:t>
      </w:r>
    </w:p>
    <w:p>
      <w:pPr>
        <w:pStyle w:val="Heading1"/>
      </w:pPr>
      <w:r>
        <w:t>2. Stoffenoverzicht</w:t>
      </w:r>
    </w:p>
    <w:p>
      <w:pPr>
        <w:spacing w:after="120"/>
      </w:pPr>
      <w:r>
        <w:rPr>
          <w:rFonts w:ascii="Calibri" w:hAnsi="Calibri"/>
          <w:b/>
          <w:i w:val="0"/>
          <w:color w:val="1F2937"/>
          <w:sz w:val="22"/>
        </w:rPr>
        <w:t>Tabel 1: Overzicht alle stoffen</w:t>
      </w:r>
    </w:p>
    <w:p/>
    <w:tbl>
      <w:tblPr>
        <w:tblW w:type="auto" w:w="0"/>
        <w:jc w:val="center"/>
        <w:tblLayout w:type="autofit"/>
        <w:tblLook w:firstColumn="1" w:firstRow="1" w:lastColumn="0" w:lastRow="0" w:noHBand="0" w:noVBand="1" w:val="04A0"/>
      </w:tblPr>
      <w:tblGrid>
        <w:gridCol w:w="941"/>
        <w:gridCol w:w="941"/>
        <w:gridCol w:w="941"/>
        <w:gridCol w:w="941"/>
        <w:gridCol w:w="941"/>
        <w:gridCol w:w="941"/>
        <w:gridCol w:w="941"/>
        <w:gridCol w:w="941"/>
        <w:gridCol w:w="941"/>
        <w:gridCol w:w="941"/>
      </w:tblGrid>
      <w:tr>
        <w:tc>
          <w:tcPr>
            <w:tcW w:type="dxa" w:w="941"/>
            <w:shd w:fill="003366"/>
            <w:noWrap w:val="false"/>
          </w:tcPr>
          <w:p>
            <w:r/>
            <w:r>
              <w:rPr>
                <w:rFonts w:ascii="Calibri" w:hAnsi="Calibri"/>
                <w:b/>
                <w:color w:val="FFFFFF"/>
                <w:sz w:val="18"/>
              </w:rPr>
              <w:t>#</w:t>
            </w:r>
          </w:p>
        </w:tc>
        <w:tc>
          <w:tcPr>
            <w:tcW w:type="dxa" w:w="941"/>
            <w:shd w:fill="003366"/>
            <w:noWrap w:val="false"/>
          </w:tcPr>
          <w:p>
            <w:r/>
            <w:r>
              <w:rPr>
                <w:rFonts w:ascii="Calibri" w:hAnsi="Calibri"/>
                <w:b/>
                <w:color w:val="FFFFFF"/>
                <w:sz w:val="18"/>
              </w:rPr>
              <w:t>Stof</w:t>
            </w:r>
          </w:p>
        </w:tc>
        <w:tc>
          <w:tcPr>
            <w:tcW w:type="dxa" w:w="941"/>
            <w:shd w:fill="003366"/>
            <w:noWrap w:val="false"/>
          </w:tcPr>
          <w:p>
            <w:r/>
            <w:r>
              <w:rPr>
                <w:rFonts w:ascii="Calibri" w:hAnsi="Calibri"/>
                <w:b/>
                <w:color w:val="FFFFFF"/>
                <w:sz w:val="18"/>
              </w:rPr>
              <w:t>CAS</w:t>
            </w:r>
          </w:p>
        </w:tc>
        <w:tc>
          <w:tcPr>
            <w:tcW w:type="dxa" w:w="941"/>
            <w:shd w:fill="003366"/>
            <w:noWrap w:val="false"/>
          </w:tcPr>
          <w:p>
            <w:r/>
            <w:r>
              <w:rPr>
                <w:rFonts w:ascii="Calibri" w:hAnsi="Calibri"/>
                <w:b/>
                <w:color w:val="FFFFFF"/>
                <w:sz w:val="18"/>
              </w:rPr>
              <w:t>ADR</w:t>
            </w:r>
          </w:p>
        </w:tc>
        <w:tc>
          <w:tcPr>
            <w:tcW w:type="dxa" w:w="941"/>
            <w:shd w:fill="003366"/>
            <w:noWrap w:val="false"/>
          </w:tcPr>
          <w:p>
            <w:r/>
            <w:r>
              <w:rPr>
                <w:rFonts w:ascii="Calibri" w:hAnsi="Calibri"/>
                <w:b/>
                <w:color w:val="FFFFFF"/>
                <w:sz w:val="18"/>
              </w:rPr>
              <w:t>VG</w:t>
            </w:r>
          </w:p>
        </w:tc>
        <w:tc>
          <w:tcPr>
            <w:tcW w:type="dxa" w:w="941"/>
            <w:shd w:fill="003366"/>
            <w:noWrap w:val="false"/>
          </w:tcPr>
          <w:p>
            <w:r/>
            <w:r>
              <w:rPr>
                <w:rFonts w:ascii="Calibri" w:hAnsi="Calibri"/>
                <w:b/>
                <w:color w:val="FFFFFF"/>
                <w:sz w:val="18"/>
              </w:rPr>
              <w:t>Hoeveelheid</w:t>
            </w:r>
          </w:p>
        </w:tc>
        <w:tc>
          <w:tcPr>
            <w:tcW w:type="dxa" w:w="941"/>
            <w:shd w:fill="003366"/>
            <w:noWrap w:val="false"/>
          </w:tcPr>
          <w:p>
            <w:r/>
            <w:r>
              <w:rPr>
                <w:rFonts w:ascii="Calibri" w:hAnsi="Calibri"/>
                <w:b/>
                <w:color w:val="FFFFFF"/>
                <w:sz w:val="18"/>
              </w:rPr>
              <w:t>Eenheid</w:t>
            </w:r>
          </w:p>
        </w:tc>
        <w:tc>
          <w:tcPr>
            <w:tcW w:type="dxa" w:w="941"/>
            <w:shd w:fill="003366"/>
            <w:noWrap w:val="false"/>
          </w:tcPr>
          <w:p>
            <w:r/>
            <w:r>
              <w:rPr>
                <w:rFonts w:ascii="Calibri" w:hAnsi="Calibri"/>
                <w:b/>
                <w:color w:val="FFFFFF"/>
                <w:sz w:val="18"/>
              </w:rPr>
              <w:t>Vorm</w:t>
            </w:r>
          </w:p>
        </w:tc>
        <w:tc>
          <w:tcPr>
            <w:tcW w:type="dxa" w:w="941"/>
            <w:shd w:fill="003366"/>
            <w:noWrap w:val="false"/>
          </w:tcPr>
          <w:p>
            <w:r/>
            <w:r>
              <w:rPr>
                <w:rFonts w:ascii="Calibri" w:hAnsi="Calibri"/>
                <w:b/>
                <w:color w:val="FFFFFF"/>
                <w:sz w:val="18"/>
              </w:rPr>
              <w:t>Niveau</w:t>
            </w:r>
          </w:p>
        </w:tc>
        <w:tc>
          <w:tcPr>
            <w:tcW w:type="dxa" w:w="941"/>
            <w:shd w:fill="003366"/>
            <w:noWrap w:val="false"/>
          </w:tcPr>
          <w:p>
            <w:r/>
            <w:r>
              <w:rPr>
                <w:rFonts w:ascii="Calibri" w:hAnsi="Calibri"/>
                <w:b/>
                <w:color w:val="FFFFFF"/>
                <w:sz w:val="18"/>
              </w:rPr>
              <w:t>Status</w:t>
            </w:r>
          </w:p>
        </w:tc>
      </w:tr>
    </w:tbl>
    <w:p/>
    <w:p>
      <w:pPr>
        <w:spacing w:after="120"/>
      </w:pPr>
      <w:r>
        <w:rPr>
          <w:rFonts w:ascii="Calibri" w:hAnsi="Calibri"/>
          <w:b/>
          <w:i w:val="0"/>
          <w:color w:val="1F2937"/>
          <w:sz w:val="22"/>
        </w:rPr>
        <w:t>Tabel 2: Aggregatie per ADR-klasse</w:t>
      </w:r>
    </w:p>
    <w:p/>
    <w:p>
      <w:pPr>
        <w:spacing w:after="120"/>
      </w:pPr>
      <w:r>
        <w:rPr>
          <w:rFonts w:ascii="Calibri" w:hAnsi="Calibri"/>
          <w:b w:val="0"/>
          <w:i/>
          <w:color w:val="374151"/>
          <w:sz w:val="20"/>
        </w:rPr>
        <w:t>Geen aggregatiegegevens beschikbaar.</w:t>
      </w:r>
    </w:p>
    <w:p/>
    <w:p>
      <w:pPr>
        <w:spacing w:after="120"/>
      </w:pPr>
      <w:r>
        <w:rPr>
          <w:rFonts w:ascii="Calibri" w:hAnsi="Calibri"/>
          <w:b/>
          <w:i w:val="0"/>
          <w:sz w:val="22"/>
        </w:rPr>
        <w:t>Totaal gewicht: 0.0 kg</w:t>
      </w:r>
    </w:p>
    <w:p>
      <w:pPr>
        <w:spacing w:after="120"/>
      </w:pPr>
      <w:r>
        <w:rPr>
          <w:rFonts w:ascii="Calibri" w:hAnsi="Calibri"/>
          <w:b/>
          <w:i w:val="0"/>
          <w:color w:val="00A859"/>
          <w:sz w:val="22"/>
        </w:rPr>
        <w:t>Catch-all (totaal &gt;= 1.000 kg): Nee — niet van toepassing</w:t>
      </w:r>
    </w:p>
    <w:p>
      <w:r>
        <w:br w:type="page"/>
      </w:r>
    </w:p>
    <w:p>
      <w:pPr>
        <w:pStyle w:val="Heading1"/>
      </w:pPr>
      <w:r>
        <w:t>3. Niveaubepaling per Stof</w:t>
      </w:r>
    </w:p>
    <w:p>
      <w:pPr>
        <w:spacing w:after="120"/>
      </w:pPr>
      <w:r>
        <w:rPr>
          <w:rFonts w:ascii="Calibri" w:hAnsi="Calibri"/>
          <w:b w:val="0"/>
          <w:i w:val="0"/>
          <w:color w:val="374151"/>
          <w:sz w:val="20"/>
        </w:rPr>
        <w:t>Per stof wordt zowel de ADR-route als de CLP-route(n) bepaald. Het strengste niveau uit alle routes is het verplichte veiligheidsniveau.</w:t>
      </w:r>
    </w:p>
    <w:p>
      <w:r>
        <w:br w:type="page"/>
      </w:r>
    </w:p>
    <w:p>
      <w:pPr>
        <w:pStyle w:val="Heading1"/>
      </w:pPr>
      <w:r>
        <w:t>3. Aggregatie-overzicht &amp; Verplichte Maatregelen</w:t>
      </w:r>
    </w:p>
    <w:p>
      <w:pPr>
        <w:pStyle w:val="Heading2"/>
      </w:pPr>
      <w:r>
        <w:t>3.2 Verplichte Maatregelen</w:t>
      </w:r>
    </w:p>
    <w:p>
      <w:pPr>
        <w:spacing w:after="120"/>
      </w:pPr>
      <w:r>
        <w:rPr>
          <w:rFonts w:ascii="Calibri" w:hAnsi="Calibri"/>
          <w:b w:val="0"/>
          <w:i/>
          <w:color w:val="374151"/>
          <w:sz w:val="22"/>
        </w:rPr>
        <w:t>Geen verplichte maatregelen — alle stoffen vallen buiten PGS 15 scope.</w:t>
      </w:r>
    </w:p>
    <w:p>
      <w:r>
        <w:br w:type="page"/>
      </w:r>
    </w:p>
    <w:p>
      <w:pPr>
        <w:pStyle w:val="Heading1"/>
      </w:pPr>
      <w:r>
        <w:t>Bijlage A: Per Product — Vereisten &amp; Maatregelen</w:t>
      </w:r>
    </w:p>
    <w:p>
      <w:pPr>
        <w:spacing w:after="120"/>
      </w:pPr>
      <w:r>
        <w:rPr>
          <w:rFonts w:ascii="Calibri" w:hAnsi="Calibri"/>
          <w:b w:val="0"/>
          <w:i w:val="0"/>
          <w:color w:val="374151"/>
          <w:sz w:val="20"/>
        </w:rPr>
        <w:t>Per stof de van toepassing zijnde PGS 15 vereisten: veiligheidsniveau, doelstellingen (D1-D13), scenario's en de gekoppelde verplichte maatregelen.</w:t>
      </w:r>
    </w:p>
    <w:p>
      <w:pPr>
        <w:pStyle w:val="Heading2"/>
      </w:pPr>
      <w:r>
        <w:t>Bijlage A.2: Samenstel — Scenario's, Doelstellingen &amp; Maatregelen</w:t>
      </w:r>
    </w:p>
    <w:p>
      <w:pPr>
        <w:spacing w:after="120"/>
      </w:pPr>
      <w:r>
        <w:rPr>
          <w:rFonts w:ascii="Calibri" w:hAnsi="Calibri"/>
          <w:b w:val="0"/>
          <w:i w:val="0"/>
          <w:color w:val="374151"/>
          <w:sz w:val="20"/>
        </w:rPr>
        <w:t>Geaggregeerd niveau: -. Scenario's, doelstellingen en maatregelen voor het gehele samenstel.</w:t>
      </w:r>
    </w:p>
    <w:p>
      <w:pPr>
        <w:spacing w:after="120"/>
      </w:pPr>
      <w:r>
        <w:rPr>
          <w:rFonts w:ascii="Calibri" w:hAnsi="Calibri"/>
          <w:b w:val="0"/>
          <w:i/>
          <w:color w:val="374151"/>
          <w:sz w:val="22"/>
        </w:rPr>
        <w:t>Geen samenstel-niveau van toepassing.</w:t>
      </w:r>
    </w:p>
    <w:p>
      <w:r>
        <w:br w:type="page"/>
      </w:r>
    </w:p>
    <w:p>
      <w:pPr>
        <w:pStyle w:val="Heading1"/>
      </w:pPr>
      <w:r>
        <w:t>4. Aggregatie-analyse</w:t>
      </w:r>
    </w:p>
    <w:p>
      <w:pPr>
        <w:spacing w:after="120"/>
      </w:pPr>
      <w:r>
        <w:rPr>
          <w:rFonts w:ascii="Calibri" w:hAnsi="Calibri"/>
          <w:b/>
          <w:i w:val="0"/>
          <w:color w:val="1F2937"/>
          <w:sz w:val="22"/>
        </w:rPr>
        <w:t>Tabel: Aggregatie per ADR-klasse</w:t>
      </w:r>
    </w:p>
    <w:p/>
    <w:p>
      <w:pPr>
        <w:spacing w:after="120"/>
      </w:pPr>
      <w:r>
        <w:rPr>
          <w:rFonts w:ascii="Calibri" w:hAnsi="Calibri"/>
          <w:b w:val="0"/>
          <w:i/>
          <w:color w:val="374151"/>
          <w:sz w:val="20"/>
        </w:rPr>
        <w:t>Geen aggregatiegegevens beschikbaar.</w:t>
      </w:r>
    </w:p>
    <w:p/>
    <w:p>
      <w:pPr>
        <w:spacing w:after="120"/>
      </w:pPr>
      <w:r>
        <w:rPr>
          <w:rFonts w:ascii="Calibri" w:hAnsi="Calibri"/>
          <w:b/>
          <w:i w:val="0"/>
          <w:color w:val="374151"/>
          <w:sz w:val="24"/>
        </w:rPr>
        <w:t>Geaggregeerd niveau: -</w:t>
      </w:r>
    </w:p>
    <w:p>
      <w:pPr>
        <w:spacing w:after="120"/>
      </w:pPr>
      <w:r>
        <w:rPr>
          <w:rFonts w:ascii="Calibri" w:hAnsi="Calibri"/>
          <w:b/>
          <w:i w:val="0"/>
          <w:color w:val="00A859"/>
          <w:sz w:val="22"/>
        </w:rPr>
        <w:t>Seveso III / BRZO status: -</w:t>
      </w:r>
    </w:p>
    <w:p>
      <w:pPr>
        <w:spacing w:after="120"/>
      </w:pPr>
      <w:r>
        <w:rPr>
          <w:rFonts w:ascii="Calibri" w:hAnsi="Calibri"/>
          <w:b/>
          <w:i w:val="0"/>
          <w:color w:val="00A859"/>
          <w:sz w:val="22"/>
        </w:rPr>
        <w:t>BAL Art. 3.27 status: -</w:t>
      </w:r>
    </w:p>
    <w:p>
      <w:pPr>
        <w:spacing w:after="120"/>
      </w:pPr>
      <w:r>
        <w:rPr>
          <w:rFonts w:ascii="Calibri" w:hAnsi="Calibri"/>
          <w:b/>
          <w:i w:val="0"/>
          <w:color w:val="00A859"/>
          <w:sz w:val="22"/>
        </w:rPr>
        <w:t>Catch-all (totaal &gt;= 1.000 kg): NEE</w:t>
      </w:r>
    </w:p>
    <w:p>
      <w:r>
        <w:br w:type="page"/>
      </w:r>
    </w:p>
    <w:p>
      <w:pPr>
        <w:pStyle w:val="Heading1"/>
      </w:pPr>
      <w:r>
        <w:t>5. Voorstel Gezamenlijke Opslag</w:t>
      </w:r>
    </w:p>
    <w:p>
      <w:pPr>
        <w:spacing w:after="120"/>
      </w:pPr>
      <w:r>
        <w:rPr>
          <w:rFonts w:ascii="Calibri" w:hAnsi="Calibri"/>
          <w:b w:val="0"/>
          <w:i/>
          <w:color w:val="374151"/>
          <w:sz w:val="22"/>
        </w:rPr>
        <w:t>Geen opslagvoorstel beschikbaar.</w:t>
      </w:r>
    </w:p>
    <w:p>
      <w:r>
        <w:br w:type="page"/>
      </w:r>
    </w:p>
    <w:p>
      <w:pPr>
        <w:pStyle w:val="Heading1"/>
      </w:pPr>
      <w:r>
        <w:t>6. Conclusie &amp; Aanbevelingen</w:t>
      </w:r>
    </w:p>
    <w:p>
      <w:pPr>
        <w:spacing w:after="120"/>
      </w:pPr>
      <w:r>
        <w:rPr>
          <w:rFonts w:ascii="Calibri" w:hAnsi="Calibri"/>
          <w:b/>
          <w:i w:val="0"/>
          <w:color w:val="003366"/>
          <w:sz w:val="24"/>
        </w:rPr>
        <w:t>Samenvatting findings</w:t>
      </w:r>
    </w:p>
    <w:p>
      <w:pPr>
        <w:spacing w:after="120"/>
      </w:pPr>
      <w:r>
        <w:rPr>
          <w:rFonts w:ascii="Calibri" w:hAnsi="Calibri"/>
          <w:b w:val="0"/>
          <w:i w:val="0"/>
          <w:sz w:val="22"/>
        </w:rPr>
        <w:t>De opgeslagen stoffen vallen binnen of buiten de werkingssfeer van PGS 15:2025.</w:t>
      </w:r>
    </w:p>
    <w:p/>
    <w:p>
      <w:pPr>
        <w:spacing w:after="120"/>
      </w:pPr>
      <w:r>
        <w:rPr>
          <w:rFonts w:ascii="Calibri" w:hAnsi="Calibri"/>
          <w:b/>
          <w:i w:val="0"/>
          <w:color w:val="003366"/>
          <w:sz w:val="24"/>
        </w:rPr>
        <w:t>Prioriteerde actielijst</w:t>
      </w:r>
    </w:p>
    <w:tbl>
      <w:tblPr>
        <w:tblW w:type="auto" w:w="0"/>
        <w:jc w:val="center"/>
        <w:tblLayout w:type="autofit"/>
        <w:tblLook w:firstColumn="1" w:firstRow="1" w:lastColumn="0" w:lastRow="0" w:noHBand="0" w:noVBand="1" w:val="04A0"/>
      </w:tblPr>
      <w:tblGrid>
        <w:gridCol w:w="3135"/>
        <w:gridCol w:w="3135"/>
        <w:gridCol w:w="3135"/>
      </w:tblGrid>
      <w:tr>
        <w:tc>
          <w:tcPr>
            <w:tcW w:type="dxa" w:w="3135"/>
            <w:shd w:fill="003366"/>
            <w:noWrap w:val="false"/>
          </w:tcPr>
          <w:p>
            <w:r/>
            <w:r>
              <w:rPr>
                <w:rFonts w:ascii="Calibri" w:hAnsi="Calibri"/>
                <w:b/>
                <w:color w:val="FFFFFF"/>
                <w:sz w:val="18"/>
              </w:rPr>
              <w:t>#</w:t>
            </w:r>
          </w:p>
        </w:tc>
        <w:tc>
          <w:tcPr>
            <w:tcW w:type="dxa" w:w="3135"/>
            <w:shd w:fill="003366"/>
            <w:noWrap w:val="false"/>
          </w:tcPr>
          <w:p>
            <w:r/>
            <w:r>
              <w:rPr>
                <w:rFonts w:ascii="Calibri" w:hAnsi="Calibri"/>
                <w:b/>
                <w:color w:val="FFFFFF"/>
                <w:sz w:val="18"/>
              </w:rPr>
              <w:t>Actie</w:t>
            </w:r>
          </w:p>
        </w:tc>
        <w:tc>
          <w:tcPr>
            <w:tcW w:type="dxa" w:w="3135"/>
            <w:shd w:fill="003366"/>
            <w:noWrap w:val="false"/>
          </w:tcPr>
          <w:p>
            <w:r/>
            <w:r>
              <w:rPr>
                <w:rFonts w:ascii="Calibri" w:hAnsi="Calibri"/>
                <w:b/>
                <w:color w:val="FFFFFF"/>
                <w:sz w:val="18"/>
              </w:rPr>
              <w:t>Verantwoordelijke</w:t>
            </w:r>
          </w:p>
        </w:tc>
      </w:tr>
      <w:tr>
        <w:tc>
          <w:tcPr>
            <w:tcW w:type="dxa" w:w="3135"/>
            <w:noWrap w:val="false"/>
          </w:tcPr>
          <w:p>
            <w:r/>
            <w:r>
              <w:rPr>
                <w:rFonts w:ascii="Calibri" w:hAnsi="Calibri"/>
                <w:sz w:val="18"/>
              </w:rPr>
              <w:t>3</w:t>
            </w:r>
          </w:p>
        </w:tc>
        <w:tc>
          <w:tcPr>
            <w:tcW w:type="dxa" w:w="3135"/>
            <w:noWrap w:val="false"/>
          </w:tcPr>
          <w:p>
            <w:r/>
            <w:r>
              <w:rPr>
                <w:rFonts w:ascii="Calibri" w:hAnsi="Calibri"/>
                <w:sz w:val="18"/>
              </w:rPr>
              <w:t>Implementeer Basismaatregelen voor alle in-scope stoffen.</w:t>
            </w:r>
          </w:p>
        </w:tc>
        <w:tc>
          <w:tcPr>
            <w:tcW w:type="dxa" w:w="3135"/>
            <w:noWrap w:val="false"/>
          </w:tcPr>
          <w:p>
            <w:r/>
            <w:r>
              <w:rPr>
                <w:rFonts w:ascii="Calibri" w:hAnsi="Calibri"/>
                <w:sz w:val="18"/>
              </w:rPr>
              <w:t>Facilitair</w:t>
            </w:r>
          </w:p>
        </w:tc>
      </w:tr>
      <w:tr>
        <w:tc>
          <w:tcPr>
            <w:tcW w:type="dxa" w:w="3135"/>
            <w:noWrap w:val="false"/>
          </w:tcPr>
          <w:p>
            <w:r/>
            <w:r>
              <w:rPr>
                <w:rFonts w:ascii="Calibri" w:hAnsi="Calibri"/>
                <w:sz w:val="18"/>
              </w:rPr>
              <w:t>5</w:t>
            </w:r>
          </w:p>
        </w:tc>
        <w:tc>
          <w:tcPr>
            <w:tcW w:type="dxa" w:w="3135"/>
            <w:noWrap w:val="false"/>
          </w:tcPr>
          <w:p>
            <w:r/>
            <w:r>
              <w:rPr>
                <w:rFonts w:ascii="Calibri" w:hAnsi="Calibri"/>
                <w:sz w:val="18"/>
              </w:rPr>
              <w:t>Update RI&amp;E en veiligheidsinstructies met bevindingen uit dit rapport.</w:t>
            </w:r>
          </w:p>
        </w:tc>
        <w:tc>
          <w:tcPr>
            <w:tcW w:type="dxa" w:w="3135"/>
            <w:noWrap w:val="false"/>
          </w:tcPr>
          <w:p>
            <w:r/>
            <w:r>
              <w:rPr>
                <w:rFonts w:ascii="Calibri" w:hAnsi="Calibri"/>
                <w:sz w:val="18"/>
              </w:rPr>
              <w:t>HSEQ Manager</w:t>
            </w:r>
          </w:p>
        </w:tc>
      </w:tr>
    </w:tbl>
    <w:p/>
    <w:p>
      <w:pPr>
        <w:spacing w:after="120"/>
      </w:pPr>
      <w:r>
        <w:rPr>
          <w:rFonts w:ascii="Calibri" w:hAnsi="Calibri"/>
          <w:b w:val="0"/>
          <w:i/>
          <w:color w:val="374151"/>
          <w:sz w:val="18"/>
        </w:rPr>
        <w:t>Dit rapport is automatisch gegenereerd door de JvG Consultancy PGS 15:2025 Compliance Scanner. Raadpleeg altijd de volledige PGS 15:2025 Publicatie 565 voor de definitieve tekst van de voorschriften.</w:t>
      </w:r>
    </w:p>
    <w:p>
      <w:r>
        <w:br w:type="page"/>
      </w:r>
    </w:p>
    <w:p>
      <w:pPr>
        <w:pStyle w:val="Heading1"/>
      </w:pPr>
      <w:r>
        <w:t>Bijlage A — Scenario's</w:t>
      </w:r>
    </w:p>
    <w:p>
      <w:pPr>
        <w:spacing w:after="120"/>
      </w:pPr>
      <w:r>
        <w:rPr>
          <w:rFonts w:ascii="Calibri" w:hAnsi="Calibri"/>
          <w:b w:val="0"/>
          <w:i w:val="0"/>
          <w:color w:val="374151"/>
          <w:sz w:val="20"/>
        </w:rPr>
        <w:t>Overzicht van alle oorzaak- en gevolgscenario's uit PGS 15:2025 Hoofdstuk 4. Elk scenario beschrijft een concreet incidentpad.</w:t>
      </w:r>
    </w:p>
    <w:p/>
    <w:tbl>
      <w:tblPr>
        <w:tblW w:type="auto" w:w="0"/>
        <w:jc w:val="center"/>
        <w:tblLayout w:type="autofit"/>
        <w:tblLook w:firstColumn="1" w:firstRow="1" w:lastColumn="0" w:lastRow="0" w:noHBand="0" w:noVBand="1" w:val="04A0"/>
      </w:tblPr>
      <w:tblGrid>
        <w:gridCol w:w="2351"/>
        <w:gridCol w:w="2351"/>
        <w:gridCol w:w="2351"/>
        <w:gridCol w:w="2351"/>
      </w:tblGrid>
      <w:tr>
        <w:tc>
          <w:tcPr>
            <w:tcW w:type="dxa" w:w="2351"/>
            <w:shd w:fill="003366"/>
            <w:noWrap w:val="false"/>
          </w:tcPr>
          <w:p>
            <w:r/>
            <w:r>
              <w:rPr>
                <w:rFonts w:ascii="Calibri" w:hAnsi="Calibri"/>
                <w:b/>
                <w:color w:val="FFFFFF"/>
                <w:sz w:val="18"/>
              </w:rPr>
              <w:t>Code</w:t>
            </w:r>
          </w:p>
        </w:tc>
        <w:tc>
          <w:tcPr>
            <w:tcW w:type="dxa" w:w="2351"/>
            <w:shd w:fill="003366"/>
            <w:noWrap w:val="false"/>
          </w:tcPr>
          <w:p>
            <w:r/>
            <w:r>
              <w:rPr>
                <w:rFonts w:ascii="Calibri" w:hAnsi="Calibri"/>
                <w:b/>
                <w:color w:val="FFFFFF"/>
                <w:sz w:val="18"/>
              </w:rPr>
              <w:t>Omschrijving</w:t>
            </w:r>
          </w:p>
        </w:tc>
        <w:tc>
          <w:tcPr>
            <w:tcW w:type="dxa" w:w="2351"/>
            <w:shd w:fill="003366"/>
            <w:noWrap w:val="false"/>
          </w:tcPr>
          <w:p>
            <w:r/>
            <w:r>
              <w:rPr>
                <w:rFonts w:ascii="Calibri" w:hAnsi="Calibri"/>
                <w:b/>
                <w:color w:val="FFFFFF"/>
                <w:sz w:val="18"/>
              </w:rPr>
              <w:t>Uitleg</w:t>
            </w:r>
          </w:p>
        </w:tc>
        <w:tc>
          <w:tcPr>
            <w:tcW w:type="dxa" w:w="2351"/>
            <w:shd w:fill="003366"/>
            <w:noWrap w:val="false"/>
          </w:tcPr>
          <w:p>
            <w:r/>
            <w:r>
              <w:rPr>
                <w:rFonts w:ascii="Calibri" w:hAnsi="Calibri"/>
                <w:b/>
                <w:color w:val="FFFFFF"/>
                <w:sz w:val="18"/>
              </w:rPr>
              <w:t>Doelstellingen + maatregelen</w:t>
            </w:r>
          </w:p>
        </w:tc>
      </w:tr>
      <w:tr>
        <w:tc>
          <w:tcPr>
            <w:tcW w:type="dxa" w:w="2351"/>
            <w:noWrap w:val="false"/>
          </w:tcPr>
          <w:p>
            <w:r/>
            <w:r>
              <w:rPr>
                <w:rFonts w:ascii="Calibri" w:hAnsi="Calibri"/>
                <w:sz w:val="18"/>
              </w:rPr>
              <w:t>S1</w:t>
            </w:r>
          </w:p>
        </w:tc>
        <w:tc>
          <w:tcPr>
            <w:tcW w:type="dxa" w:w="2351"/>
            <w:noWrap w:val="false"/>
          </w:tcPr>
          <w:p>
            <w:r/>
            <w:r>
              <w:rPr>
                <w:rFonts w:ascii="Calibri" w:hAnsi="Calibri"/>
                <w:sz w:val="18"/>
              </w:rPr>
              <w:t>Verpakking wordt aangereden waardoor de gevaarlijke stof vrijkomt uit de verpakking</w:t>
            </w:r>
          </w:p>
        </w:tc>
        <w:tc>
          <w:tcPr>
            <w:tcW w:type="dxa" w:w="2351"/>
            <w:noWrap w:val="false"/>
          </w:tcPr>
          <w:p>
            <w:r/>
            <w:r>
              <w:rPr>
                <w:rFonts w:ascii="Calibri" w:hAnsi="Calibri"/>
                <w:sz w:val="18"/>
              </w:rPr>
              <w:t>Een voertuig (vorkheftruck, vrachtwagen) rijdt tegen verpakkingen of stellingen aan. Dit kan leiden tot lekkage of val van stoffen.</w:t>
            </w:r>
          </w:p>
        </w:tc>
        <w:tc>
          <w:tcPr>
            <w:tcW w:type="dxa" w:w="2351"/>
            <w:noWrap w:val="false"/>
          </w:tcPr>
          <w:p>
            <w:r/>
            <w:r>
              <w:rPr>
                <w:rFonts w:ascii="Calibri" w:hAnsi="Calibri"/>
                <w:sz w:val="18"/>
              </w:rPr>
              <w:t>D1, D2</w:t>
              <w:br/>
              <w:t>Maatregelen: M10, M11, M12, M14, M144, M145, M146, M149, M151, M152, M153, M157, M159, M162, M164, M167, M2, M20, M46, M7, M74, M76, M77, M78, M79, M8, M80, M87, M9</w:t>
            </w:r>
          </w:p>
        </w:tc>
      </w:tr>
      <w:tr>
        <w:tc>
          <w:tcPr>
            <w:tcW w:type="dxa" w:w="2351"/>
            <w:noWrap w:val="false"/>
          </w:tcPr>
          <w:p>
            <w:r/>
            <w:r>
              <w:rPr>
                <w:rFonts w:ascii="Calibri" w:hAnsi="Calibri"/>
                <w:sz w:val="18"/>
              </w:rPr>
              <w:t>S2</w:t>
            </w:r>
          </w:p>
        </w:tc>
        <w:tc>
          <w:tcPr>
            <w:tcW w:type="dxa" w:w="2351"/>
            <w:noWrap w:val="false"/>
          </w:tcPr>
          <w:p>
            <w:r/>
            <w:r>
              <w:rPr>
                <w:rFonts w:ascii="Calibri" w:hAnsi="Calibri"/>
                <w:sz w:val="18"/>
              </w:rPr>
              <w:t>Verpakking valt en faalt waardoor de stof vrijkomt uit de verpakking</w:t>
            </w:r>
          </w:p>
        </w:tc>
        <w:tc>
          <w:tcPr>
            <w:tcW w:type="dxa" w:w="2351"/>
            <w:noWrap w:val="false"/>
          </w:tcPr>
          <w:p>
            <w:r/>
            <w:r>
              <w:rPr>
                <w:rFonts w:ascii="Calibri" w:hAnsi="Calibri"/>
                <w:sz w:val="18"/>
              </w:rPr>
              <w:t>Een verpakking valt van een stelling, pallet of tijdens het verplaatsen. De impact kan de verpakking beschadigen waardoor de stof vrijkomt.</w:t>
            </w:r>
          </w:p>
        </w:tc>
        <w:tc>
          <w:tcPr>
            <w:tcW w:type="dxa" w:w="2351"/>
            <w:noWrap w:val="false"/>
          </w:tcPr>
          <w:p>
            <w:r/>
            <w:r>
              <w:rPr>
                <w:rFonts w:ascii="Calibri" w:hAnsi="Calibri"/>
                <w:sz w:val="18"/>
              </w:rPr>
              <w:t>D3</w:t>
              <w:br/>
              <w:t>Maatregelen: M10, M11, M12, M138, M139, M14, M141, M144, M145, M146, M149, M151, M152, M153, M157, M159, M162, M164, M167, M2, M20, M36, M38, M45, M47, M48, M49, M50, M51, M52, M53, M54, M55, M56, M57, M58, M60, M</w:t>
            </w:r>
          </w:p>
        </w:tc>
      </w:tr>
      <w:tr>
        <w:tc>
          <w:tcPr>
            <w:tcW w:type="dxa" w:w="2351"/>
            <w:noWrap w:val="false"/>
          </w:tcPr>
          <w:p>
            <w:r/>
            <w:r>
              <w:rPr>
                <w:rFonts w:ascii="Calibri" w:hAnsi="Calibri"/>
                <w:sz w:val="18"/>
              </w:rPr>
              <w:t>S3</w:t>
            </w:r>
          </w:p>
        </w:tc>
        <w:tc>
          <w:tcPr>
            <w:tcW w:type="dxa" w:w="2351"/>
            <w:noWrap w:val="false"/>
          </w:tcPr>
          <w:p>
            <w:r/>
            <w:r>
              <w:rPr>
                <w:rFonts w:ascii="Calibri" w:hAnsi="Calibri"/>
                <w:sz w:val="18"/>
              </w:rPr>
              <w:t>Door het bezwijken van (een deel) van de stelling of de opslaghal vallen de verpakkingen en komen de gevaarlijke stoffen vrij</w:t>
            </w:r>
          </w:p>
        </w:tc>
        <w:tc>
          <w:tcPr>
            <w:tcW w:type="dxa" w:w="2351"/>
            <w:noWrap w:val="false"/>
          </w:tcPr>
          <w:p>
            <w:r/>
            <w:r>
              <w:rPr>
                <w:rFonts w:ascii="Calibri" w:hAnsi="Calibri"/>
                <w:sz w:val="18"/>
              </w:rPr>
              <w:t>Een stelling of deel van de opslaghal bezwijgt onder de belasting. Alle verpakkingen die erop staan vallen en stoffen komen vrij.</w:t>
            </w:r>
          </w:p>
        </w:tc>
        <w:tc>
          <w:tcPr>
            <w:tcW w:type="dxa" w:w="2351"/>
            <w:noWrap w:val="false"/>
          </w:tcPr>
          <w:p>
            <w:r/>
            <w:r>
              <w:rPr>
                <w:rFonts w:ascii="Calibri" w:hAnsi="Calibri"/>
                <w:sz w:val="18"/>
              </w:rPr>
              <w:t>D1, D2, D3</w:t>
              <w:br/>
              <w:t>Maatregelen: M10, M11, M12, M138, M139, M14, M141, M144, M145, M146, M149, M151, M152, M153, M157, M159, M162, M164, M167, M2, M20, M36, M38, M45, M46, M47, M48, M49, M50, M51, M52, M53, M54, M55, M56, M57, M58, M</w:t>
            </w:r>
          </w:p>
        </w:tc>
      </w:tr>
      <w:tr>
        <w:tc>
          <w:tcPr>
            <w:tcW w:type="dxa" w:w="2351"/>
            <w:noWrap w:val="false"/>
          </w:tcPr>
          <w:p>
            <w:r/>
            <w:r>
              <w:rPr>
                <w:rFonts w:ascii="Calibri" w:hAnsi="Calibri"/>
                <w:sz w:val="18"/>
              </w:rPr>
              <w:t>S4</w:t>
            </w:r>
          </w:p>
        </w:tc>
        <w:tc>
          <w:tcPr>
            <w:tcW w:type="dxa" w:w="2351"/>
            <w:noWrap w:val="false"/>
          </w:tcPr>
          <w:p>
            <w:r/>
            <w:r>
              <w:rPr>
                <w:rFonts w:ascii="Calibri" w:hAnsi="Calibri"/>
                <w:sz w:val="18"/>
              </w:rPr>
              <w:t>Doordat de verpakkingen met gevaarlijke stoffen worden overbelast (verkeerde stapeling) faalt de verpakking en komt de stof vrij</w:t>
            </w:r>
          </w:p>
        </w:tc>
        <w:tc>
          <w:tcPr>
            <w:tcW w:type="dxa" w:w="2351"/>
            <w:noWrap w:val="false"/>
          </w:tcPr>
          <w:p>
            <w:r/>
            <w:r>
              <w:rPr>
                <w:rFonts w:ascii="Calibri" w:hAnsi="Calibri"/>
                <w:sz w:val="18"/>
              </w:rPr>
              <w:t>Verpakkingen worden verkeerd gestapeld (te hoog, zware op lichte). De onderste verpakking faalt door overbelasting en de stof komt vrij.</w:t>
            </w:r>
          </w:p>
        </w:tc>
        <w:tc>
          <w:tcPr>
            <w:tcW w:type="dxa" w:w="2351"/>
            <w:noWrap w:val="false"/>
          </w:tcPr>
          <w:p>
            <w:r/>
            <w:r>
              <w:rPr>
                <w:rFonts w:ascii="Calibri" w:hAnsi="Calibri"/>
                <w:sz w:val="18"/>
              </w:rPr>
              <w:t>D3</w:t>
              <w:br/>
              <w:t>Maatregelen: M10, M11, M12, M138, M139, M14, M141, M144, M145, M146, M149, M151, M152, M153, M157, M159, M162, M164, M167, M2, M20, M36, M38, M45, M47, M48, M49, M50, M51, M52, M53, M54, M55, M56, M57, M58, M60, M</w:t>
            </w:r>
          </w:p>
        </w:tc>
      </w:tr>
      <w:tr>
        <w:tc>
          <w:tcPr>
            <w:tcW w:type="dxa" w:w="2351"/>
            <w:noWrap w:val="false"/>
          </w:tcPr>
          <w:p>
            <w:r/>
            <w:r>
              <w:rPr>
                <w:rFonts w:ascii="Calibri" w:hAnsi="Calibri"/>
                <w:sz w:val="18"/>
              </w:rPr>
              <w:t>S5</w:t>
            </w:r>
          </w:p>
        </w:tc>
        <w:tc>
          <w:tcPr>
            <w:tcW w:type="dxa" w:w="2351"/>
            <w:noWrap w:val="false"/>
          </w:tcPr>
          <w:p>
            <w:r/>
            <w:r>
              <w:rPr>
                <w:rFonts w:ascii="Calibri" w:hAnsi="Calibri"/>
                <w:sz w:val="18"/>
              </w:rPr>
              <w:t>Door veroudering/degradatie van de verpakking of een onjuiste/beschadigde verpakking komen de gevaarlijke stoffen vrij</w:t>
            </w:r>
          </w:p>
        </w:tc>
        <w:tc>
          <w:tcPr>
            <w:tcW w:type="dxa" w:w="2351"/>
            <w:noWrap w:val="false"/>
          </w:tcPr>
          <w:p>
            <w:r/>
            <w:r>
              <w:rPr>
                <w:rFonts w:ascii="Calibri" w:hAnsi="Calibri"/>
                <w:sz w:val="18"/>
              </w:rPr>
              <w:t>Veroudering, UV-straling, corrosie of een reeds beschadigde verpakking leidt tot lekkage zonder externe oorzaak.</w:t>
            </w:r>
          </w:p>
        </w:tc>
        <w:tc>
          <w:tcPr>
            <w:tcW w:type="dxa" w:w="2351"/>
            <w:noWrap w:val="false"/>
          </w:tcPr>
          <w:p>
            <w:r/>
            <w:r>
              <w:rPr>
                <w:rFonts w:ascii="Calibri" w:hAnsi="Calibri"/>
                <w:sz w:val="18"/>
              </w:rPr>
              <w:t>D3</w:t>
              <w:br/>
              <w:t>Maatregelen: M10, M11, M12, M138, M139, M14, M141, M144, M145, M146, M149, M151, M152, M153, M157, M159, M162, M164, M167, M2, M20, M36, M38, M45, M47, M48, M49, M50, M51, M52, M53, M54, M55, M56, M57, M58, M60, M</w:t>
            </w:r>
          </w:p>
        </w:tc>
      </w:tr>
      <w:tr>
        <w:tc>
          <w:tcPr>
            <w:tcW w:type="dxa" w:w="2351"/>
            <w:noWrap w:val="false"/>
          </w:tcPr>
          <w:p>
            <w:r/>
            <w:r>
              <w:rPr>
                <w:rFonts w:ascii="Calibri" w:hAnsi="Calibri"/>
                <w:sz w:val="18"/>
              </w:rPr>
              <w:t>S6</w:t>
            </w:r>
          </w:p>
        </w:tc>
        <w:tc>
          <w:tcPr>
            <w:tcW w:type="dxa" w:w="2351"/>
            <w:noWrap w:val="false"/>
          </w:tcPr>
          <w:p>
            <w:r/>
            <w:r>
              <w:rPr>
                <w:rFonts w:ascii="Calibri" w:hAnsi="Calibri"/>
                <w:sz w:val="18"/>
              </w:rPr>
              <w:t>Door over- of onderdruk faalt een verpakking en komen de gevaarlijke stoffen vrij</w:t>
            </w:r>
          </w:p>
        </w:tc>
        <w:tc>
          <w:tcPr>
            <w:tcW w:type="dxa" w:w="2351"/>
            <w:noWrap w:val="false"/>
          </w:tcPr>
          <w:p>
            <w:r/>
            <w:r>
              <w:rPr>
                <w:rFonts w:ascii="Calibri" w:hAnsi="Calibri"/>
                <w:sz w:val="18"/>
              </w:rPr>
              <w:t>Een verpakking die niet bestand is tegen drukverschillen (bijv. door temperatuurwisseling) faalt door over- of onderdruk.</w:t>
            </w:r>
          </w:p>
        </w:tc>
        <w:tc>
          <w:tcPr>
            <w:tcW w:type="dxa" w:w="2351"/>
            <w:noWrap w:val="false"/>
          </w:tcPr>
          <w:p>
            <w:r/>
            <w:r>
              <w:rPr>
                <w:rFonts w:ascii="Calibri" w:hAnsi="Calibri"/>
                <w:sz w:val="18"/>
              </w:rPr>
              <w:t>D3</w:t>
              <w:br/>
              <w:t>Maatregelen: M10, M11, M12, M138, M139, M14, M141, M144, M145, M146, M149, M151, M152, M153, M157, M159, M162, M164, M167, M2, M20, M36, M38, M45, M47, M48, M49, M50, M51, M52, M53, M54, M55, M56, M57, M58, M60, M</w:t>
            </w:r>
          </w:p>
        </w:tc>
      </w:tr>
      <w:tr>
        <w:tc>
          <w:tcPr>
            <w:tcW w:type="dxa" w:w="2351"/>
            <w:noWrap w:val="false"/>
          </w:tcPr>
          <w:p>
            <w:r/>
            <w:r>
              <w:rPr>
                <w:rFonts w:ascii="Calibri" w:hAnsi="Calibri"/>
                <w:sz w:val="18"/>
              </w:rPr>
              <w:t>S7</w:t>
            </w:r>
          </w:p>
        </w:tc>
        <w:tc>
          <w:tcPr>
            <w:tcW w:type="dxa" w:w="2351"/>
            <w:noWrap w:val="false"/>
          </w:tcPr>
          <w:p>
            <w:r/>
            <w:r>
              <w:rPr>
                <w:rFonts w:ascii="Calibri" w:hAnsi="Calibri"/>
                <w:sz w:val="18"/>
              </w:rPr>
              <w:t>Door fouten bij het openen van een verpakking voor monstername komen de gevaarlijke stoffen vrij</w:t>
            </w:r>
          </w:p>
        </w:tc>
        <w:tc>
          <w:tcPr>
            <w:tcW w:type="dxa" w:w="2351"/>
            <w:noWrap w:val="false"/>
          </w:tcPr>
          <w:p>
            <w:r/>
            <w:r>
              <w:rPr>
                <w:rFonts w:ascii="Calibri" w:hAnsi="Calibri"/>
                <w:sz w:val="18"/>
              </w:rPr>
              <w:t>Bij het openen van een verpakking voor monstername wordt een fout gemaakt (verkeerd gereedschap, te ruw), waardoor de stof onbedoeld vrijkomt.</w:t>
            </w:r>
          </w:p>
        </w:tc>
        <w:tc>
          <w:tcPr>
            <w:tcW w:type="dxa" w:w="2351"/>
            <w:noWrap w:val="false"/>
          </w:tcPr>
          <w:p>
            <w:r/>
            <w:r>
              <w:rPr>
                <w:rFonts w:ascii="Calibri" w:hAnsi="Calibri"/>
                <w:sz w:val="18"/>
              </w:rPr>
              <w:t>D3</w:t>
              <w:br/>
              <w:t>Maatregelen: M10, M11, M12, M138, M139, M14, M141, M144, M145, M146, M149, M151, M152, M153, M157, M159, M162, M164, M167, M2, M20, M36, M38, M45, M47, M48, M49, M50, M51, M52, M53, M54, M55, M56, M57, M58, M60, M</w:t>
            </w:r>
          </w:p>
        </w:tc>
      </w:tr>
      <w:tr>
        <w:tc>
          <w:tcPr>
            <w:tcW w:type="dxa" w:w="2351"/>
            <w:noWrap w:val="false"/>
          </w:tcPr>
          <w:p>
            <w:r/>
            <w:r>
              <w:rPr>
                <w:rFonts w:ascii="Calibri" w:hAnsi="Calibri"/>
                <w:sz w:val="18"/>
              </w:rPr>
              <w:t>S8</w:t>
            </w:r>
          </w:p>
        </w:tc>
        <w:tc>
          <w:tcPr>
            <w:tcW w:type="dxa" w:w="2351"/>
            <w:noWrap w:val="false"/>
          </w:tcPr>
          <w:p>
            <w:r/>
            <w:r>
              <w:rPr>
                <w:rFonts w:ascii="Calibri" w:hAnsi="Calibri"/>
                <w:sz w:val="18"/>
              </w:rPr>
              <w:t>Verpakte gevaarlijke stoffen raken betrokken bij een brand in de opslagvoorziening</w:t>
            </w:r>
          </w:p>
        </w:tc>
        <w:tc>
          <w:tcPr>
            <w:tcW w:type="dxa" w:w="2351"/>
            <w:noWrap w:val="false"/>
          </w:tcPr>
          <w:p>
            <w:r/>
            <w:r>
              <w:rPr>
                <w:rFonts w:ascii="Calibri" w:hAnsi="Calibri"/>
                <w:sz w:val="18"/>
              </w:rPr>
              <w:t>Een brand ontstaat in de opslagvoorziening zelf (bijv. door ontsteking van brandbare stoffen) en betrekt de opgeslagen gevaarlijke stoffen.</w:t>
            </w:r>
          </w:p>
        </w:tc>
        <w:tc>
          <w:tcPr>
            <w:tcW w:type="dxa" w:w="2351"/>
            <w:noWrap w:val="false"/>
          </w:tcPr>
          <w:p>
            <w:r/>
            <w:r>
              <w:rPr>
                <w:rFonts w:ascii="Calibri" w:hAnsi="Calibri"/>
                <w:sz w:val="18"/>
              </w:rPr>
              <w:t>D10, D11, D9</w:t>
              <w:br/>
              <w:t>Maatregelen: M10, M100, M101, M102, M103, M104, M105, M106, M107, M11, M12, M134, M14, M144, M145, M146, M147, M148, M149, M15, M151, M152, M153, M154, M155, M156, M157, M158, M159, M16, M160, M161, M162, M163, M1</w:t>
            </w:r>
          </w:p>
        </w:tc>
      </w:tr>
      <w:tr>
        <w:tc>
          <w:tcPr>
            <w:tcW w:type="dxa" w:w="2351"/>
            <w:noWrap w:val="false"/>
          </w:tcPr>
          <w:p>
            <w:r/>
            <w:r>
              <w:rPr>
                <w:rFonts w:ascii="Calibri" w:hAnsi="Calibri"/>
                <w:sz w:val="18"/>
              </w:rPr>
              <w:t>S9</w:t>
            </w:r>
          </w:p>
        </w:tc>
        <w:tc>
          <w:tcPr>
            <w:tcW w:type="dxa" w:w="2351"/>
            <w:noWrap w:val="false"/>
          </w:tcPr>
          <w:p>
            <w:r/>
            <w:r>
              <w:rPr>
                <w:rFonts w:ascii="Calibri" w:hAnsi="Calibri"/>
                <w:sz w:val="18"/>
              </w:rPr>
              <w:t>Verpakte gevaarlijke stoffen raken betrokken bij een brand van buiten de opslagvoorziening, maar binnen de begrenzing van de locatie waar de activiteit wordt verricht</w:t>
            </w:r>
          </w:p>
        </w:tc>
        <w:tc>
          <w:tcPr>
            <w:tcW w:type="dxa" w:w="2351"/>
            <w:noWrap w:val="false"/>
          </w:tcPr>
          <w:p>
            <w:r/>
            <w:r>
              <w:rPr>
                <w:rFonts w:ascii="Calibri" w:hAnsi="Calibri"/>
                <w:sz w:val="18"/>
              </w:rPr>
              <w:t>Een brand buiten de opslagvoorziening, maar binnen het terrein van de locatie, bereikt de opslag en betrekt de gevaarlijke stoffen.</w:t>
            </w:r>
          </w:p>
        </w:tc>
        <w:tc>
          <w:tcPr>
            <w:tcW w:type="dxa" w:w="2351"/>
            <w:noWrap w:val="false"/>
          </w:tcPr>
          <w:p>
            <w:r/>
            <w:r>
              <w:rPr>
                <w:rFonts w:ascii="Calibri" w:hAnsi="Calibri"/>
                <w:sz w:val="18"/>
              </w:rPr>
              <w:t>D10, D11</w:t>
              <w:br/>
              <w:t>Maatregelen: M10, M100, M101, M102, M103, M104, M105, M106, M107, M11, M12, M14, M144, M145, M146, M147, M148, M149, M15, M151, M152, M153, M154, M155, M156, M157, M158, M159, M16, M160, M161, M162, M163, M164, M1</w:t>
            </w:r>
          </w:p>
        </w:tc>
      </w:tr>
      <w:tr>
        <w:tc>
          <w:tcPr>
            <w:tcW w:type="dxa" w:w="2351"/>
            <w:noWrap w:val="false"/>
          </w:tcPr>
          <w:p>
            <w:r/>
            <w:r>
              <w:rPr>
                <w:rFonts w:ascii="Calibri" w:hAnsi="Calibri"/>
                <w:sz w:val="18"/>
              </w:rPr>
              <w:t>S10</w:t>
            </w:r>
          </w:p>
        </w:tc>
        <w:tc>
          <w:tcPr>
            <w:tcW w:type="dxa" w:w="2351"/>
            <w:noWrap w:val="false"/>
          </w:tcPr>
          <w:p>
            <w:r/>
            <w:r>
              <w:rPr>
                <w:rFonts w:ascii="Calibri" w:hAnsi="Calibri"/>
                <w:sz w:val="18"/>
              </w:rPr>
              <w:t>Verpakte gevaarlijke stoffen raken betrokken bij een brand van buiten de begrenzing van de locatie waar de activiteit wordt verricht</w:t>
            </w:r>
          </w:p>
        </w:tc>
        <w:tc>
          <w:tcPr>
            <w:tcW w:type="dxa" w:w="2351"/>
            <w:noWrap w:val="false"/>
          </w:tcPr>
          <w:p>
            <w:r/>
            <w:r>
              <w:rPr>
                <w:rFonts w:ascii="Calibri" w:hAnsi="Calibri"/>
                <w:sz w:val="18"/>
              </w:rPr>
              <w:t>Een brand van buiten de locatie (bijv. aangrenzend bedrijf, natuurbrand) bereikt de opslagvoorziening en betrekt de gevaarlijke stoffen.</w:t>
            </w:r>
          </w:p>
        </w:tc>
        <w:tc>
          <w:tcPr>
            <w:tcW w:type="dxa" w:w="2351"/>
            <w:noWrap w:val="false"/>
          </w:tcPr>
          <w:p>
            <w:r/>
            <w:r>
              <w:rPr>
                <w:rFonts w:ascii="Calibri" w:hAnsi="Calibri"/>
                <w:sz w:val="18"/>
              </w:rPr>
              <w:t>D10</w:t>
              <w:br/>
              <w:t>Maatregelen: M10, M11, M12, M14, M144, M145, M146, M147, M148, M149, M15, M151, M152, M153, M154, M155, M156, M157, M158, M159, M16, M160, M161, M162, M163, M164, M165, M166, M167, M17, M18, M2, M20, M21, M22, M23</w:t>
            </w:r>
          </w:p>
        </w:tc>
      </w:tr>
      <w:tr>
        <w:tc>
          <w:tcPr>
            <w:tcW w:type="dxa" w:w="2351"/>
            <w:noWrap w:val="false"/>
          </w:tcPr>
          <w:p>
            <w:r/>
            <w:r>
              <w:rPr>
                <w:rFonts w:ascii="Calibri" w:hAnsi="Calibri"/>
                <w:sz w:val="18"/>
              </w:rPr>
              <w:t>S11</w:t>
            </w:r>
          </w:p>
        </w:tc>
        <w:tc>
          <w:tcPr>
            <w:tcW w:type="dxa" w:w="2351"/>
            <w:noWrap w:val="false"/>
          </w:tcPr>
          <w:p>
            <w:r/>
            <w:r>
              <w:rPr>
                <w:rFonts w:ascii="Calibri" w:hAnsi="Calibri"/>
                <w:sz w:val="18"/>
              </w:rPr>
              <w:t>Vrijkomen gevaarlijke stof uit de verpakking</w:t>
            </w:r>
          </w:p>
        </w:tc>
        <w:tc>
          <w:tcPr>
            <w:tcW w:type="dxa" w:w="2351"/>
            <w:noWrap w:val="false"/>
          </w:tcPr>
          <w:p>
            <w:r/>
            <w:r>
              <w:rPr>
                <w:rFonts w:ascii="Calibri" w:hAnsi="Calibri"/>
                <w:sz w:val="18"/>
              </w:rPr>
              <w:t>De primaire gevolg: na een incident komt een gevaarlijke stof daadwerkelijk vrij uit de verpakking. Dit is het startpunt voor verdere gevolgen.</w:t>
            </w:r>
          </w:p>
        </w:tc>
        <w:tc>
          <w:tcPr>
            <w:tcW w:type="dxa" w:w="2351"/>
            <w:noWrap w:val="false"/>
          </w:tcPr>
          <w:p>
            <w:r/>
            <w:r>
              <w:rPr>
                <w:rFonts w:ascii="Calibri" w:hAnsi="Calibri"/>
                <w:sz w:val="18"/>
              </w:rPr>
              <w:t>D4, D5, D6</w:t>
              <w:br/>
              <w:t xml:space="preserve">Maatregelen: M10, M109, M11, M110, M111, M112, M113, M114, M115, M116, M117, M118, M119, M12, M120, M121, M122, M123, M124, M125, M126, M127, M128, M129, M130, M131, M132, M133, M135, M136, M137, M138, M14, M140, </w:t>
            </w:r>
          </w:p>
        </w:tc>
      </w:tr>
      <w:tr>
        <w:tc>
          <w:tcPr>
            <w:tcW w:type="dxa" w:w="2351"/>
            <w:noWrap w:val="false"/>
          </w:tcPr>
          <w:p>
            <w:r/>
            <w:r>
              <w:rPr>
                <w:rFonts w:ascii="Calibri" w:hAnsi="Calibri"/>
                <w:sz w:val="18"/>
              </w:rPr>
              <w:t>S12</w:t>
            </w:r>
          </w:p>
        </w:tc>
        <w:tc>
          <w:tcPr>
            <w:tcW w:type="dxa" w:w="2351"/>
            <w:noWrap w:val="false"/>
          </w:tcPr>
          <w:p>
            <w:r/>
            <w:r>
              <w:rPr>
                <w:rFonts w:ascii="Calibri" w:hAnsi="Calibri"/>
                <w:sz w:val="18"/>
              </w:rPr>
              <w:t>Verspreiding damp/gas of vloeistof</w:t>
            </w:r>
          </w:p>
        </w:tc>
        <w:tc>
          <w:tcPr>
            <w:tcW w:type="dxa" w:w="2351"/>
            <w:noWrap w:val="false"/>
          </w:tcPr>
          <w:p>
            <w:r/>
            <w:r>
              <w:rPr>
                <w:rFonts w:ascii="Calibri" w:hAnsi="Calibri"/>
                <w:sz w:val="18"/>
              </w:rPr>
              <w:t>De vrijgekomen stof verspreidt zich via damp/gas in de lucht of als vloeistof over de grond, buiten de directe opslaglocatie.</w:t>
            </w:r>
          </w:p>
        </w:tc>
        <w:tc>
          <w:tcPr>
            <w:tcW w:type="dxa" w:w="2351"/>
            <w:noWrap w:val="false"/>
          </w:tcPr>
          <w:p>
            <w:r/>
            <w:r>
              <w:rPr>
                <w:rFonts w:ascii="Calibri" w:hAnsi="Calibri"/>
                <w:sz w:val="18"/>
              </w:rPr>
              <w:t>D7</w:t>
              <w:br/>
              <w:t>Maatregelen: M10, M108, M11, M111, M12, M14, M144, M145, M146, M149, M151, M152, M153, M157, M159, M162, M164, M167, M2, M20, M23, M29, M30, M31, M7, M8, M89, M9, M92</w:t>
            </w:r>
          </w:p>
        </w:tc>
      </w:tr>
      <w:tr>
        <w:tc>
          <w:tcPr>
            <w:tcW w:type="dxa" w:w="2351"/>
            <w:noWrap w:val="false"/>
          </w:tcPr>
          <w:p>
            <w:r/>
            <w:r>
              <w:rPr>
                <w:rFonts w:ascii="Calibri" w:hAnsi="Calibri"/>
                <w:sz w:val="18"/>
              </w:rPr>
              <w:t>S13</w:t>
            </w:r>
          </w:p>
        </w:tc>
        <w:tc>
          <w:tcPr>
            <w:tcW w:type="dxa" w:w="2351"/>
            <w:noWrap w:val="false"/>
          </w:tcPr>
          <w:p>
            <w:r/>
            <w:r>
              <w:rPr>
                <w:rFonts w:ascii="Calibri" w:hAnsi="Calibri"/>
                <w:sz w:val="18"/>
              </w:rPr>
              <w:t>Brand in opslagvoorziening</w:t>
            </w:r>
          </w:p>
        </w:tc>
        <w:tc>
          <w:tcPr>
            <w:tcW w:type="dxa" w:w="2351"/>
            <w:noWrap w:val="false"/>
          </w:tcPr>
          <w:p>
            <w:r/>
            <w:r>
              <w:rPr>
                <w:rFonts w:ascii="Calibri" w:hAnsi="Calibri"/>
                <w:sz w:val="18"/>
              </w:rPr>
              <w:t>De vrijgekomen stoffen of omgevingsbrand leidt tot een brand in de opslagvoorziening met alle gevolgen van dien.</w:t>
            </w:r>
          </w:p>
        </w:tc>
        <w:tc>
          <w:tcPr>
            <w:tcW w:type="dxa" w:w="2351"/>
            <w:noWrap w:val="false"/>
          </w:tcPr>
          <w:p>
            <w:r/>
            <w:r>
              <w:rPr>
                <w:rFonts w:ascii="Calibri" w:hAnsi="Calibri"/>
                <w:sz w:val="18"/>
              </w:rPr>
              <w:t>D6, D8</w:t>
              <w:br/>
              <w:t xml:space="preserve">Maatregelen: M10, M108, M109, M11, M110, M111, M112, M113, M114, M116, M117, M118, M12, M121, M125, M126, M129, M134, M135, M136, M137, M138, M14, M140, M142, M144, M145, M146, M149, M151, M152, M153, M157, M159, </w:t>
            </w:r>
          </w:p>
        </w:tc>
      </w:tr>
      <w:tr>
        <w:tc>
          <w:tcPr>
            <w:tcW w:type="dxa" w:w="2351"/>
            <w:noWrap w:val="false"/>
          </w:tcPr>
          <w:p>
            <w:r/>
            <w:r>
              <w:rPr>
                <w:rFonts w:ascii="Calibri" w:hAnsi="Calibri"/>
                <w:sz w:val="18"/>
              </w:rPr>
              <w:t>S14</w:t>
            </w:r>
          </w:p>
        </w:tc>
        <w:tc>
          <w:tcPr>
            <w:tcW w:type="dxa" w:w="2351"/>
            <w:noWrap w:val="false"/>
          </w:tcPr>
          <w:p>
            <w:r/>
            <w:r>
              <w:rPr>
                <w:rFonts w:ascii="Calibri" w:hAnsi="Calibri"/>
                <w:sz w:val="18"/>
              </w:rPr>
              <w:t>Escalatie van een brand binnen de begrenzing van de locatie waar de activiteit wordt verricht</w:t>
            </w:r>
          </w:p>
        </w:tc>
        <w:tc>
          <w:tcPr>
            <w:tcW w:type="dxa" w:w="2351"/>
            <w:noWrap w:val="false"/>
          </w:tcPr>
          <w:p>
            <w:r/>
            <w:r>
              <w:rPr>
                <w:rFonts w:ascii="Calibri" w:hAnsi="Calibri"/>
                <w:sz w:val="18"/>
              </w:rPr>
              <w:t>De brand in de opslag escaleert naar andere gebouwen, opslageenheden of activiteiten binnen de locatiebegrenzing.</w:t>
            </w:r>
          </w:p>
        </w:tc>
        <w:tc>
          <w:tcPr>
            <w:tcW w:type="dxa" w:w="2351"/>
            <w:noWrap w:val="false"/>
          </w:tcPr>
          <w:p>
            <w:r/>
            <w:r>
              <w:rPr>
                <w:rFonts w:ascii="Calibri" w:hAnsi="Calibri"/>
                <w:sz w:val="18"/>
              </w:rPr>
              <w:t>D10, D11, D6</w:t>
              <w:br/>
              <w:t xml:space="preserve">Maatregelen: M10, M100, M101, M102, M103, M104, M105, M106, M107, M109, M11, M110, M113, M114, M116, M117, M118, M12, M121, M125, M126, M129, M135, M136, M137, M138, M14, M140, M142, M144, M145, M146, M147, M148, </w:t>
            </w:r>
          </w:p>
        </w:tc>
      </w:tr>
      <w:tr>
        <w:tc>
          <w:tcPr>
            <w:tcW w:type="dxa" w:w="2351"/>
            <w:noWrap w:val="false"/>
          </w:tcPr>
          <w:p>
            <w:r/>
            <w:r>
              <w:rPr>
                <w:rFonts w:ascii="Calibri" w:hAnsi="Calibri"/>
                <w:sz w:val="18"/>
              </w:rPr>
              <w:t>S15</w:t>
            </w:r>
          </w:p>
        </w:tc>
        <w:tc>
          <w:tcPr>
            <w:tcW w:type="dxa" w:w="2351"/>
            <w:noWrap w:val="false"/>
          </w:tcPr>
          <w:p>
            <w:r/>
            <w:r>
              <w:rPr>
                <w:rFonts w:ascii="Calibri" w:hAnsi="Calibri"/>
                <w:sz w:val="18"/>
              </w:rPr>
              <w:t>Escalatie van een brand naar de omgeving</w:t>
            </w:r>
          </w:p>
        </w:tc>
        <w:tc>
          <w:tcPr>
            <w:tcW w:type="dxa" w:w="2351"/>
            <w:noWrap w:val="false"/>
          </w:tcPr>
          <w:p>
            <w:r/>
            <w:r>
              <w:rPr>
                <w:rFonts w:ascii="Calibri" w:hAnsi="Calibri"/>
                <w:sz w:val="18"/>
              </w:rPr>
              <w:t>De brand escaleert naar de omgeving buiten de locatiebegrenzing, met mogelijke gevolgen voor omwonenden en derden.</w:t>
            </w:r>
          </w:p>
        </w:tc>
        <w:tc>
          <w:tcPr>
            <w:tcW w:type="dxa" w:w="2351"/>
            <w:noWrap w:val="false"/>
          </w:tcPr>
          <w:p>
            <w:r/>
            <w:r>
              <w:rPr>
                <w:rFonts w:ascii="Calibri" w:hAnsi="Calibri"/>
                <w:sz w:val="18"/>
              </w:rPr>
              <w:t>D12, D6</w:t>
              <w:br/>
              <w:t xml:space="preserve">Maatregelen: M10, M100, M101, M102, M109, M11, M110, M113, M114, M116, M117, M118, M12, M121, M125, M126, M129, M135, M136, M137, M138, M14, M140, M142, M144, M145, M146, M149, M151, M152, M153, M157, M159, M162, </w:t>
            </w:r>
          </w:p>
        </w:tc>
      </w:tr>
      <w:tr>
        <w:tc>
          <w:tcPr>
            <w:tcW w:type="dxa" w:w="2351"/>
            <w:noWrap w:val="false"/>
          </w:tcPr>
          <w:p>
            <w:r/>
            <w:r>
              <w:rPr>
                <w:rFonts w:ascii="Calibri" w:hAnsi="Calibri"/>
                <w:sz w:val="18"/>
              </w:rPr>
              <w:t>S16</w:t>
            </w:r>
          </w:p>
        </w:tc>
        <w:tc>
          <w:tcPr>
            <w:tcW w:type="dxa" w:w="2351"/>
            <w:noWrap w:val="false"/>
          </w:tcPr>
          <w:p>
            <w:r/>
            <w:r>
              <w:rPr>
                <w:rFonts w:ascii="Calibri" w:hAnsi="Calibri"/>
                <w:sz w:val="18"/>
              </w:rPr>
              <w:t>Overige stofspecifieke scenario's</w:t>
            </w:r>
          </w:p>
        </w:tc>
        <w:tc>
          <w:tcPr>
            <w:tcW w:type="dxa" w:w="2351"/>
            <w:noWrap w:val="false"/>
          </w:tcPr>
          <w:p>
            <w:r/>
            <w:r>
              <w:rPr>
                <w:rFonts w:ascii="Calibri" w:hAnsi="Calibri"/>
                <w:sz w:val="18"/>
              </w:rPr>
              <w:t>Stofspecifieke scenario's die niet onder S1-S15 vallen, zoals zelfontleding, polymerisatie, of specifieke reacties van de opgeslagen stof.</w:t>
            </w:r>
          </w:p>
        </w:tc>
        <w:tc>
          <w:tcPr>
            <w:tcW w:type="dxa" w:w="2351"/>
            <w:noWrap w:val="false"/>
          </w:tcPr>
          <w:p>
            <w:r/>
            <w:r>
              <w:rPr>
                <w:rFonts w:ascii="Calibri" w:hAnsi="Calibri"/>
                <w:sz w:val="18"/>
              </w:rPr>
              <w:t>D13</w:t>
              <w:br/>
              <w:t>Maatregelen: M10, M11, M12, M13, M14, M143, M144, M145, M146, M149, M151, M152, M153, M157, M159, M162, M164, M167, M19, M2, M20, M30, M35, M38, M43, M44, M49, M7, M8, M9</w:t>
            </w:r>
          </w:p>
        </w:tc>
      </w:tr>
    </w:tbl>
    <w:p>
      <w:r>
        <w:br w:type="page"/>
      </w:r>
    </w:p>
    <w:p>
      <w:pPr>
        <w:pStyle w:val="Heading1"/>
      </w:pPr>
      <w:r>
        <w:t>Bijlage B — Doelstellingen</w:t>
      </w:r>
    </w:p>
    <w:p>
      <w:pPr>
        <w:spacing w:after="120"/>
      </w:pPr>
      <w:r>
        <w:rPr>
          <w:rFonts w:ascii="Calibri" w:hAnsi="Calibri"/>
          <w:b w:val="0"/>
          <w:i w:val="0"/>
          <w:color w:val="374151"/>
          <w:sz w:val="20"/>
        </w:rPr>
        <w:t>Overzicht van alle doelstellingen (D1-D13) met bijbehorende maatregelen per categorie.</w:t>
      </w:r>
    </w:p>
    <w:p/>
    <w:p>
      <w:pPr>
        <w:pStyle w:val="Heading2"/>
      </w:pPr>
      <w:r>
        <w:t>D1 — Voorkomen dat een aanrijding plaatsvindt</w:t>
      </w:r>
    </w:p>
    <w:p>
      <w:pPr>
        <w:spacing w:after="120"/>
      </w:pPr>
      <w:r>
        <w:rPr>
          <w:rFonts w:ascii="Calibri" w:hAnsi="Calibri"/>
          <w:b w:val="0"/>
          <w:i w:val="0"/>
          <w:color w:val="374151"/>
          <w:sz w:val="20"/>
        </w:rPr>
        <w:t>Dit doel is gericht op het voorkomen van aanrijdingen waardoor een verpakking of stelling beschadigd raakt of kan falen.</w:t>
      </w:r>
    </w:p>
    <w:p>
      <w:pPr>
        <w:spacing w:after="120"/>
      </w:pPr>
      <w:r>
        <w:rPr>
          <w:rFonts w:ascii="Calibri" w:hAnsi="Calibri"/>
          <w:b w:val="0"/>
          <w:i/>
          <w:sz w:val="20"/>
        </w:rPr>
        <w:t>Relevante scenario's: S1, S3</w:t>
      </w:r>
    </w:p>
    <w:p>
      <w:pPr>
        <w:spacing w:after="120"/>
      </w:pPr>
      <w:r>
        <w:rPr>
          <w:rFonts w:ascii="Calibri" w:hAnsi="Calibri"/>
          <w:b w:val="0"/>
          <w:i w:val="0"/>
          <w:sz w:val="18"/>
        </w:rPr>
        <w:t>Basismaatregelen: M14, M2, M20, M46, M76, M87</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 M74</w:t>
      </w:r>
    </w:p>
    <w:p>
      <w:pPr>
        <w:spacing w:after="120"/>
      </w:pPr>
      <w:r>
        <w:rPr>
          <w:rFonts w:ascii="Calibri" w:hAnsi="Calibri"/>
          <w:b w:val="0"/>
          <w:i w:val="0"/>
          <w:sz w:val="18"/>
        </w:rPr>
        <w:t>Tijdelijke opslag: M144, M145, M146, M149, M151, M152, M153, M157, M159, M162, M164, M167, M87</w:t>
      </w:r>
    </w:p>
    <w:p>
      <w:pPr>
        <w:spacing w:after="120"/>
      </w:pPr>
      <w:r>
        <w:rPr>
          <w:rFonts w:ascii="Calibri" w:hAnsi="Calibri"/>
          <w:b w:val="0"/>
          <w:i w:val="0"/>
          <w:sz w:val="18"/>
        </w:rPr>
        <w:t>ADR kl. 2 gasflessen: M10, M7, M8, M9</w:t>
      </w:r>
    </w:p>
    <w:p/>
    <w:p>
      <w:pPr>
        <w:pStyle w:val="Heading2"/>
      </w:pPr>
      <w:r>
        <w:t>D2 — Zeker stellen dat opslaglocaties voorzien zijn van een fysieke bescherming</w:t>
      </w:r>
    </w:p>
    <w:p>
      <w:pPr>
        <w:spacing w:after="120"/>
      </w:pPr>
      <w:r>
        <w:rPr>
          <w:rFonts w:ascii="Calibri" w:hAnsi="Calibri"/>
          <w:b w:val="0"/>
          <w:i w:val="0"/>
          <w:color w:val="374151"/>
          <w:sz w:val="20"/>
        </w:rPr>
        <w:t>Beschermen van opslaglocaties tegen fysieke impact ter voorkoming van beschadiging en mogelijk falen.</w:t>
      </w:r>
    </w:p>
    <w:p>
      <w:pPr>
        <w:spacing w:after="120"/>
      </w:pPr>
      <w:r>
        <w:rPr>
          <w:rFonts w:ascii="Calibri" w:hAnsi="Calibri"/>
          <w:b w:val="0"/>
          <w:i/>
          <w:sz w:val="20"/>
        </w:rPr>
        <w:t>Relevante scenario's: S1, S3</w:t>
      </w:r>
    </w:p>
    <w:p>
      <w:pPr>
        <w:spacing w:after="120"/>
      </w:pPr>
      <w:r>
        <w:rPr>
          <w:rFonts w:ascii="Calibri" w:hAnsi="Calibri"/>
          <w:b w:val="0"/>
          <w:i w:val="0"/>
          <w:sz w:val="18"/>
        </w:rPr>
        <w:t>Basismaatregelen: M14, M2, M20, M77, M78</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 M80</w:t>
      </w:r>
    </w:p>
    <w:p>
      <w:pPr>
        <w:spacing w:after="120"/>
      </w:pPr>
      <w:r>
        <w:rPr>
          <w:rFonts w:ascii="Calibri" w:hAnsi="Calibri"/>
          <w:b w:val="0"/>
          <w:i w:val="0"/>
          <w:sz w:val="18"/>
        </w:rPr>
        <w:t>Tijdelijke opslag: M144, M145, M146, M149, M151, M152, M153, M157, M159, M162, M164, M167, M77, M78</w:t>
      </w:r>
    </w:p>
    <w:p>
      <w:pPr>
        <w:spacing w:after="120"/>
      </w:pPr>
      <w:r>
        <w:rPr>
          <w:rFonts w:ascii="Calibri" w:hAnsi="Calibri"/>
          <w:b w:val="0"/>
          <w:i w:val="0"/>
          <w:sz w:val="18"/>
        </w:rPr>
        <w:t>ADR kl. 2 gasflessen: M10, M7, M79, M8, M9</w:t>
      </w:r>
    </w:p>
    <w:p/>
    <w:p>
      <w:pPr>
        <w:pStyle w:val="Heading2"/>
      </w:pPr>
      <w:r>
        <w:t>D3 — Zeker stellen dat verpakte gevaarlijke stoffen op een juiste wijze in de juiste opslagvoorziening worden opgeslagen</w:t>
      </w:r>
    </w:p>
    <w:p>
      <w:pPr>
        <w:spacing w:after="120"/>
      </w:pPr>
      <w:r>
        <w:rPr>
          <w:rFonts w:ascii="Calibri" w:hAnsi="Calibri"/>
          <w:b w:val="0"/>
          <w:i w:val="0"/>
          <w:color w:val="374151"/>
          <w:sz w:val="20"/>
        </w:rPr>
        <w:t>Zeker stellen dat de verpakte gevaarlijke stoffen op een juiste wijze behandeld worden en op de juiste locatie worden opgeslagen.</w:t>
      </w:r>
    </w:p>
    <w:p>
      <w:pPr>
        <w:spacing w:after="120"/>
      </w:pPr>
      <w:r>
        <w:rPr>
          <w:rFonts w:ascii="Calibri" w:hAnsi="Calibri"/>
          <w:b w:val="0"/>
          <w:i/>
          <w:sz w:val="20"/>
        </w:rPr>
        <w:t>Relevante scenario's: S2, S3, S4, S5, S6, S7</w:t>
      </w:r>
    </w:p>
    <w:p>
      <w:pPr>
        <w:spacing w:after="120"/>
      </w:pPr>
      <w:r>
        <w:rPr>
          <w:rFonts w:ascii="Calibri" w:hAnsi="Calibri"/>
          <w:b w:val="0"/>
          <w:i w:val="0"/>
          <w:sz w:val="18"/>
        </w:rPr>
        <w:t>Basismaatregelen: M14, M2, M20, M36, M45, M48, M52, M53, M58, M75, M81, M82, M85, M87</w:t>
      </w:r>
    </w:p>
    <w:p>
      <w:pPr>
        <w:spacing w:after="120"/>
      </w:pPr>
      <w:r>
        <w:rPr>
          <w:rFonts w:ascii="Calibri" w:hAnsi="Calibri"/>
          <w:b w:val="0"/>
          <w:i w:val="0"/>
          <w:sz w:val="18"/>
        </w:rPr>
        <w:t>Binnenopslag: M57, M7, M8</w:t>
      </w:r>
    </w:p>
    <w:p>
      <w:pPr>
        <w:spacing w:after="120"/>
      </w:pPr>
      <w:r>
        <w:rPr>
          <w:rFonts w:ascii="Calibri" w:hAnsi="Calibri"/>
          <w:b w:val="0"/>
          <w:i w:val="0"/>
          <w:sz w:val="18"/>
        </w:rPr>
        <w:t>Buitenopslag: M50</w:t>
      </w:r>
    </w:p>
    <w:p>
      <w:pPr>
        <w:spacing w:after="120"/>
      </w:pPr>
      <w:r>
        <w:rPr>
          <w:rFonts w:ascii="Calibri" w:hAnsi="Calibri"/>
          <w:b w:val="0"/>
          <w:i w:val="0"/>
          <w:sz w:val="18"/>
        </w:rPr>
        <w:t>(Tank)container: M11, M12, M47, M51, M61, M63, M74</w:t>
      </w:r>
    </w:p>
    <w:p>
      <w:pPr>
        <w:spacing w:after="120"/>
      </w:pPr>
      <w:r>
        <w:rPr>
          <w:rFonts w:ascii="Calibri" w:hAnsi="Calibri"/>
          <w:b w:val="0"/>
          <w:i w:val="0"/>
          <w:sz w:val="18"/>
        </w:rPr>
        <w:t>Tijdelijke opslag: M144, M145, M146, M149, M151, M152, M153, M157, M159, M162, M164, M167, M50, M52, M53, M58, M75, M81, M82, M85, M87</w:t>
      </w:r>
    </w:p>
    <w:p>
      <w:pPr>
        <w:spacing w:after="120"/>
      </w:pPr>
      <w:r>
        <w:rPr>
          <w:rFonts w:ascii="Calibri" w:hAnsi="Calibri"/>
          <w:b w:val="0"/>
          <w:i w:val="0"/>
          <w:sz w:val="18"/>
        </w:rPr>
        <w:t>ADR kl. 2 gasflessen: M10, M138, M139, M141, M54, M56, M60, M7, M8, M83, M9</w:t>
      </w:r>
    </w:p>
    <w:p>
      <w:pPr>
        <w:spacing w:after="120"/>
      </w:pPr>
      <w:r>
        <w:rPr>
          <w:rFonts w:ascii="Calibri" w:hAnsi="Calibri"/>
          <w:b w:val="0"/>
          <w:i w:val="0"/>
          <w:sz w:val="18"/>
        </w:rPr>
        <w:t>ADR kl. 2 spuitbussen/gaspatronen: M38, M55, M57, M69</w:t>
      </w:r>
    </w:p>
    <w:p>
      <w:pPr>
        <w:spacing w:after="120"/>
      </w:pPr>
      <w:r>
        <w:rPr>
          <w:rFonts w:ascii="Calibri" w:hAnsi="Calibri"/>
          <w:b w:val="0"/>
          <w:i w:val="0"/>
          <w:sz w:val="18"/>
        </w:rPr>
        <w:t>ADR kl. 6.1 VG I/II: M49</w:t>
      </w:r>
    </w:p>
    <w:p>
      <w:pPr>
        <w:spacing w:after="120"/>
      </w:pPr>
      <w:r>
        <w:rPr>
          <w:rFonts w:ascii="Calibri" w:hAnsi="Calibri"/>
          <w:b w:val="0"/>
          <w:i w:val="0"/>
          <w:sz w:val="18"/>
        </w:rPr>
        <w:t>ADR_3: M49</w:t>
      </w:r>
    </w:p>
    <w:p>
      <w:pPr>
        <w:spacing w:after="120"/>
      </w:pPr>
      <w:r>
        <w:rPr>
          <w:rFonts w:ascii="Calibri" w:hAnsi="Calibri"/>
          <w:b w:val="0"/>
          <w:i w:val="0"/>
          <w:sz w:val="18"/>
        </w:rPr>
        <w:t>ADR_4_1: M49</w:t>
      </w:r>
    </w:p>
    <w:p>
      <w:pPr>
        <w:spacing w:after="120"/>
      </w:pPr>
      <w:r>
        <w:rPr>
          <w:rFonts w:ascii="Calibri" w:hAnsi="Calibri"/>
          <w:b w:val="0"/>
          <w:i w:val="0"/>
          <w:sz w:val="18"/>
        </w:rPr>
        <w:t>ADR_4_2: M49</w:t>
      </w:r>
    </w:p>
    <w:p>
      <w:pPr>
        <w:spacing w:after="120"/>
      </w:pPr>
      <w:r>
        <w:rPr>
          <w:rFonts w:ascii="Calibri" w:hAnsi="Calibri"/>
          <w:b w:val="0"/>
          <w:i w:val="0"/>
          <w:sz w:val="18"/>
        </w:rPr>
        <w:t>ADR_4_3: M49</w:t>
      </w:r>
    </w:p>
    <w:p>
      <w:pPr>
        <w:spacing w:after="120"/>
      </w:pPr>
      <w:r>
        <w:rPr>
          <w:rFonts w:ascii="Calibri" w:hAnsi="Calibri"/>
          <w:b w:val="0"/>
          <w:i w:val="0"/>
          <w:sz w:val="18"/>
        </w:rPr>
        <w:t>ADR_5_1: M49</w:t>
      </w:r>
    </w:p>
    <w:p>
      <w:pPr>
        <w:spacing w:after="120"/>
      </w:pPr>
      <w:r>
        <w:rPr>
          <w:rFonts w:ascii="Calibri" w:hAnsi="Calibri"/>
          <w:b w:val="0"/>
          <w:i w:val="0"/>
          <w:sz w:val="18"/>
        </w:rPr>
        <w:t>Acuut toxisch: M49</w:t>
      </w:r>
    </w:p>
    <w:p/>
    <w:p>
      <w:pPr>
        <w:pStyle w:val="Heading2"/>
      </w:pPr>
      <w:r>
        <w:t>D4 — Voorkomen dat na lekkage een gevaarlijke situatie ontstaat</w:t>
      </w:r>
    </w:p>
    <w:p>
      <w:pPr>
        <w:spacing w:after="120"/>
      </w:pPr>
      <w:r>
        <w:rPr>
          <w:rFonts w:ascii="Calibri" w:hAnsi="Calibri"/>
          <w:b w:val="0"/>
          <w:i w:val="0"/>
          <w:color w:val="374151"/>
          <w:sz w:val="20"/>
        </w:rPr>
        <w:t>Na een lekkage de situatie niet laten verslechteren: opvangen, opruimen, ongewenste reacties voorkomen.</w:t>
      </w:r>
    </w:p>
    <w:p>
      <w:pPr>
        <w:spacing w:after="120"/>
      </w:pPr>
      <w:r>
        <w:rPr>
          <w:rFonts w:ascii="Calibri" w:hAnsi="Calibri"/>
          <w:b w:val="0"/>
          <w:i/>
          <w:sz w:val="20"/>
        </w:rPr>
        <w:t>Relevante scenario's: S11</w:t>
      </w:r>
    </w:p>
    <w:p>
      <w:pPr>
        <w:spacing w:after="120"/>
      </w:pPr>
      <w:r>
        <w:rPr>
          <w:rFonts w:ascii="Calibri" w:hAnsi="Calibri"/>
          <w:b w:val="0"/>
          <w:i w:val="0"/>
          <w:sz w:val="18"/>
        </w:rPr>
        <w:t>Basismaatregelen: M111, M119, M120, M14, M2, M20, M30, M35, M36</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 M123, M39</w:t>
      </w:r>
    </w:p>
    <w:p>
      <w:pPr>
        <w:spacing w:after="120"/>
      </w:pPr>
      <w:r>
        <w:rPr>
          <w:rFonts w:ascii="Calibri" w:hAnsi="Calibri"/>
          <w:b w:val="0"/>
          <w:i w:val="0"/>
          <w:sz w:val="18"/>
        </w:rPr>
        <w:t>Tijdelijke opslag: M119, M120, M144, M145, M146, M149, M150, M151, M152, M153, M157, M159, M162, M164, M167</w:t>
      </w:r>
    </w:p>
    <w:p>
      <w:pPr>
        <w:spacing w:after="120"/>
      </w:pPr>
      <w:r>
        <w:rPr>
          <w:rFonts w:ascii="Calibri" w:hAnsi="Calibri"/>
          <w:b w:val="0"/>
          <w:i w:val="0"/>
          <w:sz w:val="18"/>
        </w:rPr>
        <w:t>ADR kl. 2 gasflessen: M10, M112, M124, M7, M8, M9</w:t>
      </w:r>
    </w:p>
    <w:p>
      <w:pPr>
        <w:spacing w:after="120"/>
      </w:pPr>
      <w:r>
        <w:rPr>
          <w:rFonts w:ascii="Calibri" w:hAnsi="Calibri"/>
          <w:b w:val="0"/>
          <w:i w:val="0"/>
          <w:sz w:val="18"/>
        </w:rPr>
        <w:t>ADR kl. 3 VG I/II: M59</w:t>
      </w:r>
    </w:p>
    <w:p>
      <w:pPr>
        <w:spacing w:after="120"/>
      </w:pPr>
      <w:r>
        <w:rPr>
          <w:rFonts w:ascii="Calibri" w:hAnsi="Calibri"/>
          <w:b w:val="0"/>
          <w:i w:val="0"/>
          <w:sz w:val="18"/>
        </w:rPr>
        <w:t>ADR_3: M59</w:t>
      </w:r>
    </w:p>
    <w:p>
      <w:pPr>
        <w:spacing w:after="120"/>
      </w:pPr>
      <w:r>
        <w:rPr>
          <w:rFonts w:ascii="Calibri" w:hAnsi="Calibri"/>
          <w:b w:val="0"/>
          <w:i w:val="0"/>
          <w:sz w:val="18"/>
        </w:rPr>
        <w:t>ADR_4_1: M59</w:t>
      </w:r>
    </w:p>
    <w:p>
      <w:pPr>
        <w:spacing w:after="120"/>
      </w:pPr>
      <w:r>
        <w:rPr>
          <w:rFonts w:ascii="Calibri" w:hAnsi="Calibri"/>
          <w:b w:val="0"/>
          <w:i w:val="0"/>
          <w:sz w:val="18"/>
        </w:rPr>
        <w:t>ADR_4_2: M59</w:t>
      </w:r>
    </w:p>
    <w:p>
      <w:pPr>
        <w:spacing w:after="120"/>
      </w:pPr>
      <w:r>
        <w:rPr>
          <w:rFonts w:ascii="Calibri" w:hAnsi="Calibri"/>
          <w:b w:val="0"/>
          <w:i w:val="0"/>
          <w:sz w:val="18"/>
        </w:rPr>
        <w:t>ADR_4_3: M59</w:t>
      </w:r>
    </w:p>
    <w:p>
      <w:pPr>
        <w:spacing w:after="120"/>
      </w:pPr>
      <w:r>
        <w:rPr>
          <w:rFonts w:ascii="Calibri" w:hAnsi="Calibri"/>
          <w:b w:val="0"/>
          <w:i w:val="0"/>
          <w:sz w:val="18"/>
        </w:rPr>
        <w:t>ADR_5_1: M59</w:t>
      </w:r>
    </w:p>
    <w:p>
      <w:pPr>
        <w:spacing w:after="120"/>
      </w:pPr>
      <w:r>
        <w:rPr>
          <w:rFonts w:ascii="Calibri" w:hAnsi="Calibri"/>
          <w:b w:val="0"/>
          <w:i w:val="0"/>
          <w:sz w:val="18"/>
        </w:rPr>
        <w:t>ADR_6_1: M59</w:t>
      </w:r>
    </w:p>
    <w:p>
      <w:pPr>
        <w:spacing w:after="120"/>
      </w:pPr>
      <w:r>
        <w:rPr>
          <w:rFonts w:ascii="Calibri" w:hAnsi="Calibri"/>
          <w:b w:val="0"/>
          <w:i w:val="0"/>
          <w:sz w:val="18"/>
        </w:rPr>
        <w:t>ADR_8: M30, M35</w:t>
      </w:r>
    </w:p>
    <w:p>
      <w:pPr>
        <w:spacing w:after="120"/>
      </w:pPr>
      <w:r>
        <w:rPr>
          <w:rFonts w:ascii="Calibri" w:hAnsi="Calibri"/>
          <w:b w:val="0"/>
          <w:i w:val="0"/>
          <w:sz w:val="18"/>
        </w:rPr>
        <w:t>Acuut toxisch: M59</w:t>
      </w:r>
    </w:p>
    <w:p/>
    <w:p>
      <w:pPr>
        <w:pStyle w:val="Heading2"/>
      </w:pPr>
      <w:r>
        <w:t>D5 — Zeker stellen dat adequaat wordt gereageerd bij noodsituaties ter voorkoming van effecten op medewerkers</w:t>
      </w:r>
    </w:p>
    <w:p>
      <w:pPr>
        <w:spacing w:after="120"/>
      </w:pPr>
      <w:r>
        <w:rPr>
          <w:rFonts w:ascii="Calibri" w:hAnsi="Calibri"/>
          <w:b w:val="0"/>
          <w:i w:val="0"/>
          <w:color w:val="374151"/>
          <w:sz w:val="20"/>
        </w:rPr>
        <w:t>Noodorganisatie, competentie en informatie medewerkers, bereikbaarheid en vluchtwegen.</w:t>
      </w:r>
    </w:p>
    <w:p>
      <w:pPr>
        <w:spacing w:after="120"/>
      </w:pPr>
      <w:r>
        <w:rPr>
          <w:rFonts w:ascii="Calibri" w:hAnsi="Calibri"/>
          <w:b w:val="0"/>
          <w:i/>
          <w:sz w:val="20"/>
        </w:rPr>
        <w:t>Relevante scenario's: S11</w:t>
      </w:r>
    </w:p>
    <w:p>
      <w:pPr>
        <w:spacing w:after="120"/>
      </w:pPr>
      <w:r>
        <w:rPr>
          <w:rFonts w:ascii="Calibri" w:hAnsi="Calibri"/>
          <w:b w:val="0"/>
          <w:i w:val="0"/>
          <w:sz w:val="18"/>
        </w:rPr>
        <w:t>Basismaatregelen: M113, M114, M115, M120, M121, M130, M131, M132, M133, M135, M136, M137, M14, M2, M20, M85, M86, M88, M89</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 M122, M123, M125, M126, M127, M128, M129, M142, M61, M62, M64</w:t>
      </w:r>
    </w:p>
    <w:p>
      <w:pPr>
        <w:spacing w:after="120"/>
      </w:pPr>
      <w:r>
        <w:rPr>
          <w:rFonts w:ascii="Calibri" w:hAnsi="Calibri"/>
          <w:b w:val="0"/>
          <w:i w:val="0"/>
          <w:sz w:val="18"/>
        </w:rPr>
        <w:t>Tijdelijke opslag: M115, M120, M121, M131, M132, M133, M135, M136, M144, M145, M146, M149, M151, M152, M153, M157, M159, M162, M164, M167, M85, M88</w:t>
      </w:r>
    </w:p>
    <w:p>
      <w:pPr>
        <w:spacing w:after="120"/>
      </w:pPr>
      <w:r>
        <w:rPr>
          <w:rFonts w:ascii="Calibri" w:hAnsi="Calibri"/>
          <w:b w:val="0"/>
          <w:i w:val="0"/>
          <w:sz w:val="18"/>
        </w:rPr>
        <w:t>ADR kl. 2 gasflessen: M10, M138, M140, M37, M7, M8, M9</w:t>
      </w:r>
    </w:p>
    <w:p>
      <w:pPr>
        <w:spacing w:after="120"/>
      </w:pPr>
      <w:r>
        <w:rPr>
          <w:rFonts w:ascii="Calibri" w:hAnsi="Calibri"/>
          <w:b w:val="0"/>
          <w:i w:val="0"/>
          <w:sz w:val="18"/>
        </w:rPr>
        <w:t>ADR_6_1: M115, M121, M85</w:t>
      </w:r>
    </w:p>
    <w:p>
      <w:pPr>
        <w:spacing w:after="120"/>
      </w:pPr>
      <w:r>
        <w:rPr>
          <w:rFonts w:ascii="Calibri" w:hAnsi="Calibri"/>
          <w:b w:val="0"/>
          <w:i w:val="0"/>
          <w:sz w:val="18"/>
        </w:rPr>
        <w:t>ADR_8: M115, M120, M121</w:t>
      </w:r>
    </w:p>
    <w:p/>
    <w:p>
      <w:pPr>
        <w:pStyle w:val="Heading2"/>
      </w:pPr>
      <w:r>
        <w:t>D6 — Zeker stellen dat hulpdiensten adequaat kunnen optreden</w:t>
      </w:r>
    </w:p>
    <w:p>
      <w:pPr>
        <w:spacing w:after="120"/>
      </w:pPr>
      <w:r>
        <w:rPr>
          <w:rFonts w:ascii="Calibri" w:hAnsi="Calibri"/>
          <w:b w:val="0"/>
          <w:i w:val="0"/>
          <w:color w:val="374151"/>
          <w:sz w:val="20"/>
        </w:rPr>
        <w:t>Informatie, bereikbaarheid en aanwezigheid voldoende bluswater voor hulpdiensten.</w:t>
      </w:r>
    </w:p>
    <w:p>
      <w:pPr>
        <w:spacing w:after="120"/>
      </w:pPr>
      <w:r>
        <w:rPr>
          <w:rFonts w:ascii="Calibri" w:hAnsi="Calibri"/>
          <w:b w:val="0"/>
          <w:i/>
          <w:sz w:val="20"/>
        </w:rPr>
        <w:t>Relevante scenario's: S11, S13, S14, S15</w:t>
      </w:r>
    </w:p>
    <w:p>
      <w:pPr>
        <w:spacing w:after="120"/>
      </w:pPr>
      <w:r>
        <w:rPr>
          <w:rFonts w:ascii="Calibri" w:hAnsi="Calibri"/>
          <w:b w:val="0"/>
          <w:i w:val="0"/>
          <w:sz w:val="18"/>
        </w:rPr>
        <w:t>Basismaatregelen: M109, M113, M114, M116, M117, M118, M121, M135, M136, M137, M14, M2, M20, M89</w:t>
      </w:r>
    </w:p>
    <w:p>
      <w:pPr>
        <w:spacing w:after="120"/>
      </w:pPr>
      <w:r>
        <w:rPr>
          <w:rFonts w:ascii="Calibri" w:hAnsi="Calibri"/>
          <w:b w:val="0"/>
          <w:i w:val="0"/>
          <w:sz w:val="18"/>
        </w:rPr>
        <w:t>Niveau A: M40, M41</w:t>
      </w:r>
    </w:p>
    <w:p>
      <w:pPr>
        <w:spacing w:after="120"/>
      </w:pPr>
      <w:r>
        <w:rPr>
          <w:rFonts w:ascii="Calibri" w:hAnsi="Calibri"/>
          <w:b w:val="0"/>
          <w:i w:val="0"/>
          <w:sz w:val="18"/>
        </w:rPr>
        <w:t>Niveau B: M40, M42</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M110, M12, M125, M126, M129, M142, M62, M64, M84</w:t>
      </w:r>
    </w:p>
    <w:p>
      <w:pPr>
        <w:spacing w:after="120"/>
      </w:pPr>
      <w:r>
        <w:rPr>
          <w:rFonts w:ascii="Calibri" w:hAnsi="Calibri"/>
          <w:b w:val="0"/>
          <w:i w:val="0"/>
          <w:sz w:val="18"/>
        </w:rPr>
        <w:t>Tijdelijke opslag: M109, M116, M121, M135, M136, M144, M145, M146, M149, M151, M152, M153, M157, M159, M162, M164, M167</w:t>
      </w:r>
    </w:p>
    <w:p>
      <w:pPr>
        <w:spacing w:after="120"/>
      </w:pPr>
      <w:r>
        <w:rPr>
          <w:rFonts w:ascii="Calibri" w:hAnsi="Calibri"/>
          <w:b w:val="0"/>
          <w:i w:val="0"/>
          <w:sz w:val="18"/>
        </w:rPr>
        <w:t>ADR kl. 2 gasflessen: M10, M138, M140, M37, M7, M8, M9</w:t>
      </w:r>
    </w:p>
    <w:p>
      <w:pPr>
        <w:spacing w:after="120"/>
      </w:pPr>
      <w:r>
        <w:rPr>
          <w:rFonts w:ascii="Calibri" w:hAnsi="Calibri"/>
          <w:b w:val="0"/>
          <w:i w:val="0"/>
          <w:sz w:val="18"/>
        </w:rPr>
        <w:t>ADR_6_1: M113, M114, M116, M117, M135, M136, M137, M89</w:t>
      </w:r>
    </w:p>
    <w:p>
      <w:pPr>
        <w:spacing w:after="120"/>
      </w:pPr>
      <w:r>
        <w:rPr>
          <w:rFonts w:ascii="Calibri" w:hAnsi="Calibri"/>
          <w:b w:val="0"/>
          <w:i w:val="0"/>
          <w:sz w:val="18"/>
        </w:rPr>
        <w:t>ADR_3: M40, M41, M42</w:t>
      </w:r>
    </w:p>
    <w:p>
      <w:pPr>
        <w:spacing w:after="120"/>
      </w:pPr>
      <w:r>
        <w:rPr>
          <w:rFonts w:ascii="Calibri" w:hAnsi="Calibri"/>
          <w:b w:val="0"/>
          <w:i w:val="0"/>
          <w:sz w:val="18"/>
        </w:rPr>
        <w:t>ADR_8: M113, M116, M135, M136</w:t>
      </w:r>
    </w:p>
    <w:p/>
    <w:p>
      <w:pPr>
        <w:pStyle w:val="Heading2"/>
      </w:pPr>
      <w:r>
        <w:t>D7 — Voorkomen verspreiding</w:t>
      </w:r>
    </w:p>
    <w:p>
      <w:pPr>
        <w:spacing w:after="120"/>
      </w:pPr>
      <w:r>
        <w:rPr>
          <w:rFonts w:ascii="Calibri" w:hAnsi="Calibri"/>
          <w:b w:val="0"/>
          <w:i w:val="0"/>
          <w:color w:val="374151"/>
          <w:sz w:val="20"/>
        </w:rPr>
        <w:t>Voorkomen dat vrijgekomen gevaarlijke stof zich verspreidt buiten de ruimte/locatie waar de verpakking lek raakt.</w:t>
      </w:r>
    </w:p>
    <w:p>
      <w:pPr>
        <w:spacing w:after="120"/>
      </w:pPr>
      <w:r>
        <w:rPr>
          <w:rFonts w:ascii="Calibri" w:hAnsi="Calibri"/>
          <w:b w:val="0"/>
          <w:i/>
          <w:sz w:val="20"/>
        </w:rPr>
        <w:t>Relevante scenario's: S12</w:t>
      </w:r>
    </w:p>
    <w:p>
      <w:pPr>
        <w:spacing w:after="120"/>
      </w:pPr>
      <w:r>
        <w:rPr>
          <w:rFonts w:ascii="Calibri" w:hAnsi="Calibri"/>
          <w:b w:val="0"/>
          <w:i w:val="0"/>
          <w:sz w:val="18"/>
        </w:rPr>
        <w:t>Basismaatregelen: M14, M2, M20, M23, M29, M30, M89</w:t>
      </w:r>
    </w:p>
    <w:p>
      <w:pPr>
        <w:spacing w:after="120"/>
      </w:pPr>
      <w:r>
        <w:rPr>
          <w:rFonts w:ascii="Calibri" w:hAnsi="Calibri"/>
          <w:b w:val="0"/>
          <w:i w:val="0"/>
          <w:sz w:val="18"/>
        </w:rPr>
        <w:t>Binnenopslag: M7, M8</w:t>
      </w:r>
    </w:p>
    <w:p>
      <w:pPr>
        <w:spacing w:after="120"/>
      </w:pPr>
      <w:r>
        <w:rPr>
          <w:rFonts w:ascii="Calibri" w:hAnsi="Calibri"/>
          <w:b w:val="0"/>
          <w:i w:val="0"/>
          <w:sz w:val="18"/>
        </w:rPr>
        <w:t>(Tank)container: M108, M11, M12, M31</w:t>
      </w:r>
    </w:p>
    <w:p>
      <w:pPr>
        <w:spacing w:after="120"/>
      </w:pPr>
      <w:r>
        <w:rPr>
          <w:rFonts w:ascii="Calibri" w:hAnsi="Calibri"/>
          <w:b w:val="0"/>
          <w:i w:val="0"/>
          <w:sz w:val="18"/>
        </w:rPr>
        <w:t>Tijdelijke opslag: M144, M145, M146, M149, M151, M152, M153, M157, M159, M162, M164, M167</w:t>
      </w:r>
    </w:p>
    <w:p>
      <w:pPr>
        <w:spacing w:after="120"/>
      </w:pPr>
      <w:r>
        <w:rPr>
          <w:rFonts w:ascii="Calibri" w:hAnsi="Calibri"/>
          <w:b w:val="0"/>
          <w:i w:val="0"/>
          <w:sz w:val="18"/>
        </w:rPr>
        <w:t>ADR kl. 2 gasflessen: M10, M7, M8, M9, M92</w:t>
      </w:r>
    </w:p>
    <w:p>
      <w:pPr>
        <w:spacing w:after="120"/>
      </w:pPr>
      <w:r>
        <w:rPr>
          <w:rFonts w:ascii="Calibri" w:hAnsi="Calibri"/>
          <w:b w:val="0"/>
          <w:i w:val="0"/>
          <w:sz w:val="18"/>
        </w:rPr>
        <w:t>ADR_8: M111, M23, M29, M30, M89</w:t>
      </w:r>
    </w:p>
    <w:p>
      <w:pPr>
        <w:spacing w:after="120"/>
      </w:pPr>
      <w:r>
        <w:rPr>
          <w:rFonts w:ascii="Calibri" w:hAnsi="Calibri"/>
          <w:b w:val="0"/>
          <w:i w:val="0"/>
          <w:sz w:val="18"/>
        </w:rPr>
        <w:t>ADR_6_1: M23, M29, M89</w:t>
      </w:r>
    </w:p>
    <w:p/>
    <w:p>
      <w:pPr>
        <w:pStyle w:val="Heading2"/>
      </w:pPr>
      <w:r>
        <w:t>D8 — Voorkomen van ontsteking</w:t>
      </w:r>
    </w:p>
    <w:p>
      <w:pPr>
        <w:spacing w:after="120"/>
      </w:pPr>
      <w:r>
        <w:rPr>
          <w:rFonts w:ascii="Calibri" w:hAnsi="Calibri"/>
          <w:b w:val="0"/>
          <w:i w:val="0"/>
          <w:color w:val="374151"/>
          <w:sz w:val="20"/>
        </w:rPr>
        <w:t>Beheersing van ontstekingsbronnen en brandgevaarlijke activiteiten, aanwezigheid brandbare materialen, blussen beginnende brand.</w:t>
      </w:r>
    </w:p>
    <w:p>
      <w:pPr>
        <w:spacing w:after="120"/>
      </w:pPr>
      <w:r>
        <w:rPr>
          <w:rFonts w:ascii="Calibri" w:hAnsi="Calibri"/>
          <w:b w:val="0"/>
          <w:i/>
          <w:sz w:val="20"/>
        </w:rPr>
        <w:t>Relevante scenario's: S13</w:t>
      </w:r>
    </w:p>
    <w:p>
      <w:pPr>
        <w:spacing w:after="120"/>
      </w:pPr>
      <w:r>
        <w:rPr>
          <w:rFonts w:ascii="Calibri" w:hAnsi="Calibri"/>
          <w:b w:val="0"/>
          <w:i w:val="0"/>
          <w:sz w:val="18"/>
        </w:rPr>
        <w:t>Basismaatregelen: M111, M134, M14, M2, M20, M68, M95</w:t>
      </w:r>
    </w:p>
    <w:p>
      <w:pPr>
        <w:spacing w:after="120"/>
      </w:pPr>
      <w:r>
        <w:rPr>
          <w:rFonts w:ascii="Calibri" w:hAnsi="Calibri"/>
          <w:b w:val="0"/>
          <w:i w:val="0"/>
          <w:sz w:val="18"/>
        </w:rPr>
        <w:t>Binnenopslag: M7, M70, M8</w:t>
      </w:r>
    </w:p>
    <w:p>
      <w:pPr>
        <w:spacing w:after="120"/>
      </w:pPr>
      <w:r>
        <w:rPr>
          <w:rFonts w:ascii="Calibri" w:hAnsi="Calibri"/>
          <w:b w:val="0"/>
          <w:i w:val="0"/>
          <w:sz w:val="18"/>
        </w:rPr>
        <w:t>(Tank)container: M108, M11, M12</w:t>
      </w:r>
    </w:p>
    <w:p>
      <w:pPr>
        <w:spacing w:after="120"/>
      </w:pPr>
      <w:r>
        <w:rPr>
          <w:rFonts w:ascii="Calibri" w:hAnsi="Calibri"/>
          <w:b w:val="0"/>
          <w:i w:val="0"/>
          <w:sz w:val="18"/>
        </w:rPr>
        <w:t>Tijdelijke opslag: M134, M144, M145, M146, M149, M151, M152, M153, M157, M159, M162, M164, M166, M167, M68, M70, M95</w:t>
      </w:r>
    </w:p>
    <w:p>
      <w:pPr>
        <w:spacing w:after="120"/>
      </w:pPr>
      <w:r>
        <w:rPr>
          <w:rFonts w:ascii="Calibri" w:hAnsi="Calibri"/>
          <w:b w:val="0"/>
          <w:i w:val="0"/>
          <w:sz w:val="18"/>
        </w:rPr>
        <w:t>ADR kl. 2 gasflessen: M10, M112, M7, M70, M8, M9, M92</w:t>
      </w:r>
    </w:p>
    <w:p>
      <w:pPr>
        <w:spacing w:after="120"/>
      </w:pPr>
      <w:r>
        <w:rPr>
          <w:rFonts w:ascii="Calibri" w:hAnsi="Calibri"/>
          <w:b w:val="0"/>
          <w:i w:val="0"/>
          <w:sz w:val="18"/>
        </w:rPr>
        <w:t>ADR kl. 2 spuitbussen/gaspatronen: M70</w:t>
      </w:r>
    </w:p>
    <w:p>
      <w:pPr>
        <w:spacing w:after="120"/>
      </w:pPr>
      <w:r>
        <w:rPr>
          <w:rFonts w:ascii="Calibri" w:hAnsi="Calibri"/>
          <w:b w:val="0"/>
          <w:i w:val="0"/>
          <w:sz w:val="18"/>
        </w:rPr>
        <w:t>ADR_3: M111, M134, M70, M95</w:t>
      </w:r>
    </w:p>
    <w:p>
      <w:pPr>
        <w:spacing w:after="120"/>
      </w:pPr>
      <w:r>
        <w:rPr>
          <w:rFonts w:ascii="Calibri" w:hAnsi="Calibri"/>
          <w:b w:val="0"/>
          <w:i w:val="0"/>
          <w:sz w:val="18"/>
        </w:rPr>
        <w:t>ADR_4_1: M134, M95</w:t>
      </w:r>
    </w:p>
    <w:p>
      <w:pPr>
        <w:spacing w:after="120"/>
      </w:pPr>
      <w:r>
        <w:rPr>
          <w:rFonts w:ascii="Calibri" w:hAnsi="Calibri"/>
          <w:b w:val="0"/>
          <w:i w:val="0"/>
          <w:sz w:val="18"/>
        </w:rPr>
        <w:t>ADR_4_2: M134, M95</w:t>
      </w:r>
    </w:p>
    <w:p>
      <w:pPr>
        <w:spacing w:after="120"/>
      </w:pPr>
      <w:r>
        <w:rPr>
          <w:rFonts w:ascii="Calibri" w:hAnsi="Calibri"/>
          <w:b w:val="0"/>
          <w:i w:val="0"/>
          <w:sz w:val="18"/>
        </w:rPr>
        <w:t>ADR_4_3: M134, M95</w:t>
      </w:r>
    </w:p>
    <w:p>
      <w:pPr>
        <w:spacing w:after="120"/>
      </w:pPr>
      <w:r>
        <w:rPr>
          <w:rFonts w:ascii="Calibri" w:hAnsi="Calibri"/>
          <w:b w:val="0"/>
          <w:i w:val="0"/>
          <w:sz w:val="18"/>
        </w:rPr>
        <w:t>ADR_5_1: M134, M95</w:t>
      </w:r>
    </w:p>
    <w:p>
      <w:pPr>
        <w:spacing w:after="120"/>
      </w:pPr>
      <w:r>
        <w:rPr>
          <w:rFonts w:ascii="Calibri" w:hAnsi="Calibri"/>
          <w:b w:val="0"/>
          <w:i w:val="0"/>
          <w:sz w:val="18"/>
        </w:rPr>
        <w:t>ADR kl. 5.2: M68, M95</w:t>
      </w:r>
    </w:p>
    <w:p/>
    <w:p>
      <w:pPr>
        <w:pStyle w:val="Heading2"/>
      </w:pPr>
      <w:r>
        <w:t>D9 — Voorkomen van brand in de opslagvoorziening</w:t>
      </w:r>
    </w:p>
    <w:p>
      <w:pPr>
        <w:spacing w:after="120"/>
      </w:pPr>
      <w:r>
        <w:rPr>
          <w:rFonts w:ascii="Calibri" w:hAnsi="Calibri"/>
          <w:b w:val="0"/>
          <w:i w:val="0"/>
          <w:color w:val="374151"/>
          <w:sz w:val="20"/>
        </w:rPr>
        <w:t>Voorkomen van een brand van enige omvang die kan leiden tot escalatie naar opgesloten verpakte gevaarlijke stoffen.</w:t>
      </w:r>
    </w:p>
    <w:p>
      <w:pPr>
        <w:spacing w:after="120"/>
      </w:pPr>
      <w:r>
        <w:rPr>
          <w:rFonts w:ascii="Calibri" w:hAnsi="Calibri"/>
          <w:b w:val="0"/>
          <w:i/>
          <w:sz w:val="20"/>
        </w:rPr>
        <w:t>Relevante scenario's: S8</w:t>
      </w:r>
    </w:p>
    <w:p>
      <w:pPr>
        <w:spacing w:after="120"/>
      </w:pPr>
      <w:r>
        <w:rPr>
          <w:rFonts w:ascii="Calibri" w:hAnsi="Calibri"/>
          <w:b w:val="0"/>
          <w:i w:val="0"/>
          <w:sz w:val="18"/>
        </w:rPr>
        <w:t>Basismaatregelen: M134, M14, M2, M20, M68, M71, M72, M95</w:t>
      </w:r>
    </w:p>
    <w:p>
      <w:pPr>
        <w:spacing w:after="120"/>
      </w:pPr>
      <w:r>
        <w:rPr>
          <w:rFonts w:ascii="Calibri" w:hAnsi="Calibri"/>
          <w:b w:val="0"/>
          <w:i w:val="0"/>
          <w:sz w:val="18"/>
        </w:rPr>
        <w:t>Niveau A: M73</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 M28</w:t>
      </w:r>
    </w:p>
    <w:p>
      <w:pPr>
        <w:spacing w:after="120"/>
      </w:pPr>
      <w:r>
        <w:rPr>
          <w:rFonts w:ascii="Calibri" w:hAnsi="Calibri"/>
          <w:b w:val="0"/>
          <w:i w:val="0"/>
          <w:sz w:val="18"/>
        </w:rPr>
        <w:t>Tijdelijke opslag: M134, M144, M145, M146, M149, M151, M152, M153, M157, M159, M162, M164, M166, M167, M68, M71, M72, M73, M95</w:t>
      </w:r>
    </w:p>
    <w:p>
      <w:pPr>
        <w:spacing w:after="120"/>
      </w:pPr>
      <w:r>
        <w:rPr>
          <w:rFonts w:ascii="Calibri" w:hAnsi="Calibri"/>
          <w:b w:val="0"/>
          <w:i w:val="0"/>
          <w:sz w:val="18"/>
        </w:rPr>
        <w:t>ADR kl. 2 gasflessen: M10, M7, M8, M9</w:t>
      </w:r>
    </w:p>
    <w:p>
      <w:pPr>
        <w:spacing w:after="120"/>
      </w:pPr>
      <w:r>
        <w:rPr>
          <w:rFonts w:ascii="Calibri" w:hAnsi="Calibri"/>
          <w:b w:val="0"/>
          <w:i w:val="0"/>
          <w:sz w:val="18"/>
        </w:rPr>
        <w:t>ADR_3: M134, M68, M71, M72, M73, M95</w:t>
      </w:r>
    </w:p>
    <w:p>
      <w:pPr>
        <w:spacing w:after="120"/>
      </w:pPr>
      <w:r>
        <w:rPr>
          <w:rFonts w:ascii="Calibri" w:hAnsi="Calibri"/>
          <w:b w:val="0"/>
          <w:i w:val="0"/>
          <w:sz w:val="18"/>
        </w:rPr>
        <w:t>ADR_4_1: M134, M71, M72, M73, M95</w:t>
      </w:r>
    </w:p>
    <w:p>
      <w:pPr>
        <w:spacing w:after="120"/>
      </w:pPr>
      <w:r>
        <w:rPr>
          <w:rFonts w:ascii="Calibri" w:hAnsi="Calibri"/>
          <w:b w:val="0"/>
          <w:i w:val="0"/>
          <w:sz w:val="18"/>
        </w:rPr>
        <w:t>ADR_4_2: M134, M71, M72, M95</w:t>
      </w:r>
    </w:p>
    <w:p>
      <w:pPr>
        <w:spacing w:after="120"/>
      </w:pPr>
      <w:r>
        <w:rPr>
          <w:rFonts w:ascii="Calibri" w:hAnsi="Calibri"/>
          <w:b w:val="0"/>
          <w:i w:val="0"/>
          <w:sz w:val="18"/>
        </w:rPr>
        <w:t>ADR_4_3: M134, M71, M72, M95</w:t>
      </w:r>
    </w:p>
    <w:p>
      <w:pPr>
        <w:spacing w:after="120"/>
      </w:pPr>
      <w:r>
        <w:rPr>
          <w:rFonts w:ascii="Calibri" w:hAnsi="Calibri"/>
          <w:b w:val="0"/>
          <w:i w:val="0"/>
          <w:sz w:val="18"/>
        </w:rPr>
        <w:t>ADR_5_1: M134, M68, M71, M72, M73, M95</w:t>
      </w:r>
    </w:p>
    <w:p>
      <w:pPr>
        <w:spacing w:after="120"/>
      </w:pPr>
      <w:r>
        <w:rPr>
          <w:rFonts w:ascii="Calibri" w:hAnsi="Calibri"/>
          <w:b w:val="0"/>
          <w:i w:val="0"/>
          <w:sz w:val="18"/>
        </w:rPr>
        <w:t>ADR kl. 5.2: M68, M71, M72</w:t>
      </w:r>
    </w:p>
    <w:p>
      <w:pPr>
        <w:spacing w:after="120"/>
      </w:pPr>
      <w:r>
        <w:rPr>
          <w:rFonts w:ascii="Calibri" w:hAnsi="Calibri"/>
          <w:b w:val="0"/>
          <w:i w:val="0"/>
          <w:sz w:val="18"/>
        </w:rPr>
        <w:t>ADR_8: M71, M72</w:t>
      </w:r>
    </w:p>
    <w:p/>
    <w:p>
      <w:pPr>
        <w:pStyle w:val="Heading2"/>
      </w:pPr>
      <w:r>
        <w:t>D10 — Voorkomen van escalatie van een brand (passief) - compartimenteren</w:t>
      </w:r>
    </w:p>
    <w:p>
      <w:pPr>
        <w:spacing w:after="120"/>
      </w:pPr>
      <w:r>
        <w:rPr>
          <w:rFonts w:ascii="Calibri" w:hAnsi="Calibri"/>
          <w:b w:val="0"/>
          <w:i w:val="0"/>
          <w:color w:val="374151"/>
          <w:sz w:val="20"/>
        </w:rPr>
        <w:t>Beheersen van de situatie bij brand: scheiding/brandwerendheid, beperken brandlast.</w:t>
      </w:r>
    </w:p>
    <w:p>
      <w:pPr>
        <w:spacing w:after="120"/>
      </w:pPr>
      <w:r>
        <w:rPr>
          <w:rFonts w:ascii="Calibri" w:hAnsi="Calibri"/>
          <w:b w:val="0"/>
          <w:i/>
          <w:sz w:val="20"/>
        </w:rPr>
        <w:t>Relevante scenario's: S10, S14, S8, S9</w:t>
      </w:r>
    </w:p>
    <w:p>
      <w:pPr>
        <w:spacing w:after="120"/>
      </w:pPr>
      <w:r>
        <w:rPr>
          <w:rFonts w:ascii="Calibri" w:hAnsi="Calibri"/>
          <w:b w:val="0"/>
          <w:i w:val="0"/>
          <w:sz w:val="18"/>
        </w:rPr>
        <w:t>Basismaatregelen: M14, M15, M17, M2, M20, M21, M23, M24, M25, M26, M27, M3, M65, M89</w:t>
      </w:r>
    </w:p>
    <w:p>
      <w:pPr>
        <w:spacing w:after="120"/>
      </w:pPr>
      <w:r>
        <w:rPr>
          <w:rFonts w:ascii="Calibri" w:hAnsi="Calibri"/>
          <w:b w:val="0"/>
          <w:i w:val="0"/>
          <w:sz w:val="18"/>
        </w:rPr>
        <w:t>Niveau A: M40, M41, M6, M67</w:t>
      </w:r>
    </w:p>
    <w:p>
      <w:pPr>
        <w:spacing w:after="120"/>
      </w:pPr>
      <w:r>
        <w:rPr>
          <w:rFonts w:ascii="Calibri" w:hAnsi="Calibri"/>
          <w:b w:val="0"/>
          <w:i w:val="0"/>
          <w:sz w:val="18"/>
        </w:rPr>
        <w:t>Niveau B: M40, M42, M66</w:t>
      </w:r>
    </w:p>
    <w:p>
      <w:pPr>
        <w:spacing w:after="120"/>
      </w:pPr>
      <w:r>
        <w:rPr>
          <w:rFonts w:ascii="Calibri" w:hAnsi="Calibri"/>
          <w:b w:val="0"/>
          <w:i w:val="0"/>
          <w:sz w:val="18"/>
        </w:rPr>
        <w:t>Niveau C: M66</w:t>
      </w:r>
    </w:p>
    <w:p>
      <w:pPr>
        <w:spacing w:after="120"/>
      </w:pPr>
      <w:r>
        <w:rPr>
          <w:rFonts w:ascii="Calibri" w:hAnsi="Calibri"/>
          <w:b w:val="0"/>
          <w:i w:val="0"/>
          <w:sz w:val="18"/>
        </w:rPr>
        <w:t>Binnenopslag: M7, M8</w:t>
      </w:r>
    </w:p>
    <w:p>
      <w:pPr>
        <w:spacing w:after="120"/>
      </w:pPr>
      <w:r>
        <w:rPr>
          <w:rFonts w:ascii="Calibri" w:hAnsi="Calibri"/>
          <w:b w:val="0"/>
          <w:i w:val="0"/>
          <w:sz w:val="18"/>
        </w:rPr>
        <w:t>Buitenopslag: M90</w:t>
      </w:r>
    </w:p>
    <w:p>
      <w:pPr>
        <w:spacing w:after="120"/>
      </w:pPr>
      <w:r>
        <w:rPr>
          <w:rFonts w:ascii="Calibri" w:hAnsi="Calibri"/>
          <w:b w:val="0"/>
          <w:i w:val="0"/>
          <w:sz w:val="18"/>
        </w:rPr>
        <w:t>Brandveiligheidsopslagkast: M33, M34</w:t>
      </w:r>
    </w:p>
    <w:p>
      <w:pPr>
        <w:spacing w:after="120"/>
      </w:pPr>
      <w:r>
        <w:rPr>
          <w:rFonts w:ascii="Calibri" w:hAnsi="Calibri"/>
          <w:b w:val="0"/>
          <w:i w:val="0"/>
          <w:sz w:val="18"/>
        </w:rPr>
        <w:t>(Tank)container: M11, M12, M64, M93, M94</w:t>
      </w:r>
    </w:p>
    <w:p>
      <w:pPr>
        <w:spacing w:after="120"/>
      </w:pPr>
      <w:r>
        <w:rPr>
          <w:rFonts w:ascii="Calibri" w:hAnsi="Calibri"/>
          <w:b w:val="0"/>
          <w:i w:val="0"/>
          <w:sz w:val="18"/>
        </w:rPr>
        <w:t>Tijdelijke opslag: M144, M145, M146, M147, M148, M149, M151, M152, M153, M154, M155, M156, M157, M158, M159, M160, M161, M162, M163, M164, M165, M166, M167</w:t>
      </w:r>
    </w:p>
    <w:p>
      <w:pPr>
        <w:spacing w:after="120"/>
      </w:pPr>
      <w:r>
        <w:rPr>
          <w:rFonts w:ascii="Calibri" w:hAnsi="Calibri"/>
          <w:b w:val="0"/>
          <w:i w:val="0"/>
          <w:sz w:val="18"/>
        </w:rPr>
        <w:t>ADR kl. 2 gasflessen: M10, M18, M22, M7, M8, M9, M91</w:t>
      </w:r>
    </w:p>
    <w:p>
      <w:pPr>
        <w:spacing w:after="120"/>
      </w:pPr>
      <w:r>
        <w:rPr>
          <w:rFonts w:ascii="Calibri" w:hAnsi="Calibri"/>
          <w:b w:val="0"/>
          <w:i w:val="0"/>
          <w:sz w:val="18"/>
        </w:rPr>
        <w:t>ADR kl. 2 spuitbussen/gaspatronen: M16</w:t>
      </w:r>
    </w:p>
    <w:p>
      <w:pPr>
        <w:spacing w:after="120"/>
      </w:pPr>
      <w:r>
        <w:rPr>
          <w:rFonts w:ascii="Calibri" w:hAnsi="Calibri"/>
          <w:b w:val="0"/>
          <w:i w:val="0"/>
          <w:sz w:val="18"/>
        </w:rPr>
        <w:t>ADR kl. 4.3 VG II/III: M4, M5, M6</w:t>
      </w:r>
    </w:p>
    <w:p>
      <w:pPr>
        <w:spacing w:after="120"/>
      </w:pPr>
      <w:r>
        <w:rPr>
          <w:rFonts w:ascii="Calibri" w:hAnsi="Calibri"/>
          <w:b w:val="0"/>
          <w:i w:val="0"/>
          <w:sz w:val="18"/>
        </w:rPr>
        <w:t>ADR_3: M15, M17, M21, M23, M24, M25, M26, M27, M3, M6, M65</w:t>
      </w:r>
    </w:p>
    <w:p>
      <w:pPr>
        <w:spacing w:after="120"/>
      </w:pPr>
      <w:r>
        <w:rPr>
          <w:rFonts w:ascii="Calibri" w:hAnsi="Calibri"/>
          <w:b w:val="0"/>
          <w:i w:val="0"/>
          <w:sz w:val="18"/>
        </w:rPr>
        <w:t>ADR_4_1: M15, M17, M21, M23, M24, M25, M26, M27, M65</w:t>
      </w:r>
    </w:p>
    <w:p>
      <w:pPr>
        <w:spacing w:after="120"/>
      </w:pPr>
      <w:r>
        <w:rPr>
          <w:rFonts w:ascii="Calibri" w:hAnsi="Calibri"/>
          <w:b w:val="0"/>
          <w:i w:val="0"/>
          <w:sz w:val="18"/>
        </w:rPr>
        <w:t>ADR_4_2: M15, M17, M21, M23, M24, M25, M26, M27, M65</w:t>
      </w:r>
    </w:p>
    <w:p>
      <w:pPr>
        <w:spacing w:after="120"/>
      </w:pPr>
      <w:r>
        <w:rPr>
          <w:rFonts w:ascii="Calibri" w:hAnsi="Calibri"/>
          <w:b w:val="0"/>
          <w:i w:val="0"/>
          <w:sz w:val="18"/>
        </w:rPr>
        <w:t>ADR_4_3: M15, M17, M21, M23, M24, M25, M26, M27, M4, M5, M6, M65</w:t>
      </w:r>
    </w:p>
    <w:p>
      <w:pPr>
        <w:spacing w:after="120"/>
      </w:pPr>
      <w:r>
        <w:rPr>
          <w:rFonts w:ascii="Calibri" w:hAnsi="Calibri"/>
          <w:b w:val="0"/>
          <w:i w:val="0"/>
          <w:sz w:val="18"/>
        </w:rPr>
        <w:t>ADR_5_1: M15, M17, M21, M23, M24, M25, M26, M27, M3, M6, M65</w:t>
      </w:r>
    </w:p>
    <w:p>
      <w:pPr>
        <w:spacing w:after="120"/>
      </w:pPr>
      <w:r>
        <w:rPr>
          <w:rFonts w:ascii="Calibri" w:hAnsi="Calibri"/>
          <w:b w:val="0"/>
          <w:i w:val="0"/>
          <w:sz w:val="18"/>
        </w:rPr>
        <w:t>ADR kl. 5.2: M15, M17, M21, M23, M24, M25, M26, M27</w:t>
      </w:r>
    </w:p>
    <w:p>
      <w:pPr>
        <w:spacing w:after="120"/>
      </w:pPr>
      <w:r>
        <w:rPr>
          <w:rFonts w:ascii="Calibri" w:hAnsi="Calibri"/>
          <w:b w:val="0"/>
          <w:i w:val="0"/>
          <w:sz w:val="18"/>
        </w:rPr>
        <w:t>ADR_8: M23, M24, M25, M26, M27</w:t>
      </w:r>
    </w:p>
    <w:p/>
    <w:p>
      <w:pPr>
        <w:pStyle w:val="Heading2"/>
      </w:pPr>
      <w:r>
        <w:t>D11 — Voorkomen van escalatie (actief) - beheersen</w:t>
      </w:r>
    </w:p>
    <w:p>
      <w:pPr>
        <w:spacing w:after="120"/>
      </w:pPr>
      <w:r>
        <w:rPr>
          <w:rFonts w:ascii="Calibri" w:hAnsi="Calibri"/>
          <w:b w:val="0"/>
          <w:i w:val="0"/>
          <w:color w:val="374151"/>
          <w:sz w:val="20"/>
        </w:rPr>
        <w:t>Blussen van een brand en voorkomen dat een brand uitbreidt: detectie, blusvoorzieningen, bereikbaarheid.</w:t>
      </w:r>
    </w:p>
    <w:p>
      <w:pPr>
        <w:spacing w:after="120"/>
      </w:pPr>
      <w:r>
        <w:rPr>
          <w:rFonts w:ascii="Calibri" w:hAnsi="Calibri"/>
          <w:b w:val="0"/>
          <w:i/>
          <w:sz w:val="20"/>
        </w:rPr>
        <w:t>Relevante scenario's: S14, S8, S9</w:t>
      </w:r>
    </w:p>
    <w:p>
      <w:pPr>
        <w:spacing w:after="120"/>
      </w:pPr>
      <w:r>
        <w:rPr>
          <w:rFonts w:ascii="Calibri" w:hAnsi="Calibri"/>
          <w:b w:val="0"/>
          <w:i w:val="0"/>
          <w:sz w:val="18"/>
        </w:rPr>
        <w:t>Basismaatregelen: M14, M2, M20, M3, M89</w:t>
      </w:r>
    </w:p>
    <w:p>
      <w:pPr>
        <w:spacing w:after="120"/>
      </w:pPr>
      <w:r>
        <w:rPr>
          <w:rFonts w:ascii="Calibri" w:hAnsi="Calibri"/>
          <w:b w:val="0"/>
          <w:i w:val="0"/>
          <w:sz w:val="18"/>
        </w:rPr>
        <w:t>Niveau A: M100, M101, M102, M103, M6, M96, M97, M98, M99</w:t>
      </w:r>
    </w:p>
    <w:p>
      <w:pPr>
        <w:spacing w:after="120"/>
      </w:pPr>
      <w:r>
        <w:rPr>
          <w:rFonts w:ascii="Calibri" w:hAnsi="Calibri"/>
          <w:b w:val="0"/>
          <w:i w:val="0"/>
          <w:sz w:val="18"/>
        </w:rPr>
        <w:t>Niveau B: M103</w:t>
      </w:r>
    </w:p>
    <w:p>
      <w:pPr>
        <w:spacing w:after="120"/>
      </w:pPr>
      <w:r>
        <w:rPr>
          <w:rFonts w:ascii="Calibri" w:hAnsi="Calibri"/>
          <w:b w:val="0"/>
          <w:i w:val="0"/>
          <w:sz w:val="18"/>
        </w:rPr>
        <w:t>Niveau C: M103</w:t>
      </w:r>
    </w:p>
    <w:p>
      <w:pPr>
        <w:spacing w:after="120"/>
      </w:pPr>
      <w:r>
        <w:rPr>
          <w:rFonts w:ascii="Calibri" w:hAnsi="Calibri"/>
          <w:b w:val="0"/>
          <w:i w:val="0"/>
          <w:sz w:val="18"/>
        </w:rPr>
        <w:t>Binnenopslag: M104, M7, M8</w:t>
      </w:r>
    </w:p>
    <w:p>
      <w:pPr>
        <w:spacing w:after="120"/>
      </w:pPr>
      <w:r>
        <w:rPr>
          <w:rFonts w:ascii="Calibri" w:hAnsi="Calibri"/>
          <w:b w:val="0"/>
          <w:i w:val="0"/>
          <w:sz w:val="18"/>
        </w:rPr>
        <w:t>(Tank)container: M105, M106, M107, M11, M12, M84</w:t>
      </w:r>
    </w:p>
    <w:p>
      <w:pPr>
        <w:spacing w:after="120"/>
      </w:pPr>
      <w:r>
        <w:rPr>
          <w:rFonts w:ascii="Calibri" w:hAnsi="Calibri"/>
          <w:b w:val="0"/>
          <w:i w:val="0"/>
          <w:sz w:val="18"/>
        </w:rPr>
        <w:t>Tijdelijke opslag: M144, M145, M146, M149, M151, M152, M153, M157, M159, M162, M164, M166, M167</w:t>
      </w:r>
    </w:p>
    <w:p>
      <w:pPr>
        <w:spacing w:after="120"/>
      </w:pPr>
      <w:r>
        <w:rPr>
          <w:rFonts w:ascii="Calibri" w:hAnsi="Calibri"/>
          <w:b w:val="0"/>
          <w:i w:val="0"/>
          <w:sz w:val="18"/>
        </w:rPr>
        <w:t>ADR kl. 2 gasflessen: M10, M7, M8, M9</w:t>
      </w:r>
    </w:p>
    <w:p>
      <w:pPr>
        <w:spacing w:after="120"/>
      </w:pPr>
      <w:r>
        <w:rPr>
          <w:rFonts w:ascii="Calibri" w:hAnsi="Calibri"/>
          <w:b w:val="0"/>
          <w:i w:val="0"/>
          <w:sz w:val="18"/>
        </w:rPr>
        <w:t>ADR kl. 4.3 VG II/III: M4, M5, M6</w:t>
      </w:r>
    </w:p>
    <w:p>
      <w:pPr>
        <w:spacing w:after="120"/>
      </w:pPr>
      <w:r>
        <w:rPr>
          <w:rFonts w:ascii="Calibri" w:hAnsi="Calibri"/>
          <w:b w:val="0"/>
          <w:i w:val="0"/>
          <w:sz w:val="18"/>
        </w:rPr>
        <w:t>ADR_3: M100, M101, M102, M103, M3, M6, M96, M97, M98, M99</w:t>
      </w:r>
    </w:p>
    <w:p>
      <w:pPr>
        <w:spacing w:after="120"/>
      </w:pPr>
      <w:r>
        <w:rPr>
          <w:rFonts w:ascii="Calibri" w:hAnsi="Calibri"/>
          <w:b w:val="0"/>
          <w:i w:val="0"/>
          <w:sz w:val="18"/>
        </w:rPr>
        <w:t>ADR_4_1: M100, M101, M102, M103, M96, M97, M98, M99</w:t>
      </w:r>
    </w:p>
    <w:p>
      <w:pPr>
        <w:spacing w:after="120"/>
      </w:pPr>
      <w:r>
        <w:rPr>
          <w:rFonts w:ascii="Calibri" w:hAnsi="Calibri"/>
          <w:b w:val="0"/>
          <w:i w:val="0"/>
          <w:sz w:val="18"/>
        </w:rPr>
        <w:t>ADR_4_2: M100, M101, M102, M103, M96, M97, M98, M99</w:t>
      </w:r>
    </w:p>
    <w:p>
      <w:pPr>
        <w:spacing w:after="120"/>
      </w:pPr>
      <w:r>
        <w:rPr>
          <w:rFonts w:ascii="Calibri" w:hAnsi="Calibri"/>
          <w:b w:val="0"/>
          <w:i w:val="0"/>
          <w:sz w:val="18"/>
        </w:rPr>
        <w:t>ADR_4_3: M100, M101, M102, M103, M4, M5, M6, M96, M97, M98, M99</w:t>
      </w:r>
    </w:p>
    <w:p>
      <w:pPr>
        <w:spacing w:after="120"/>
      </w:pPr>
      <w:r>
        <w:rPr>
          <w:rFonts w:ascii="Calibri" w:hAnsi="Calibri"/>
          <w:b w:val="0"/>
          <w:i w:val="0"/>
          <w:sz w:val="18"/>
        </w:rPr>
        <w:t>ADR_5_1: M100, M101, M102, M103, M3, M6, M96, M97, M98, M99</w:t>
      </w:r>
    </w:p>
    <w:p>
      <w:pPr>
        <w:spacing w:after="120"/>
      </w:pPr>
      <w:r>
        <w:rPr>
          <w:rFonts w:ascii="Calibri" w:hAnsi="Calibri"/>
          <w:b w:val="0"/>
          <w:i w:val="0"/>
          <w:sz w:val="18"/>
        </w:rPr>
        <w:t>ADR kl. 5.2: M96, M97, M98</w:t>
      </w:r>
    </w:p>
    <w:p/>
    <w:p>
      <w:pPr>
        <w:pStyle w:val="Heading2"/>
      </w:pPr>
      <w:r>
        <w:t>D12 — Zeker stellen dat een brand (semi)automatisch geblust kan worden</w:t>
      </w:r>
    </w:p>
    <w:p>
      <w:pPr>
        <w:spacing w:after="120"/>
      </w:pPr>
      <w:r>
        <w:rPr>
          <w:rFonts w:ascii="Calibri" w:hAnsi="Calibri"/>
          <w:b w:val="0"/>
          <w:i w:val="0"/>
          <w:color w:val="374151"/>
          <w:sz w:val="20"/>
        </w:rPr>
        <w:t>Snel detecteren en ((semi)automatisch of bedrijfsbrandweer) blussen van een brand in een beginstadium.</w:t>
      </w:r>
    </w:p>
    <w:p>
      <w:pPr>
        <w:spacing w:after="120"/>
      </w:pPr>
      <w:r>
        <w:rPr>
          <w:rFonts w:ascii="Calibri" w:hAnsi="Calibri"/>
          <w:b w:val="0"/>
          <w:i/>
          <w:sz w:val="20"/>
        </w:rPr>
        <w:t>Relevante scenario's: S15</w:t>
      </w:r>
    </w:p>
    <w:p>
      <w:pPr>
        <w:spacing w:after="120"/>
      </w:pPr>
      <w:r>
        <w:rPr>
          <w:rFonts w:ascii="Calibri" w:hAnsi="Calibri"/>
          <w:b w:val="0"/>
          <w:i w:val="0"/>
          <w:sz w:val="18"/>
        </w:rPr>
        <w:t>Basismaatregelen: M14, M2, M20, M3, M89</w:t>
      </w:r>
    </w:p>
    <w:p>
      <w:pPr>
        <w:spacing w:after="120"/>
      </w:pPr>
      <w:r>
        <w:rPr>
          <w:rFonts w:ascii="Calibri" w:hAnsi="Calibri"/>
          <w:b w:val="0"/>
          <w:i w:val="0"/>
          <w:sz w:val="18"/>
        </w:rPr>
        <w:t>Niveau A: M100, M101, M102, M32, M67, M96, M97, M98, M99</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 M84</w:t>
      </w:r>
    </w:p>
    <w:p>
      <w:pPr>
        <w:spacing w:after="120"/>
      </w:pPr>
      <w:r>
        <w:rPr>
          <w:rFonts w:ascii="Calibri" w:hAnsi="Calibri"/>
          <w:b w:val="0"/>
          <w:i w:val="0"/>
          <w:sz w:val="18"/>
        </w:rPr>
        <w:t>Tijdelijke opslag: M144, M145, M146, M149, M151, M152, M153, M157, M159, M162, M164, M167</w:t>
      </w:r>
    </w:p>
    <w:p>
      <w:pPr>
        <w:spacing w:after="120"/>
      </w:pPr>
      <w:r>
        <w:rPr>
          <w:rFonts w:ascii="Calibri" w:hAnsi="Calibri"/>
          <w:b w:val="0"/>
          <w:i w:val="0"/>
          <w:sz w:val="18"/>
        </w:rPr>
        <w:t>ADR kl. 2 gasflessen: M10, M7, M8, M9</w:t>
      </w:r>
    </w:p>
    <w:p>
      <w:pPr>
        <w:spacing w:after="120"/>
      </w:pPr>
      <w:r>
        <w:rPr>
          <w:rFonts w:ascii="Calibri" w:hAnsi="Calibri"/>
          <w:b w:val="0"/>
          <w:i w:val="0"/>
          <w:sz w:val="18"/>
        </w:rPr>
        <w:t>ADR_3: M100, M101, M102, M32, M67, M96, M97, M98, M99</w:t>
      </w:r>
    </w:p>
    <w:p>
      <w:pPr>
        <w:spacing w:after="120"/>
      </w:pPr>
      <w:r>
        <w:rPr>
          <w:rFonts w:ascii="Calibri" w:hAnsi="Calibri"/>
          <w:b w:val="0"/>
          <w:i w:val="0"/>
          <w:sz w:val="18"/>
        </w:rPr>
        <w:t>ADR_4_1: M100, M101, M102, M32, M67, M96, M97, M98, M99</w:t>
      </w:r>
    </w:p>
    <w:p>
      <w:pPr>
        <w:spacing w:after="120"/>
      </w:pPr>
      <w:r>
        <w:rPr>
          <w:rFonts w:ascii="Calibri" w:hAnsi="Calibri"/>
          <w:b w:val="0"/>
          <w:i w:val="0"/>
          <w:sz w:val="18"/>
        </w:rPr>
        <w:t>ADR_4_2: M100, M101, M102, M32, M67, M96, M97, M98, M99</w:t>
      </w:r>
    </w:p>
    <w:p>
      <w:pPr>
        <w:spacing w:after="120"/>
      </w:pPr>
      <w:r>
        <w:rPr>
          <w:rFonts w:ascii="Calibri" w:hAnsi="Calibri"/>
          <w:b w:val="0"/>
          <w:i w:val="0"/>
          <w:sz w:val="18"/>
        </w:rPr>
        <w:t>ADR_4_3: M100, M101, M102, M32, M67, M96, M97, M98, M99</w:t>
      </w:r>
    </w:p>
    <w:p>
      <w:pPr>
        <w:spacing w:after="120"/>
      </w:pPr>
      <w:r>
        <w:rPr>
          <w:rFonts w:ascii="Calibri" w:hAnsi="Calibri"/>
          <w:b w:val="0"/>
          <w:i w:val="0"/>
          <w:sz w:val="18"/>
        </w:rPr>
        <w:t>ADR_5_1: M100, M101, M102, M32, M67, M96, M97, M98, M99</w:t>
      </w:r>
    </w:p>
    <w:p>
      <w:pPr>
        <w:spacing w:after="120"/>
      </w:pPr>
      <w:r>
        <w:rPr>
          <w:rFonts w:ascii="Calibri" w:hAnsi="Calibri"/>
          <w:b w:val="0"/>
          <w:i w:val="0"/>
          <w:sz w:val="18"/>
        </w:rPr>
        <w:t>ADR kl. 5.2: M67</w:t>
      </w:r>
    </w:p>
    <w:p/>
    <w:p>
      <w:pPr>
        <w:pStyle w:val="Heading2"/>
      </w:pPr>
      <w:r>
        <w:t>D13 — Zeker stellen dat aanvullende stofspecifieke risico's worden beheerst</w:t>
      </w:r>
    </w:p>
    <w:p>
      <w:pPr>
        <w:spacing w:after="120"/>
      </w:pPr>
      <w:r>
        <w:rPr>
          <w:rFonts w:ascii="Calibri" w:hAnsi="Calibri"/>
          <w:b w:val="0"/>
          <w:i w:val="0"/>
          <w:color w:val="374151"/>
          <w:sz w:val="20"/>
        </w:rPr>
        <w:t>Specifieke risico's van stoffen zoals infectueuze stoffen, organische peroxiden, brandbare vaste stoffen.</w:t>
      </w:r>
    </w:p>
    <w:p>
      <w:pPr>
        <w:spacing w:after="120"/>
      </w:pPr>
      <w:r>
        <w:rPr>
          <w:rFonts w:ascii="Calibri" w:hAnsi="Calibri"/>
          <w:b w:val="0"/>
          <w:i/>
          <w:sz w:val="20"/>
        </w:rPr>
        <w:t>Relevante scenario's: S16</w:t>
      </w:r>
    </w:p>
    <w:p>
      <w:pPr>
        <w:spacing w:after="120"/>
      </w:pPr>
      <w:r>
        <w:rPr>
          <w:rFonts w:ascii="Calibri" w:hAnsi="Calibri"/>
          <w:b w:val="0"/>
          <w:i w:val="0"/>
          <w:sz w:val="18"/>
        </w:rPr>
        <w:t>Basismaatregelen: M14, M2, M20</w:t>
      </w:r>
    </w:p>
    <w:p>
      <w:pPr>
        <w:spacing w:after="120"/>
      </w:pPr>
      <w:r>
        <w:rPr>
          <w:rFonts w:ascii="Calibri" w:hAnsi="Calibri"/>
          <w:b w:val="0"/>
          <w:i w:val="0"/>
          <w:sz w:val="18"/>
        </w:rPr>
        <w:t>Binnenopslag: M7, M8</w:t>
      </w:r>
    </w:p>
    <w:p>
      <w:pPr>
        <w:spacing w:after="120"/>
      </w:pPr>
      <w:r>
        <w:rPr>
          <w:rFonts w:ascii="Calibri" w:hAnsi="Calibri"/>
          <w:b w:val="0"/>
          <w:i w:val="0"/>
          <w:sz w:val="18"/>
        </w:rPr>
        <w:t>(Tank)container: M11, M12</w:t>
      </w:r>
    </w:p>
    <w:p>
      <w:pPr>
        <w:spacing w:after="120"/>
      </w:pPr>
      <w:r>
        <w:rPr>
          <w:rFonts w:ascii="Calibri" w:hAnsi="Calibri"/>
          <w:b w:val="0"/>
          <w:i w:val="0"/>
          <w:sz w:val="18"/>
        </w:rPr>
        <w:t>Tijdelijke opslag: M144, M145, M146, M149, M151, M152, M153, M157, M159, M162, M164, M167</w:t>
      </w:r>
    </w:p>
    <w:p>
      <w:pPr>
        <w:spacing w:after="120"/>
      </w:pPr>
      <w:r>
        <w:rPr>
          <w:rFonts w:ascii="Calibri" w:hAnsi="Calibri"/>
          <w:b w:val="0"/>
          <w:i w:val="0"/>
          <w:sz w:val="18"/>
        </w:rPr>
        <w:t>ADR kl. 2 gasflessen: M10, M7, M8, M9</w:t>
      </w:r>
    </w:p>
    <w:p>
      <w:pPr>
        <w:spacing w:after="120"/>
      </w:pPr>
      <w:r>
        <w:rPr>
          <w:rFonts w:ascii="Calibri" w:hAnsi="Calibri"/>
          <w:b w:val="0"/>
          <w:i w:val="0"/>
          <w:sz w:val="18"/>
        </w:rPr>
        <w:t>ADR kl. 2 spuitbussen/gaspatronen: M38</w:t>
      </w:r>
    </w:p>
    <w:p>
      <w:pPr>
        <w:spacing w:after="120"/>
      </w:pPr>
      <w:r>
        <w:rPr>
          <w:rFonts w:ascii="Calibri" w:hAnsi="Calibri"/>
          <w:b w:val="0"/>
          <w:i w:val="0"/>
          <w:sz w:val="18"/>
        </w:rPr>
        <w:t>ADR kl. 4.1 VG II/III: M43</w:t>
      </w:r>
    </w:p>
    <w:p>
      <w:pPr>
        <w:spacing w:after="120"/>
      </w:pPr>
      <w:r>
        <w:rPr>
          <w:rFonts w:ascii="Calibri" w:hAnsi="Calibri"/>
          <w:b w:val="0"/>
          <w:i w:val="0"/>
          <w:sz w:val="18"/>
        </w:rPr>
        <w:t>ADR kl. 4.2/4.3 VG III: M44</w:t>
      </w:r>
    </w:p>
    <w:p>
      <w:pPr>
        <w:spacing w:after="120"/>
      </w:pPr>
      <w:r>
        <w:rPr>
          <w:rFonts w:ascii="Calibri" w:hAnsi="Calibri"/>
          <w:b w:val="0"/>
          <w:i w:val="0"/>
          <w:sz w:val="18"/>
        </w:rPr>
        <w:t>ADR kl. 5.2: M143, M19</w:t>
      </w:r>
    </w:p>
    <w:p>
      <w:pPr>
        <w:spacing w:after="120"/>
      </w:pPr>
      <w:r>
        <w:rPr>
          <w:rFonts w:ascii="Calibri" w:hAnsi="Calibri"/>
          <w:b w:val="0"/>
          <w:i w:val="0"/>
          <w:sz w:val="18"/>
        </w:rPr>
        <w:t>ADR kl. 6.2: M13</w:t>
      </w:r>
    </w:p>
    <w:p>
      <w:pPr>
        <w:spacing w:after="120"/>
      </w:pPr>
      <w:r>
        <w:rPr>
          <w:rFonts w:ascii="Calibri" w:hAnsi="Calibri"/>
          <w:b w:val="0"/>
          <w:i w:val="0"/>
          <w:sz w:val="18"/>
        </w:rPr>
        <w:t>ADR_6_1: M13, M49</w:t>
      </w:r>
    </w:p>
    <w:p>
      <w:pPr>
        <w:spacing w:after="120"/>
      </w:pPr>
      <w:r>
        <w:rPr>
          <w:rFonts w:ascii="Calibri" w:hAnsi="Calibri"/>
          <w:b w:val="0"/>
          <w:i w:val="0"/>
          <w:sz w:val="18"/>
        </w:rPr>
        <w:t>ADR_8: M30, M35</w:t>
      </w:r>
    </w:p>
    <w:p>
      <w:pPr>
        <w:spacing w:after="120"/>
      </w:pPr>
      <w:r>
        <w:rPr>
          <w:rFonts w:ascii="Calibri" w:hAnsi="Calibri"/>
          <w:b w:val="0"/>
          <w:i w:val="0"/>
          <w:sz w:val="18"/>
        </w:rPr>
        <w:t>ADR_9: M30</w:t>
      </w:r>
    </w:p>
    <w:p/>
    <w:p>
      <w:r>
        <w:br w:type="page"/>
      </w:r>
    </w:p>
    <w:p>
      <w:pPr>
        <w:pStyle w:val="Heading1"/>
      </w:pPr>
      <w:r>
        <w:t>Bijlage C — Maatregelen</w:t>
      </w:r>
    </w:p>
    <w:p>
      <w:pPr>
        <w:spacing w:after="120"/>
      </w:pPr>
      <w:r>
        <w:rPr>
          <w:rFonts w:ascii="Calibri" w:hAnsi="Calibri"/>
          <w:b w:val="0"/>
          <w:i w:val="0"/>
          <w:color w:val="374151"/>
          <w:sz w:val="20"/>
        </w:rPr>
        <w:t>Volledig overzicht van alle maatregelen uit PGS 15:2025 Hoofdstuk 7 met niveautoewijzing en doelstellingskoppeling.</w:t>
      </w:r>
    </w:p>
    <w:p/>
    <w:tbl>
      <w:tblPr>
        <w:tblW w:type="auto" w:w="0"/>
        <w:jc w:val="center"/>
        <w:tblLayout w:type="autofit"/>
        <w:tblLook w:firstColumn="1" w:firstRow="1" w:lastColumn="0" w:lastRow="0" w:noHBand="0" w:noVBand="1" w:val="04A0"/>
      </w:tblPr>
      <w:tblGrid>
        <w:gridCol w:w="1881"/>
        <w:gridCol w:w="1881"/>
        <w:gridCol w:w="1881"/>
        <w:gridCol w:w="1881"/>
        <w:gridCol w:w="1881"/>
      </w:tblGrid>
      <w:tr>
        <w:tc>
          <w:tcPr>
            <w:tcW w:type="dxa" w:w="1881"/>
            <w:shd w:fill="003366"/>
            <w:noWrap w:val="false"/>
          </w:tcPr>
          <w:p>
            <w:r/>
            <w:r>
              <w:rPr>
                <w:rFonts w:ascii="Calibri" w:hAnsi="Calibri"/>
                <w:b/>
                <w:color w:val="FFFFFF"/>
                <w:sz w:val="18"/>
              </w:rPr>
              <w:t>Code</w:t>
            </w:r>
          </w:p>
        </w:tc>
        <w:tc>
          <w:tcPr>
            <w:tcW w:type="dxa" w:w="1881"/>
            <w:shd w:fill="003366"/>
            <w:noWrap w:val="false"/>
          </w:tcPr>
          <w:p>
            <w:r/>
            <w:r>
              <w:rPr>
                <w:rFonts w:ascii="Calibri" w:hAnsi="Calibri"/>
                <w:b/>
                <w:color w:val="FFFFFF"/>
                <w:sz w:val="18"/>
              </w:rPr>
              <w:t>Titel</w:t>
            </w:r>
          </w:p>
        </w:tc>
        <w:tc>
          <w:tcPr>
            <w:tcW w:type="dxa" w:w="1881"/>
            <w:shd w:fill="003366"/>
            <w:noWrap w:val="false"/>
          </w:tcPr>
          <w:p>
            <w:r/>
            <w:r>
              <w:rPr>
                <w:rFonts w:ascii="Calibri" w:hAnsi="Calibri"/>
                <w:b/>
                <w:color w:val="FFFFFF"/>
                <w:sz w:val="18"/>
              </w:rPr>
              <w:t>Toelichting</w:t>
            </w:r>
          </w:p>
        </w:tc>
        <w:tc>
          <w:tcPr>
            <w:tcW w:type="dxa" w:w="1881"/>
            <w:shd w:fill="003366"/>
            <w:noWrap w:val="false"/>
          </w:tcPr>
          <w:p>
            <w:r/>
            <w:r>
              <w:rPr>
                <w:rFonts w:ascii="Calibri" w:hAnsi="Calibri"/>
                <w:b/>
                <w:color w:val="FFFFFF"/>
                <w:sz w:val="18"/>
              </w:rPr>
              <w:t>Niveau</w:t>
            </w:r>
          </w:p>
        </w:tc>
        <w:tc>
          <w:tcPr>
            <w:tcW w:type="dxa" w:w="1881"/>
            <w:shd w:fill="003366"/>
            <w:noWrap w:val="false"/>
          </w:tcPr>
          <w:p>
            <w:r/>
            <w:r>
              <w:rPr>
                <w:rFonts w:ascii="Calibri" w:hAnsi="Calibri"/>
                <w:b/>
                <w:color w:val="FFFFFF"/>
                <w:sz w:val="18"/>
              </w:rPr>
              <w:t>Doelstellingen</w:t>
            </w:r>
          </w:p>
        </w:tc>
      </w:tr>
      <w:tr>
        <w:tc>
          <w:tcPr>
            <w:tcW w:type="dxa" w:w="1881"/>
            <w:noWrap w:val="false"/>
          </w:tcPr>
          <w:p>
            <w:r/>
            <w:r>
              <w:rPr>
                <w:rFonts w:ascii="Calibri" w:hAnsi="Calibri"/>
                <w:sz w:val="18"/>
              </w:rPr>
              <w:t>MW1</w:t>
            </w:r>
          </w:p>
        </w:tc>
        <w:tc>
          <w:tcPr>
            <w:tcW w:type="dxa" w:w="1881"/>
            <w:noWrap w:val="false"/>
          </w:tcPr>
          <w:p>
            <w:r/>
            <w:r>
              <w:rPr>
                <w:rFonts w:ascii="Calibri" w:hAnsi="Calibri"/>
                <w:sz w:val="18"/>
              </w:rPr>
              <w:t>Zorgplicht basisveiligheid</w:t>
            </w:r>
          </w:p>
        </w:tc>
        <w:tc>
          <w:tcPr>
            <w:tcW w:type="dxa" w:w="1881"/>
            <w:noWrap w:val="false"/>
          </w:tcPr>
          <w:p>
            <w:r/>
            <w:r>
              <w:rPr>
                <w:rFonts w:ascii="Calibri" w:hAnsi="Calibri"/>
                <w:sz w:val="18"/>
              </w:rPr>
              <w:t>Er is een basisveiligheidsniveau aanwezig dat bestaat uit beschermende maatregelen volgens wet- en regelgeving, bewezen en geaccepteerde goede praktijken, good housekeeping en maatregelen goed vakmanschap.</w:t>
            </w:r>
          </w:p>
        </w:tc>
        <w:tc>
          <w:tcPr>
            <w:tcW w:type="dxa" w:w="1881"/>
            <w:noWrap w:val="false"/>
          </w:tcPr>
          <w:p>
            <w:r/>
            <w:r>
              <w:rPr>
                <w:rFonts w:ascii="Calibri" w:hAnsi="Calibri"/>
                <w:sz w:val="18"/>
              </w:rPr>
              <w:t>Basis</w:t>
            </w:r>
          </w:p>
        </w:tc>
        <w:tc>
          <w:tcPr>
            <w:tcW w:type="dxa" w:w="1881"/>
            <w:noWrap w:val="false"/>
          </w:tcPr>
          <w:p>
            <w:r/>
            <w:r>
              <w:rPr>
                <w:rFonts w:ascii="Calibri" w:hAnsi="Calibri"/>
                <w:sz w:val="18"/>
              </w:rPr>
            </w:r>
          </w:p>
        </w:tc>
      </w:tr>
      <w:tr>
        <w:tc>
          <w:tcPr>
            <w:tcW w:type="dxa" w:w="1881"/>
            <w:noWrap w:val="false"/>
          </w:tcPr>
          <w:p>
            <w:r/>
            <w:r>
              <w:rPr>
                <w:rFonts w:ascii="Calibri" w:hAnsi="Calibri"/>
                <w:sz w:val="18"/>
              </w:rPr>
              <w:t>M2</w:t>
            </w:r>
          </w:p>
        </w:tc>
        <w:tc>
          <w:tcPr>
            <w:tcW w:type="dxa" w:w="1881"/>
            <w:noWrap w:val="false"/>
          </w:tcPr>
          <w:p>
            <w:r/>
            <w:r>
              <w:rPr>
                <w:rFonts w:ascii="Calibri" w:hAnsi="Calibri"/>
                <w:sz w:val="18"/>
              </w:rPr>
              <w:t>Opslaan van verpakte gevaarlijke stoffen en CMR-/CLP-stoffen</w:t>
            </w:r>
          </w:p>
        </w:tc>
        <w:tc>
          <w:tcPr>
            <w:tcW w:type="dxa" w:w="1881"/>
            <w:noWrap w:val="false"/>
          </w:tcPr>
          <w:p>
            <w:r/>
            <w:r>
              <w:rPr>
                <w:rFonts w:ascii="Calibri" w:hAnsi="Calibri"/>
                <w:sz w:val="18"/>
              </w:rPr>
              <w:t>Verpakte gevaarlijke stoffen en CMR-/CLP-stoffen boven de ondergrenzen worden opgeslagen in een daarvoor bestemde opslagvoorziening.</w:t>
            </w:r>
          </w:p>
        </w:tc>
        <w:tc>
          <w:tcPr>
            <w:tcW w:type="dxa" w:w="1881"/>
            <w:noWrap w:val="false"/>
          </w:tcPr>
          <w:p>
            <w:r/>
            <w:r>
              <w:rPr>
                <w:rFonts w:ascii="Calibri" w:hAnsi="Calibri"/>
                <w:sz w:val="18"/>
              </w:rPr>
              <w:t>Basis</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M3</w:t>
            </w:r>
          </w:p>
        </w:tc>
        <w:tc>
          <w:tcPr>
            <w:tcW w:type="dxa" w:w="1881"/>
            <w:noWrap w:val="false"/>
          </w:tcPr>
          <w:p>
            <w:r/>
            <w:r>
              <w:rPr>
                <w:rFonts w:ascii="Calibri" w:hAnsi="Calibri"/>
                <w:sz w:val="18"/>
              </w:rPr>
              <w:t>Vereist veiligheidsniveau</w:t>
            </w:r>
          </w:p>
        </w:tc>
        <w:tc>
          <w:tcPr>
            <w:tcW w:type="dxa" w:w="1881"/>
            <w:noWrap w:val="false"/>
          </w:tcPr>
          <w:p>
            <w:r/>
            <w:r>
              <w:rPr>
                <w:rFonts w:ascii="Calibri" w:hAnsi="Calibri"/>
                <w:sz w:val="18"/>
              </w:rPr>
              <w:t>Op basis van het soort en de hoeveelheid gevaarlijke stoffen wordt bepaald welk veiligheidsniveau (C, B of A) vereist is.</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 D11, D12</w:t>
            </w:r>
          </w:p>
        </w:tc>
      </w:tr>
      <w:tr>
        <w:tc>
          <w:tcPr>
            <w:tcW w:type="dxa" w:w="1881"/>
            <w:noWrap w:val="false"/>
          </w:tcPr>
          <w:p>
            <w:r/>
            <w:r>
              <w:rPr>
                <w:rFonts w:ascii="Calibri" w:hAnsi="Calibri"/>
                <w:sz w:val="18"/>
              </w:rPr>
              <w:t>M4</w:t>
            </w:r>
          </w:p>
        </w:tc>
        <w:tc>
          <w:tcPr>
            <w:tcW w:type="dxa" w:w="1881"/>
            <w:noWrap w:val="false"/>
          </w:tcPr>
          <w:p>
            <w:r/>
            <w:r>
              <w:rPr>
                <w:rFonts w:ascii="Calibri" w:hAnsi="Calibri"/>
                <w:sz w:val="18"/>
              </w:rPr>
              <w:t>Vereist veiligheidsniveau ADR-klasse 4.3 VG II en III</w:t>
            </w:r>
          </w:p>
        </w:tc>
        <w:tc>
          <w:tcPr>
            <w:tcW w:type="dxa" w:w="1881"/>
            <w:noWrap w:val="false"/>
          </w:tcPr>
          <w:p>
            <w:r/>
            <w:r>
              <w:rPr>
                <w:rFonts w:ascii="Calibri" w:hAnsi="Calibri"/>
                <w:sz w:val="18"/>
              </w:rPr>
              <w:t>Voor ADR-klasse 4.3 VG II en III geldt dat het vereiste veiligheidsniveau wordt bepaald op basis van de opgeslagen hoeveelheden en de specifieke eigenschappen van deze stoffen, conform de richtlijn in Tabel 6.</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 D11</w:t>
            </w:r>
          </w:p>
        </w:tc>
      </w:tr>
      <w:tr>
        <w:tc>
          <w:tcPr>
            <w:tcW w:type="dxa" w:w="1881"/>
            <w:noWrap w:val="false"/>
          </w:tcPr>
          <w:p>
            <w:r/>
            <w:r>
              <w:rPr>
                <w:rFonts w:ascii="Calibri" w:hAnsi="Calibri"/>
                <w:sz w:val="18"/>
              </w:rPr>
              <w:t>M5</w:t>
            </w:r>
          </w:p>
        </w:tc>
        <w:tc>
          <w:tcPr>
            <w:tcW w:type="dxa" w:w="1881"/>
            <w:noWrap w:val="false"/>
          </w:tcPr>
          <w:p>
            <w:r/>
            <w:r>
              <w:rPr>
                <w:rFonts w:ascii="Calibri" w:hAnsi="Calibri"/>
                <w:sz w:val="18"/>
              </w:rPr>
              <w:t>Vereist veiligheidsniveau ADR-klasse 4.3 VG II en III - aanvullend 1</w:t>
            </w:r>
          </w:p>
        </w:tc>
        <w:tc>
          <w:tcPr>
            <w:tcW w:type="dxa" w:w="1881"/>
            <w:noWrap w:val="false"/>
          </w:tcPr>
          <w:p>
            <w:r/>
            <w:r>
              <w:rPr>
                <w:rFonts w:ascii="Calibri" w:hAnsi="Calibri"/>
                <w:sz w:val="18"/>
              </w:rPr>
              <w:t>Aanvullende eis voor ADR-klasse 4.3 VG II en III: naast het basisveiligheidsniveau gelden extra maatregelen afhankelijk van de hoeveelheid en de reactieve eigenschappen van de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 D11</w:t>
            </w:r>
          </w:p>
        </w:tc>
      </w:tr>
      <w:tr>
        <w:tc>
          <w:tcPr>
            <w:tcW w:type="dxa" w:w="1881"/>
            <w:noWrap w:val="false"/>
          </w:tcPr>
          <w:p>
            <w:r/>
            <w:r>
              <w:rPr>
                <w:rFonts w:ascii="Calibri" w:hAnsi="Calibri"/>
                <w:sz w:val="18"/>
              </w:rPr>
              <w:t>M6</w:t>
            </w:r>
          </w:p>
        </w:tc>
        <w:tc>
          <w:tcPr>
            <w:tcW w:type="dxa" w:w="1881"/>
            <w:noWrap w:val="false"/>
          </w:tcPr>
          <w:p>
            <w:r/>
            <w:r>
              <w:rPr>
                <w:rFonts w:ascii="Calibri" w:hAnsi="Calibri"/>
                <w:sz w:val="18"/>
              </w:rPr>
              <w:t>Vereist veiligheidsniveau ADR-klasse 4.3 VG II en III - aanvullend 2</w:t>
            </w:r>
          </w:p>
        </w:tc>
        <w:tc>
          <w:tcPr>
            <w:tcW w:type="dxa" w:w="1881"/>
            <w:noWrap w:val="false"/>
          </w:tcPr>
          <w:p>
            <w:r/>
            <w:r>
              <w:rPr>
                <w:rFonts w:ascii="Calibri" w:hAnsi="Calibri"/>
                <w:sz w:val="18"/>
              </w:rPr>
              <w:t>Tweede aanvullende eis voor ADR-klasse 4.3 VG II en III: wanneer de stoffen in grotere hoeveelheden worden opgeslagen, gelden strengere veiligheidseisen inclusief specifieke scheidingseisen.</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D10, D11</w:t>
            </w:r>
          </w:p>
        </w:tc>
      </w:tr>
      <w:tr>
        <w:tc>
          <w:tcPr>
            <w:tcW w:type="dxa" w:w="1881"/>
            <w:noWrap w:val="false"/>
          </w:tcPr>
          <w:p>
            <w:r/>
            <w:r>
              <w:rPr>
                <w:rFonts w:ascii="Calibri" w:hAnsi="Calibri"/>
                <w:sz w:val="18"/>
              </w:rPr>
              <w:t>M7</w:t>
            </w:r>
          </w:p>
        </w:tc>
        <w:tc>
          <w:tcPr>
            <w:tcW w:type="dxa" w:w="1881"/>
            <w:noWrap w:val="false"/>
          </w:tcPr>
          <w:p>
            <w:r/>
            <w:r>
              <w:rPr>
                <w:rFonts w:ascii="Calibri" w:hAnsi="Calibri"/>
                <w:sz w:val="18"/>
              </w:rPr>
              <w:t>Binnenopslag gasflessen tot 250 l</w:t>
            </w:r>
          </w:p>
        </w:tc>
        <w:tc>
          <w:tcPr>
            <w:tcW w:type="dxa" w:w="1881"/>
            <w:noWrap w:val="false"/>
          </w:tcPr>
          <w:p>
            <w:r/>
            <w:r>
              <w:rPr>
                <w:rFonts w:ascii="Calibri" w:hAnsi="Calibri"/>
                <w:sz w:val="18"/>
              </w:rPr>
              <w:t>Gasflessen met een waterinhoud tot 250 l worden opgeslagen in een opslagvoorziening die voldoet aan de eisen voor binnenopslag, inclusief voldoende ventilatie en bescherming tegen hittebronnen.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M8</w:t>
            </w:r>
          </w:p>
        </w:tc>
        <w:tc>
          <w:tcPr>
            <w:tcW w:type="dxa" w:w="1881"/>
            <w:noWrap w:val="false"/>
          </w:tcPr>
          <w:p>
            <w:r/>
            <w:r>
              <w:rPr>
                <w:rFonts w:ascii="Calibri" w:hAnsi="Calibri"/>
                <w:sz w:val="18"/>
              </w:rPr>
              <w:t>Binnenopslag gasflessen vanaf 250 l</w:t>
            </w:r>
          </w:p>
        </w:tc>
        <w:tc>
          <w:tcPr>
            <w:tcW w:type="dxa" w:w="1881"/>
            <w:noWrap w:val="false"/>
          </w:tcPr>
          <w:p>
            <w:r/>
            <w:r>
              <w:rPr>
                <w:rFonts w:ascii="Calibri" w:hAnsi="Calibri"/>
                <w:sz w:val="18"/>
              </w:rPr>
              <w:t>Gasflessen met een waterinhoud vanaf 250 l worden opgeslagen volgens strengere eisen voor binnenopslag, inclusief specifieke eisen aan ventilatie, brandwerendheid en scheiding van andere gevaarlijke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M9</w:t>
            </w:r>
          </w:p>
        </w:tc>
        <w:tc>
          <w:tcPr>
            <w:tcW w:type="dxa" w:w="1881"/>
            <w:noWrap w:val="false"/>
          </w:tcPr>
          <w:p>
            <w:r/>
            <w:r>
              <w:rPr>
                <w:rFonts w:ascii="Calibri" w:hAnsi="Calibri"/>
                <w:sz w:val="18"/>
              </w:rPr>
              <w:t>Gasflessen met medische of medicinale gassen</w:t>
            </w:r>
          </w:p>
        </w:tc>
        <w:tc>
          <w:tcPr>
            <w:tcW w:type="dxa" w:w="1881"/>
            <w:noWrap w:val="false"/>
          </w:tcPr>
          <w:p>
            <w:r/>
            <w:r>
              <w:rPr>
                <w:rFonts w:ascii="Calibri" w:hAnsi="Calibri"/>
                <w:sz w:val="18"/>
              </w:rPr>
              <w:t>Gasflessen met medische of medicinale gassen worden apart opgeslagen van andere gevaarlijke stoffen en zijn duidelijk gemarkeerd als medische gassen, conform de specifieke eisen voor deze categorie.</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M10</w:t>
            </w:r>
          </w:p>
        </w:tc>
        <w:tc>
          <w:tcPr>
            <w:tcW w:type="dxa" w:w="1881"/>
            <w:noWrap w:val="false"/>
          </w:tcPr>
          <w:p>
            <w:r/>
            <w:r>
              <w:rPr>
                <w:rFonts w:ascii="Calibri" w:hAnsi="Calibri"/>
                <w:sz w:val="18"/>
              </w:rPr>
              <w:t>Speciale gasmengsels voor kalibratie-/laboratoriumdoeleinden</w:t>
            </w:r>
          </w:p>
        </w:tc>
        <w:tc>
          <w:tcPr>
            <w:tcW w:type="dxa" w:w="1881"/>
            <w:noWrap w:val="false"/>
          </w:tcPr>
          <w:p>
            <w:r/>
            <w:r>
              <w:rPr>
                <w:rFonts w:ascii="Calibri" w:hAnsi="Calibri"/>
                <w:sz w:val="18"/>
              </w:rPr>
              <w:t>Speciale gasmengsels voor kalibratie- of laboratoriumdoeleinden mogen in beperkte hoeveelheden worden opgeslagen, mits de verpakking intact is en de stoffen gescheiden worden opgeslagen van onverenigbare combinaties.</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M11</w:t>
            </w:r>
          </w:p>
        </w:tc>
        <w:tc>
          <w:tcPr>
            <w:tcW w:type="dxa" w:w="1881"/>
            <w:noWrap w:val="false"/>
          </w:tcPr>
          <w:p>
            <w:r/>
            <w:r>
              <w:rPr>
                <w:rFonts w:ascii="Calibri" w:hAnsi="Calibri"/>
                <w:sz w:val="18"/>
              </w:rPr>
              <w:t>Uitsluitend opslag volgens Wet vervoer gevaarlijke stoffen</w:t>
            </w:r>
          </w:p>
        </w:tc>
        <w:tc>
          <w:tcPr>
            <w:tcW w:type="dxa" w:w="1881"/>
            <w:noWrap w:val="false"/>
          </w:tcPr>
          <w:p>
            <w:r/>
            <w:r>
              <w:rPr>
                <w:rFonts w:ascii="Calibri" w:hAnsi="Calibri"/>
                <w:sz w:val="18"/>
              </w:rPr>
              <w:t>Stoffen die uitsluitend onder het regime van de Wet vervoer gevaarlijke stoffen vallen, mogen worden opgeslagen indien wordt voldaan aan de specifieke eisen van die wetgeving.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M12</w:t>
            </w:r>
          </w:p>
        </w:tc>
        <w:tc>
          <w:tcPr>
            <w:tcW w:type="dxa" w:w="1881"/>
            <w:noWrap w:val="false"/>
          </w:tcPr>
          <w:p>
            <w:r/>
            <w:r>
              <w:rPr>
                <w:rFonts w:ascii="Calibri" w:hAnsi="Calibri"/>
                <w:sz w:val="18"/>
              </w:rPr>
              <w:t>Opslag (tank)containers en parkeren vervoerseenheden</w:t>
            </w:r>
          </w:p>
        </w:tc>
        <w:tc>
          <w:tcPr>
            <w:tcW w:type="dxa" w:w="1881"/>
            <w:noWrap w:val="false"/>
          </w:tcPr>
          <w:p>
            <w:r/>
            <w:r>
              <w:rPr>
                <w:rFonts w:ascii="Calibri" w:hAnsi="Calibri"/>
                <w:sz w:val="18"/>
              </w:rPr>
              <w:t>(Tank)containers en geparkeerde vervoerseenheden met gevaarlijke stoffen worden opgeslagen op een daarvoor bestemde locatie die voldoet aan de eisen voor (tank)containeropslag uit deze richtlijn.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M13</w:t>
            </w:r>
          </w:p>
        </w:tc>
        <w:tc>
          <w:tcPr>
            <w:tcW w:type="dxa" w:w="1881"/>
            <w:noWrap w:val="false"/>
          </w:tcPr>
          <w:p>
            <w:r/>
            <w:r>
              <w:rPr>
                <w:rFonts w:ascii="Calibri" w:hAnsi="Calibri"/>
                <w:sz w:val="18"/>
              </w:rPr>
              <w:t>Opslag ADR-klasse 6.2 cat. I1 en I2</w:t>
            </w:r>
          </w:p>
        </w:tc>
        <w:tc>
          <w:tcPr>
            <w:tcW w:type="dxa" w:w="1881"/>
            <w:noWrap w:val="false"/>
          </w:tcPr>
          <w:p>
            <w:r/>
            <w:r>
              <w:rPr>
                <w:rFonts w:ascii="Calibri" w:hAnsi="Calibri"/>
                <w:sz w:val="18"/>
              </w:rPr>
              <w:t>Stoffen van ADR-klasse 6.2 categorie I1 en I2 (infectieuze stoffen) worden opgeslagen volgens specifieke hygiëne- en veiligheidseisen, inclusief gescheiden opslag van andere gevaarlijke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w:t>
            </w:r>
          </w:p>
        </w:tc>
      </w:tr>
      <w:tr>
        <w:tc>
          <w:tcPr>
            <w:tcW w:type="dxa" w:w="1881"/>
            <w:noWrap w:val="false"/>
          </w:tcPr>
          <w:p>
            <w:r/>
            <w:r>
              <w:rPr>
                <w:rFonts w:ascii="Calibri" w:hAnsi="Calibri"/>
                <w:sz w:val="18"/>
              </w:rPr>
              <w:t>M14</w:t>
            </w:r>
          </w:p>
        </w:tc>
        <w:tc>
          <w:tcPr>
            <w:tcW w:type="dxa" w:w="1881"/>
            <w:noWrap w:val="false"/>
          </w:tcPr>
          <w:p>
            <w:r/>
            <w:r>
              <w:rPr>
                <w:rFonts w:ascii="Calibri" w:hAnsi="Calibri"/>
                <w:sz w:val="18"/>
              </w:rPr>
              <w:t>Werkvoorraad</w:t>
            </w:r>
          </w:p>
        </w:tc>
        <w:tc>
          <w:tcPr>
            <w:tcW w:type="dxa" w:w="1881"/>
            <w:noWrap w:val="false"/>
          </w:tcPr>
          <w:p>
            <w:r/>
            <w:r>
              <w:rPr>
                <w:rFonts w:ascii="Calibri" w:hAnsi="Calibri"/>
                <w:sz w:val="18"/>
              </w:rPr>
              <w:t>Een werkvoorraad is een beperkte hoeveelheid gevaarlijke stoffen die noodzakelijk is voor de directe werkzaamheden. De werkvoorraad is beperkt tot maximaal de hoeveelheid voor één werkdag en wordt veilig opgeslagen.</w:t>
            </w:r>
          </w:p>
        </w:tc>
        <w:tc>
          <w:tcPr>
            <w:tcW w:type="dxa" w:w="1881"/>
            <w:noWrap w:val="false"/>
          </w:tcPr>
          <w:p>
            <w:r/>
            <w:r>
              <w:rPr>
                <w:rFonts w:ascii="Calibri" w:hAnsi="Calibri"/>
                <w:sz w:val="18"/>
              </w:rPr>
              <w:t>Basis</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M15</w:t>
            </w:r>
          </w:p>
        </w:tc>
        <w:tc>
          <w:tcPr>
            <w:tcW w:type="dxa" w:w="1881"/>
            <w:noWrap w:val="false"/>
          </w:tcPr>
          <w:p>
            <w:r/>
            <w:r>
              <w:rPr>
                <w:rFonts w:ascii="Calibri" w:hAnsi="Calibri"/>
                <w:sz w:val="18"/>
              </w:rPr>
              <w:t>Maximale omvang van opslagvoorziening</w:t>
            </w:r>
          </w:p>
        </w:tc>
        <w:tc>
          <w:tcPr>
            <w:tcW w:type="dxa" w:w="1881"/>
            <w:noWrap w:val="false"/>
          </w:tcPr>
          <w:p>
            <w:r/>
            <w:r>
              <w:rPr>
                <w:rFonts w:ascii="Calibri" w:hAnsi="Calibri"/>
                <w:sz w:val="18"/>
              </w:rPr>
              <w:t>Een opslagvoorziening is een onafhankelijk brandcompartiment. De maximale oppervlakte is 2.500 m² met een blussende VBB-installatie, of 1.000 m² (tot 20.000 kg) respectievelijk 2.500 m² (meer dan 20.000 kg) zonder VBB-installatie.</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M16</w:t>
            </w:r>
          </w:p>
        </w:tc>
        <w:tc>
          <w:tcPr>
            <w:tcW w:type="dxa" w:w="1881"/>
            <w:noWrap w:val="false"/>
          </w:tcPr>
          <w:p>
            <w:r/>
            <w:r>
              <w:rPr>
                <w:rFonts w:ascii="Calibri" w:hAnsi="Calibri"/>
                <w:sz w:val="18"/>
              </w:rPr>
              <w:t>Maximumvloeroppervlakte opslag spuitbussen en gaspatronen</w:t>
            </w:r>
          </w:p>
        </w:tc>
        <w:tc>
          <w:tcPr>
            <w:tcW w:type="dxa" w:w="1881"/>
            <w:noWrap w:val="false"/>
          </w:tcPr>
          <w:p>
            <w:r/>
            <w:r>
              <w:rPr>
                <w:rFonts w:ascii="Calibri" w:hAnsi="Calibri"/>
                <w:sz w:val="18"/>
              </w:rPr>
              <w:t>Het vloeroppervlak voor opslag van spuitbussen of gaspatronen is maximaal 1.900 m² bij veiligheidsniveau A, maximaal 300 m² in een separaat brandcompartiment, of maximaal 100 m² in overige gevallen.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M17</w:t>
            </w:r>
          </w:p>
        </w:tc>
        <w:tc>
          <w:tcPr>
            <w:tcW w:type="dxa" w:w="1881"/>
            <w:noWrap w:val="false"/>
          </w:tcPr>
          <w:p>
            <w:r/>
            <w:r>
              <w:rPr>
                <w:rFonts w:ascii="Calibri" w:hAnsi="Calibri"/>
                <w:sz w:val="18"/>
              </w:rPr>
              <w:t>Opslag op een verdieping</w:t>
            </w:r>
          </w:p>
        </w:tc>
        <w:tc>
          <w:tcPr>
            <w:tcW w:type="dxa" w:w="1881"/>
            <w:noWrap w:val="false"/>
          </w:tcPr>
          <w:p>
            <w:r/>
            <w:r>
              <w:rPr>
                <w:rFonts w:ascii="Calibri" w:hAnsi="Calibri"/>
                <w:sz w:val="18"/>
              </w:rPr>
              <w:t>Op de eerste verdieping is maximaal één opslagruimte met maximaal 2.500 kg. In een kelder en op hogere verdiepingen is dit maximaal 500 kg, tenzij uitsluitend onbrandbare stoffen worden opgeslagen.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M18</w:t>
            </w:r>
          </w:p>
        </w:tc>
        <w:tc>
          <w:tcPr>
            <w:tcW w:type="dxa" w:w="1881"/>
            <w:noWrap w:val="false"/>
          </w:tcPr>
          <w:p>
            <w:r/>
            <w:r>
              <w:rPr>
                <w:rFonts w:ascii="Calibri" w:hAnsi="Calibri"/>
                <w:sz w:val="18"/>
              </w:rPr>
              <w:t>Maximale waterinhoud cilinderpakket</w:t>
            </w:r>
          </w:p>
        </w:tc>
        <w:tc>
          <w:tcPr>
            <w:tcW w:type="dxa" w:w="1881"/>
            <w:noWrap w:val="false"/>
          </w:tcPr>
          <w:p>
            <w:r/>
            <w:r>
              <w:rPr>
                <w:rFonts w:ascii="Calibri" w:hAnsi="Calibri"/>
                <w:sz w:val="18"/>
              </w:rPr>
              <w:t>De totale waterinhoud van een cilinderpakket (gasflessenbatterij) is maximaal 1.000 l voor giftige gassen van ADR-klasse 2 en maximaal 3.000 l in overige gevallen.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M19</w:t>
            </w:r>
          </w:p>
        </w:tc>
        <w:tc>
          <w:tcPr>
            <w:tcW w:type="dxa" w:w="1881"/>
            <w:noWrap w:val="false"/>
          </w:tcPr>
          <w:p>
            <w:r/>
            <w:r>
              <w:rPr>
                <w:rFonts w:ascii="Calibri" w:hAnsi="Calibri"/>
                <w:sz w:val="18"/>
              </w:rPr>
              <w:t>Maximale opslaghoeveelheid organische peroxiden</w:t>
            </w:r>
          </w:p>
        </w:tc>
        <w:tc>
          <w:tcPr>
            <w:tcW w:type="dxa" w:w="1881"/>
            <w:noWrap w:val="false"/>
          </w:tcPr>
          <w:p>
            <w:r/>
            <w:r>
              <w:rPr>
                <w:rFonts w:ascii="Calibri" w:hAnsi="Calibri"/>
                <w:sz w:val="18"/>
              </w:rPr>
              <w:t>Het opslaan van maximaal 1.000 kg organische peroxiden per opslagvoorziening is toegelaten als deze verpakt zijn als limited quantities (LQ) volgens hoofdstuk 3.4 van het ADR.</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w:t>
            </w:r>
          </w:p>
        </w:tc>
      </w:tr>
      <w:tr>
        <w:tc>
          <w:tcPr>
            <w:tcW w:type="dxa" w:w="1881"/>
            <w:noWrap w:val="false"/>
          </w:tcPr>
          <w:p>
            <w:r/>
            <w:r>
              <w:rPr>
                <w:rFonts w:ascii="Calibri" w:hAnsi="Calibri"/>
                <w:sz w:val="18"/>
              </w:rPr>
              <w:t>M20</w:t>
            </w:r>
          </w:p>
        </w:tc>
        <w:tc>
          <w:tcPr>
            <w:tcW w:type="dxa" w:w="1881"/>
            <w:noWrap w:val="false"/>
          </w:tcPr>
          <w:p>
            <w:r/>
            <w:r>
              <w:rPr>
                <w:rFonts w:ascii="Calibri" w:hAnsi="Calibri"/>
                <w:sz w:val="18"/>
              </w:rPr>
              <w:t>Lege en ongereinigde verpakkingen</w:t>
            </w:r>
          </w:p>
        </w:tc>
        <w:tc>
          <w:tcPr>
            <w:tcW w:type="dxa" w:w="1881"/>
            <w:noWrap w:val="false"/>
          </w:tcPr>
          <w:p>
            <w:r/>
            <w:r>
              <w:rPr>
                <w:rFonts w:ascii="Calibri" w:hAnsi="Calibri"/>
                <w:sz w:val="18"/>
              </w:rPr>
              <w:t>Voor lege, ongereinigde verpakkingen van ADR-klasse 3 en 6.1 gelden alle relevante maatregelen uit deze richtlijn, behalve M30 en M35. Voor andere klassen gelden specifieke voorwaarden waaronder dedicated opslag in vakken tot 300 m².</w:t>
            </w:r>
          </w:p>
        </w:tc>
        <w:tc>
          <w:tcPr>
            <w:tcW w:type="dxa" w:w="1881"/>
            <w:noWrap w:val="false"/>
          </w:tcPr>
          <w:p>
            <w:r/>
            <w:r>
              <w:rPr>
                <w:rFonts w:ascii="Calibri" w:hAnsi="Calibri"/>
                <w:sz w:val="18"/>
              </w:rPr>
              <w:t>Basis</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M21</w:t>
            </w:r>
          </w:p>
        </w:tc>
        <w:tc>
          <w:tcPr>
            <w:tcW w:type="dxa" w:w="1881"/>
            <w:noWrap w:val="false"/>
          </w:tcPr>
          <w:p>
            <w:r/>
            <w:r>
              <w:rPr>
                <w:rFonts w:ascii="Calibri" w:hAnsi="Calibri"/>
                <w:sz w:val="18"/>
              </w:rPr>
              <w:t>Wbdbo</w:t>
            </w:r>
          </w:p>
        </w:tc>
        <w:tc>
          <w:tcPr>
            <w:tcW w:type="dxa" w:w="1881"/>
            <w:noWrap w:val="false"/>
          </w:tcPr>
          <w:p>
            <w:r/>
            <w:r>
              <w:rPr>
                <w:rFonts w:ascii="Calibri" w:hAnsi="Calibri"/>
                <w:sz w:val="18"/>
              </w:rPr>
              <w:t>De Wbdbo tussen een opslagvoorziening en andere ruimten, brandbare objecten of locatiegrenzen bedraagt ten minste 60 min of 90 min, afhankelijk van de opgeslagen hoeveelheden en het veiligheidsniveau, bepaald volgens NEN 6068.</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M22</w:t>
            </w:r>
          </w:p>
        </w:tc>
        <w:tc>
          <w:tcPr>
            <w:tcW w:type="dxa" w:w="1881"/>
            <w:noWrap w:val="false"/>
          </w:tcPr>
          <w:p>
            <w:r/>
            <w:r>
              <w:rPr>
                <w:rFonts w:ascii="Calibri" w:hAnsi="Calibri"/>
                <w:sz w:val="18"/>
              </w:rPr>
              <w:t>Wbdbo bij de plaatsing van gasflessen tegen de gevelwand</w:t>
            </w:r>
          </w:p>
        </w:tc>
        <w:tc>
          <w:tcPr>
            <w:tcW w:type="dxa" w:w="1881"/>
            <w:noWrap w:val="false"/>
          </w:tcPr>
          <w:p>
            <w:r/>
            <w:r>
              <w:rPr>
                <w:rFonts w:ascii="Calibri" w:hAnsi="Calibri"/>
                <w:sz w:val="18"/>
              </w:rPr>
              <w:t>Gasflessen tegen een gevelwand vereisen een Wbdbo van ten minste 60 min tot 4 m hoogte en 2 m aan weerszijden. Bij niet-voldoen zijn aanvullende maatregelen nodig zoals zijmuren of een dakconstructie (bushokje).</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M23</w:t>
            </w:r>
          </w:p>
        </w:tc>
        <w:tc>
          <w:tcPr>
            <w:tcW w:type="dxa" w:w="1881"/>
            <w:noWrap w:val="false"/>
          </w:tcPr>
          <w:p>
            <w:r/>
            <w:r>
              <w:rPr>
                <w:rFonts w:ascii="Calibri" w:hAnsi="Calibri"/>
                <w:sz w:val="18"/>
              </w:rPr>
              <w:t>Voorkomen van escalatie naar naastgelegen opslagvoorziening</w:t>
            </w:r>
          </w:p>
        </w:tc>
        <w:tc>
          <w:tcPr>
            <w:tcW w:type="dxa" w:w="1881"/>
            <w:noWrap w:val="false"/>
          </w:tcPr>
          <w:p>
            <w:r/>
            <w:r>
              <w:rPr>
                <w:rFonts w:ascii="Calibri" w:hAnsi="Calibri"/>
                <w:sz w:val="18"/>
              </w:rPr>
              <w:t>Wanneer meerdere opslagvoorzieningen naast of boven elkaar liggen, mogen incidenten zich niet verplaatsen naar aangrenzende opslagvoorzieningen. Dit geldt niet voor dedicated opslag van onbrandbare stoffen van ADR-klasse 8 en 9.</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 D7</w:t>
            </w:r>
          </w:p>
        </w:tc>
      </w:tr>
      <w:tr>
        <w:tc>
          <w:tcPr>
            <w:tcW w:type="dxa" w:w="1881"/>
            <w:noWrap w:val="false"/>
          </w:tcPr>
          <w:p>
            <w:r/>
            <w:r>
              <w:rPr>
                <w:rFonts w:ascii="Calibri" w:hAnsi="Calibri"/>
                <w:sz w:val="18"/>
              </w:rPr>
              <w:t>M24</w:t>
            </w:r>
          </w:p>
        </w:tc>
        <w:tc>
          <w:tcPr>
            <w:tcW w:type="dxa" w:w="1881"/>
            <w:noWrap w:val="false"/>
          </w:tcPr>
          <w:p>
            <w:r/>
            <w:r>
              <w:rPr>
                <w:rFonts w:ascii="Calibri" w:hAnsi="Calibri"/>
                <w:sz w:val="18"/>
              </w:rPr>
              <w:t>Brandwerendheid van een draagconstructie</w:t>
            </w:r>
          </w:p>
        </w:tc>
        <w:tc>
          <w:tcPr>
            <w:tcW w:type="dxa" w:w="1881"/>
            <w:noWrap w:val="false"/>
          </w:tcPr>
          <w:p>
            <w:r/>
            <w:r>
              <w:rPr>
                <w:rFonts w:ascii="Calibri" w:hAnsi="Calibri"/>
                <w:sz w:val="18"/>
              </w:rPr>
              <w:t>De brandwerendheid tot bezwijken van de draagconstructie is ten minste gelijk aan de Wbdbo-waarde. Bij meer dan 2.500 kg gelden voor boven- en onderliggende constructies dezelfde brandwerendheidseisen.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M25</w:t>
            </w:r>
          </w:p>
        </w:tc>
        <w:tc>
          <w:tcPr>
            <w:tcW w:type="dxa" w:w="1881"/>
            <w:noWrap w:val="false"/>
          </w:tcPr>
          <w:p>
            <w:r/>
            <w:r>
              <w:rPr>
                <w:rFonts w:ascii="Calibri" w:hAnsi="Calibri"/>
                <w:sz w:val="18"/>
              </w:rPr>
              <w:t>Criteria brandwerendheid</w:t>
            </w:r>
          </w:p>
        </w:tc>
        <w:tc>
          <w:tcPr>
            <w:tcW w:type="dxa" w:w="1881"/>
            <w:noWrap w:val="false"/>
          </w:tcPr>
          <w:p>
            <w:r/>
            <w:r>
              <w:rPr>
                <w:rFonts w:ascii="Calibri" w:hAnsi="Calibri"/>
                <w:sz w:val="18"/>
              </w:rPr>
              <w:t>Voor brandwerendheid gelden NEN 6069-criteria: R voor draagconstructies, REI voor dragende wanden en vloeren, RE voor daken, EI voor niet-dragende wanden en EI1 voor deuren.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M26</w:t>
            </w:r>
          </w:p>
        </w:tc>
        <w:tc>
          <w:tcPr>
            <w:tcW w:type="dxa" w:w="1881"/>
            <w:noWrap w:val="false"/>
          </w:tcPr>
          <w:p>
            <w:r/>
            <w:r>
              <w:rPr>
                <w:rFonts w:ascii="Calibri" w:hAnsi="Calibri"/>
                <w:sz w:val="18"/>
              </w:rPr>
              <w:t>Afdekking draagconstructie, wanden en dak</w:t>
            </w:r>
          </w:p>
        </w:tc>
        <w:tc>
          <w:tcPr>
            <w:tcW w:type="dxa" w:w="1881"/>
            <w:noWrap w:val="false"/>
          </w:tcPr>
          <w:p>
            <w:r/>
            <w:r>
              <w:rPr>
                <w:rFonts w:ascii="Calibri" w:hAnsi="Calibri"/>
                <w:sz w:val="18"/>
              </w:rPr>
              <w:t>De noodzakelijke afdekking van draagconstructie, wanden en dak voldoet aan brandklasse A2 (volledige diepte) of A1 (eerste 10 mm) volgens NEN-EN 13501-1. Voor vloeren geldt A2fl respectievelijk A1fl.</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M27</w:t>
            </w:r>
          </w:p>
        </w:tc>
        <w:tc>
          <w:tcPr>
            <w:tcW w:type="dxa" w:w="1881"/>
            <w:noWrap w:val="false"/>
          </w:tcPr>
          <w:p>
            <w:r/>
            <w:r>
              <w:rPr>
                <w:rFonts w:ascii="Calibri" w:hAnsi="Calibri"/>
                <w:sz w:val="18"/>
              </w:rPr>
              <w:t>Constructie van een dak</w:t>
            </w:r>
          </w:p>
        </w:tc>
        <w:tc>
          <w:tcPr>
            <w:tcW w:type="dxa" w:w="1881"/>
            <w:noWrap w:val="false"/>
          </w:tcPr>
          <w:p>
            <w:r/>
            <w:r>
              <w:rPr>
                <w:rFonts w:ascii="Calibri" w:hAnsi="Calibri"/>
                <w:sz w:val="18"/>
              </w:rPr>
              <w:t>Het dak van een opslagvoorziening bestaat uit niet-brandgevaarlijk materiaal volgens NEN 6063, om te voorkomen dat het dak gemakkelijk in brand raakt door vliegvuur vanuit de omgeving.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M28</w:t>
            </w:r>
          </w:p>
        </w:tc>
        <w:tc>
          <w:tcPr>
            <w:tcW w:type="dxa" w:w="1881"/>
            <w:noWrap w:val="false"/>
          </w:tcPr>
          <w:p>
            <w:r/>
            <w:r>
              <w:rPr>
                <w:rFonts w:ascii="Calibri" w:hAnsi="Calibri"/>
                <w:sz w:val="18"/>
              </w:rPr>
              <w:t>Eisen aan ondergrond (tank)containers</w:t>
            </w:r>
          </w:p>
        </w:tc>
        <w:tc>
          <w:tcPr>
            <w:tcW w:type="dxa" w:w="1881"/>
            <w:noWrap w:val="false"/>
          </w:tcPr>
          <w:p>
            <w:r/>
            <w:r>
              <w:rPr>
                <w:rFonts w:ascii="Calibri" w:hAnsi="Calibri"/>
                <w:sz w:val="18"/>
              </w:rPr>
              <w:t>De vloer waar (tank)containers worden opgeslagen is vervaardigd van onbrandbaar materiaal, heeft voldoende stabiliteit en is geëgaliseerd om veilige opslag te waarborgen.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D9</w:t>
            </w:r>
          </w:p>
        </w:tc>
      </w:tr>
      <w:tr>
        <w:tc>
          <w:tcPr>
            <w:tcW w:type="dxa" w:w="1881"/>
            <w:noWrap w:val="false"/>
          </w:tcPr>
          <w:p>
            <w:r/>
            <w:r>
              <w:rPr>
                <w:rFonts w:ascii="Calibri" w:hAnsi="Calibri"/>
                <w:sz w:val="18"/>
              </w:rPr>
              <w:t>M29</w:t>
            </w:r>
          </w:p>
        </w:tc>
        <w:tc>
          <w:tcPr>
            <w:tcW w:type="dxa" w:w="1881"/>
            <w:noWrap w:val="false"/>
          </w:tcPr>
          <w:p>
            <w:r/>
            <w:r>
              <w:rPr>
                <w:rFonts w:ascii="Calibri" w:hAnsi="Calibri"/>
                <w:sz w:val="18"/>
              </w:rPr>
              <w:t>Voorkomen van een verspreiding van een lekkage</w:t>
            </w:r>
          </w:p>
        </w:tc>
        <w:tc>
          <w:tcPr>
            <w:tcW w:type="dxa" w:w="1881"/>
            <w:noWrap w:val="false"/>
          </w:tcPr>
          <w:p>
            <w:r/>
            <w:r>
              <w:rPr>
                <w:rFonts w:ascii="Calibri" w:hAnsi="Calibri"/>
                <w:sz w:val="18"/>
              </w:rPr>
              <w:t>In de vloer van een opslagvoorziening zitten geen openingen met directe verbinding naar riolering of oppervlaktewater. Bij (tank)containers zijn maatregelen aanwezig om lekkageverspreiding via water of riool te voorkomen.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D7</w:t>
            </w:r>
          </w:p>
        </w:tc>
      </w:tr>
      <w:tr>
        <w:tc>
          <w:tcPr>
            <w:tcW w:type="dxa" w:w="1881"/>
            <w:noWrap w:val="false"/>
          </w:tcPr>
          <w:p>
            <w:r/>
            <w:r>
              <w:rPr>
                <w:rFonts w:ascii="Calibri" w:hAnsi="Calibri"/>
                <w:sz w:val="18"/>
              </w:rPr>
              <w:t>M30</w:t>
            </w:r>
          </w:p>
        </w:tc>
        <w:tc>
          <w:tcPr>
            <w:tcW w:type="dxa" w:w="1881"/>
            <w:noWrap w:val="false"/>
          </w:tcPr>
          <w:p>
            <w:r/>
            <w:r>
              <w:rPr>
                <w:rFonts w:ascii="Calibri" w:hAnsi="Calibri"/>
                <w:sz w:val="18"/>
              </w:rPr>
              <w:t>Opvangvoorziening</w:t>
            </w:r>
          </w:p>
        </w:tc>
        <w:tc>
          <w:tcPr>
            <w:tcW w:type="dxa" w:w="1881"/>
            <w:noWrap w:val="false"/>
          </w:tcPr>
          <w:p>
            <w:r/>
            <w:r>
              <w:rPr>
                <w:rFonts w:ascii="Calibri" w:hAnsi="Calibri"/>
                <w:sz w:val="18"/>
              </w:rPr>
              <w:t>Een opslagvoorziening heeft een opvangvoorziening voor gelekte of gemorste gevaarlijke vloeistof met een capaciteit van ten minste 110% van de grootste verpakking of 10% van de totale inhoud. Voor veiligheidsniveau A, B en C geldt Tabel 8.</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D13, D4, D7</w:t>
            </w:r>
          </w:p>
        </w:tc>
      </w:tr>
      <w:tr>
        <w:tc>
          <w:tcPr>
            <w:tcW w:type="dxa" w:w="1881"/>
            <w:noWrap w:val="false"/>
          </w:tcPr>
          <w:p>
            <w:r/>
            <w:r>
              <w:rPr>
                <w:rFonts w:ascii="Calibri" w:hAnsi="Calibri"/>
                <w:sz w:val="18"/>
              </w:rPr>
              <w:t>M31</w:t>
            </w:r>
          </w:p>
        </w:tc>
        <w:tc>
          <w:tcPr>
            <w:tcW w:type="dxa" w:w="1881"/>
            <w:noWrap w:val="false"/>
          </w:tcPr>
          <w:p>
            <w:r/>
            <w:r>
              <w:rPr>
                <w:rFonts w:ascii="Calibri" w:hAnsi="Calibri"/>
                <w:sz w:val="18"/>
              </w:rPr>
              <w:t>Afschot terrein</w:t>
            </w:r>
          </w:p>
        </w:tc>
        <w:tc>
          <w:tcPr>
            <w:tcW w:type="dxa" w:w="1881"/>
            <w:noWrap w:val="false"/>
          </w:tcPr>
          <w:p>
            <w:r/>
            <w:r>
              <w:rPr>
                <w:rFonts w:ascii="Calibri" w:hAnsi="Calibri"/>
                <w:sz w:val="18"/>
              </w:rPr>
              <w:t>Het terreingedeelte voor geparkeerde vervoerseenheden is uitgevoerd met afschot richting een goot of afsluitbaar bedrijfsriool, zodat bij lekkage vloeistof wordt opgevangen en niet onder andere eenheden verspreidt.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D7</w:t>
            </w:r>
          </w:p>
        </w:tc>
      </w:tr>
      <w:tr>
        <w:tc>
          <w:tcPr>
            <w:tcW w:type="dxa" w:w="1881"/>
            <w:noWrap w:val="false"/>
          </w:tcPr>
          <w:p>
            <w:r/>
            <w:r>
              <w:rPr>
                <w:rFonts w:ascii="Calibri" w:hAnsi="Calibri"/>
                <w:sz w:val="18"/>
              </w:rPr>
              <w:t>M32</w:t>
            </w:r>
          </w:p>
        </w:tc>
        <w:tc>
          <w:tcPr>
            <w:tcW w:type="dxa" w:w="1881"/>
            <w:noWrap w:val="false"/>
          </w:tcPr>
          <w:p>
            <w:r/>
            <w:r>
              <w:rPr>
                <w:rFonts w:ascii="Calibri" w:hAnsi="Calibri"/>
                <w:sz w:val="18"/>
              </w:rPr>
              <w:t>Bluswateropvangcapaciteit</w:t>
            </w:r>
          </w:p>
        </w:tc>
        <w:tc>
          <w:tcPr>
            <w:tcW w:type="dxa" w:w="1881"/>
            <w:noWrap w:val="false"/>
          </w:tcPr>
          <w:p>
            <w:r/>
            <w:r>
              <w:rPr>
                <w:rFonts w:ascii="Calibri" w:hAnsi="Calibri"/>
                <w:sz w:val="18"/>
              </w:rPr>
              <w:t>De bluswateropvangcapaciteit voor veiligheidsniveau A wordt bepaald volgens PGS 14. De werkelijke grootte is minimaal 100% (ADR 6.1 en milieugevaarlijk), 50% (ADR 8) of 25% (ADR 3) van de nominale capaciteit.</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D12</w:t>
            </w:r>
          </w:p>
        </w:tc>
      </w:tr>
      <w:tr>
        <w:tc>
          <w:tcPr>
            <w:tcW w:type="dxa" w:w="1881"/>
            <w:noWrap w:val="false"/>
          </w:tcPr>
          <w:p>
            <w:r/>
            <w:r>
              <w:rPr>
                <w:rFonts w:ascii="Calibri" w:hAnsi="Calibri"/>
                <w:sz w:val="18"/>
              </w:rPr>
              <w:t>M33</w:t>
            </w:r>
          </w:p>
        </w:tc>
        <w:tc>
          <w:tcPr>
            <w:tcW w:type="dxa" w:w="1881"/>
            <w:noWrap w:val="false"/>
          </w:tcPr>
          <w:p>
            <w:r/>
            <w:r>
              <w:rPr>
                <w:rFonts w:ascii="Calibri" w:hAnsi="Calibri"/>
                <w:sz w:val="18"/>
              </w:rPr>
              <w:t>Normering en eisen brandveiligheidsopslagkast</w:t>
            </w:r>
          </w:p>
        </w:tc>
        <w:tc>
          <w:tcPr>
            <w:tcW w:type="dxa" w:w="1881"/>
            <w:noWrap w:val="false"/>
          </w:tcPr>
          <w:p>
            <w:r/>
            <w:r>
              <w:rPr>
                <w:rFonts w:ascii="Calibri" w:hAnsi="Calibri"/>
                <w:sz w:val="18"/>
              </w:rPr>
              <w:t>Een brandveiligheidsopslagkast voldoet ten minste aan NEN-EN 14470-1 (eerste gebruik na 1-1-2006) of NEN 2678. Gasflessen-kasten vereisen minimaal 60 min brandwerendheid. Kasten groter dan 250 kg gelden als reguliere opslagvoorziening.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M34</w:t>
            </w:r>
          </w:p>
        </w:tc>
        <w:tc>
          <w:tcPr>
            <w:tcW w:type="dxa" w:w="1881"/>
            <w:noWrap w:val="false"/>
          </w:tcPr>
          <w:p>
            <w:r/>
            <w:r>
              <w:rPr>
                <w:rFonts w:ascii="Calibri" w:hAnsi="Calibri"/>
                <w:sz w:val="18"/>
              </w:rPr>
              <w:t>Productcertificaat brandveiligheidsopslagkast</w:t>
            </w:r>
          </w:p>
        </w:tc>
        <w:tc>
          <w:tcPr>
            <w:tcW w:type="dxa" w:w="1881"/>
            <w:noWrap w:val="false"/>
          </w:tcPr>
          <w:p>
            <w:r/>
            <w:r>
              <w:rPr>
                <w:rFonts w:ascii="Calibri" w:hAnsi="Calibri"/>
                <w:sz w:val="18"/>
              </w:rPr>
              <w:t>Er moet een productcertificaat aanwezig zijn voor de brandveiligheidsopslagkast waaruit blijkt dat deze voldoet aan NEN-EN 14470-1, zichtbaar voor zowel gebruiker als toezichthouders.</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M35</w:t>
            </w:r>
          </w:p>
        </w:tc>
        <w:tc>
          <w:tcPr>
            <w:tcW w:type="dxa" w:w="1881"/>
            <w:noWrap w:val="false"/>
          </w:tcPr>
          <w:p>
            <w:r/>
            <w:r>
              <w:rPr>
                <w:rFonts w:ascii="Calibri" w:hAnsi="Calibri"/>
                <w:sz w:val="18"/>
              </w:rPr>
              <w:t>Onverenigbare combinaties</w:t>
            </w:r>
          </w:p>
        </w:tc>
        <w:tc>
          <w:tcPr>
            <w:tcW w:type="dxa" w:w="1881"/>
            <w:noWrap w:val="false"/>
          </w:tcPr>
          <w:p>
            <w:r/>
            <w:r>
              <w:rPr>
                <w:rFonts w:ascii="Calibri" w:hAnsi="Calibri"/>
                <w:sz w:val="18"/>
              </w:rPr>
              <w:t>Gevaarlijke stoffen die met elkaar gevaarlijke reacties kunnen aangaan (sterke temperatuurs-/drukverhoging of giftigere/brandbaardere gassen) worden gescheiden opgeslagen. Niet van toepassing op LQ- en EQ-verpakkingen.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D13, D4</w:t>
            </w:r>
          </w:p>
        </w:tc>
      </w:tr>
      <w:tr>
        <w:tc>
          <w:tcPr>
            <w:tcW w:type="dxa" w:w="1881"/>
            <w:noWrap w:val="false"/>
          </w:tcPr>
          <w:p>
            <w:r/>
            <w:r>
              <w:rPr>
                <w:rFonts w:ascii="Calibri" w:hAnsi="Calibri"/>
                <w:sz w:val="18"/>
              </w:rPr>
              <w:t>M36</w:t>
            </w:r>
          </w:p>
        </w:tc>
        <w:tc>
          <w:tcPr>
            <w:tcW w:type="dxa" w:w="1881"/>
            <w:noWrap w:val="false"/>
          </w:tcPr>
          <w:p>
            <w:r/>
            <w:r>
              <w:rPr>
                <w:rFonts w:ascii="Calibri" w:hAnsi="Calibri"/>
                <w:sz w:val="18"/>
              </w:rPr>
              <w:t>Gescheiden opslag in stellingen</w:t>
            </w:r>
          </w:p>
        </w:tc>
        <w:tc>
          <w:tcPr>
            <w:tcW w:type="dxa" w:w="1881"/>
            <w:noWrap w:val="false"/>
          </w:tcPr>
          <w:p>
            <w:r/>
            <w:r>
              <w:rPr>
                <w:rFonts w:ascii="Calibri" w:hAnsi="Calibri"/>
                <w:sz w:val="18"/>
              </w:rPr>
              <w:t>Opslag in stellingen voldoet aan de scheidingseisen van M35. Stoffen die met elkaar kunnen reageren mogen niet boven elkaar in stellingen worden geplaatst. Corrosieve stoffen vereisen extra aandacht voor onderliggende verpakkingen.</w:t>
            </w:r>
          </w:p>
        </w:tc>
        <w:tc>
          <w:tcPr>
            <w:tcW w:type="dxa" w:w="1881"/>
            <w:noWrap w:val="false"/>
          </w:tcPr>
          <w:p>
            <w:r/>
            <w:r>
              <w:rPr>
                <w:rFonts w:ascii="Calibri" w:hAnsi="Calibri"/>
                <w:sz w:val="18"/>
              </w:rPr>
              <w:t>Basis</w:t>
            </w:r>
          </w:p>
        </w:tc>
        <w:tc>
          <w:tcPr>
            <w:tcW w:type="dxa" w:w="1881"/>
            <w:noWrap w:val="false"/>
          </w:tcPr>
          <w:p>
            <w:r/>
            <w:r>
              <w:rPr>
                <w:rFonts w:ascii="Calibri" w:hAnsi="Calibri"/>
                <w:sz w:val="18"/>
              </w:rPr>
              <w:t>D3, D4</w:t>
            </w:r>
          </w:p>
        </w:tc>
      </w:tr>
      <w:tr>
        <w:tc>
          <w:tcPr>
            <w:tcW w:type="dxa" w:w="1881"/>
            <w:noWrap w:val="false"/>
          </w:tcPr>
          <w:p>
            <w:r/>
            <w:r>
              <w:rPr>
                <w:rFonts w:ascii="Calibri" w:hAnsi="Calibri"/>
                <w:sz w:val="18"/>
              </w:rPr>
              <w:t>M37</w:t>
            </w:r>
          </w:p>
        </w:tc>
        <w:tc>
          <w:tcPr>
            <w:tcW w:type="dxa" w:w="1881"/>
            <w:noWrap w:val="false"/>
          </w:tcPr>
          <w:p>
            <w:r/>
            <w:r>
              <w:rPr>
                <w:rFonts w:ascii="Calibri" w:hAnsi="Calibri"/>
                <w:sz w:val="18"/>
              </w:rPr>
              <w:t>Gasflessen met gelijksoortige gevaarseigenschappen</w:t>
            </w:r>
          </w:p>
        </w:tc>
        <w:tc>
          <w:tcPr>
            <w:tcW w:type="dxa" w:w="1881"/>
            <w:noWrap w:val="false"/>
          </w:tcPr>
          <w:p>
            <w:r/>
            <w:r>
              <w:rPr>
                <w:rFonts w:ascii="Calibri" w:hAnsi="Calibri"/>
                <w:sz w:val="18"/>
              </w:rPr>
              <w:t>Gasflessen met gassen met gelijksoortige gevaarseigenschappen worden gegroepeerd opgeslagen. Lege gasflessen apart opgeslagen hoeven niet gegroepeerd te worden. Groepering verkleint de kans op verwisseling.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M38</w:t>
            </w:r>
          </w:p>
        </w:tc>
        <w:tc>
          <w:tcPr>
            <w:tcW w:type="dxa" w:w="1881"/>
            <w:noWrap w:val="false"/>
          </w:tcPr>
          <w:p>
            <w:r/>
            <w:r>
              <w:rPr>
                <w:rFonts w:ascii="Calibri" w:hAnsi="Calibri"/>
                <w:sz w:val="18"/>
              </w:rPr>
              <w:t>Afscheiding opslagvoorziening spuitbussen of gaspatronen</w:t>
            </w:r>
          </w:p>
        </w:tc>
        <w:tc>
          <w:tcPr>
            <w:tcW w:type="dxa" w:w="1881"/>
            <w:noWrap w:val="false"/>
          </w:tcPr>
          <w:p>
            <w:r/>
            <w:r>
              <w:rPr>
                <w:rFonts w:ascii="Calibri" w:hAnsi="Calibri"/>
                <w:sz w:val="18"/>
              </w:rPr>
              <w:t>Een opslagvoorziening voor spuitbussen of gaspatronen is voorzien van gaaswerk of andere afscheiding zodat deze de opslag niet kan verlaten. Niet van toepassing bij ruimtevullend blussysteem of brandveiligheidsopslagkasten.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 D3</w:t>
            </w:r>
          </w:p>
        </w:tc>
      </w:tr>
      <w:tr>
        <w:tc>
          <w:tcPr>
            <w:tcW w:type="dxa" w:w="1881"/>
            <w:noWrap w:val="false"/>
          </w:tcPr>
          <w:p>
            <w:r/>
            <w:r>
              <w:rPr>
                <w:rFonts w:ascii="Calibri" w:hAnsi="Calibri"/>
                <w:sz w:val="18"/>
              </w:rPr>
              <w:t>M39</w:t>
            </w:r>
          </w:p>
        </w:tc>
        <w:tc>
          <w:tcPr>
            <w:tcW w:type="dxa" w:w="1881"/>
            <w:noWrap w:val="false"/>
          </w:tcPr>
          <w:p>
            <w:r/>
            <w:r>
              <w:rPr>
                <w:rFonts w:ascii="Calibri" w:hAnsi="Calibri"/>
                <w:sz w:val="18"/>
              </w:rPr>
              <w:t>Plaatsing (tank)containers op basis van ADR-klasse</w:t>
            </w:r>
          </w:p>
        </w:tc>
        <w:tc>
          <w:tcPr>
            <w:tcW w:type="dxa" w:w="1881"/>
            <w:noWrap w:val="false"/>
          </w:tcPr>
          <w:p>
            <w:r/>
            <w:r>
              <w:rPr>
                <w:rFonts w:ascii="Calibri" w:hAnsi="Calibri"/>
                <w:sz w:val="18"/>
              </w:rPr>
              <w:t>(Tank)containers met dezelfde ADR-klasse mogen boven en naast elkaar; verschillende ADR-klassen moeten minimaal 2,5 m (één containerbreedte) gescheiden worden opgeslagen.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D4</w:t>
            </w:r>
          </w:p>
        </w:tc>
      </w:tr>
      <w:tr>
        <w:tc>
          <w:tcPr>
            <w:tcW w:type="dxa" w:w="1881"/>
            <w:noWrap w:val="false"/>
          </w:tcPr>
          <w:p>
            <w:r/>
            <w:r>
              <w:rPr>
                <w:rFonts w:ascii="Calibri" w:hAnsi="Calibri"/>
                <w:sz w:val="18"/>
              </w:rPr>
              <w:t>M40</w:t>
            </w:r>
          </w:p>
        </w:tc>
        <w:tc>
          <w:tcPr>
            <w:tcW w:type="dxa" w:w="1881"/>
            <w:noWrap w:val="false"/>
          </w:tcPr>
          <w:p>
            <w:r/>
            <w:r>
              <w:rPr>
                <w:rFonts w:ascii="Calibri" w:hAnsi="Calibri"/>
                <w:sz w:val="18"/>
              </w:rPr>
              <w:t>Opslag in vakken</w:t>
            </w:r>
          </w:p>
        </w:tc>
        <w:tc>
          <w:tcPr>
            <w:tcW w:type="dxa" w:w="1881"/>
            <w:noWrap w:val="false"/>
          </w:tcPr>
          <w:p>
            <w:r/>
            <w:r>
              <w:rPr>
                <w:rFonts w:ascii="Calibri" w:hAnsi="Calibri"/>
                <w:sz w:val="18"/>
              </w:rPr>
              <w:t>In opslagvoorzieningen met veiligheidsniveau A of B wordt in vakken opgeslagen. Vakken zijn maximaal 300 m², gescheiden door een gangpad van 3,5 m of een scheidingsconstructie met 30 min brandwerendheid.</w:t>
            </w:r>
          </w:p>
        </w:tc>
        <w:tc>
          <w:tcPr>
            <w:tcW w:type="dxa" w:w="1881"/>
            <w:noWrap w:val="false"/>
          </w:tcPr>
          <w:p>
            <w:r/>
            <w:r>
              <w:rPr>
                <w:rFonts w:ascii="Calibri" w:hAnsi="Calibri"/>
                <w:sz w:val="18"/>
              </w:rPr>
              <w:t>A+, B+, Context</w:t>
            </w:r>
          </w:p>
        </w:tc>
        <w:tc>
          <w:tcPr>
            <w:tcW w:type="dxa" w:w="1881"/>
            <w:noWrap w:val="false"/>
          </w:tcPr>
          <w:p>
            <w:r/>
            <w:r>
              <w:rPr>
                <w:rFonts w:ascii="Calibri" w:hAnsi="Calibri"/>
                <w:sz w:val="18"/>
              </w:rPr>
              <w:t>D10, D6</w:t>
            </w:r>
          </w:p>
        </w:tc>
      </w:tr>
      <w:tr>
        <w:tc>
          <w:tcPr>
            <w:tcW w:type="dxa" w:w="1881"/>
            <w:noWrap w:val="false"/>
          </w:tcPr>
          <w:p>
            <w:r/>
            <w:r>
              <w:rPr>
                <w:rFonts w:ascii="Calibri" w:hAnsi="Calibri"/>
                <w:sz w:val="18"/>
              </w:rPr>
              <w:t>M41</w:t>
            </w:r>
          </w:p>
        </w:tc>
        <w:tc>
          <w:tcPr>
            <w:tcW w:type="dxa" w:w="1881"/>
            <w:noWrap w:val="false"/>
          </w:tcPr>
          <w:p>
            <w:r/>
            <w:r>
              <w:rPr>
                <w:rFonts w:ascii="Calibri" w:hAnsi="Calibri"/>
                <w:sz w:val="18"/>
              </w:rPr>
              <w:t>Vakindeling veiligheidsniveau A</w:t>
            </w:r>
          </w:p>
        </w:tc>
        <w:tc>
          <w:tcPr>
            <w:tcW w:type="dxa" w:w="1881"/>
            <w:noWrap w:val="false"/>
          </w:tcPr>
          <w:p>
            <w:r/>
            <w:r>
              <w:rPr>
                <w:rFonts w:ascii="Calibri" w:hAnsi="Calibri"/>
                <w:sz w:val="18"/>
              </w:rPr>
              <w:t>Bij veiligheidsniveau A met blusinstallatie wordt de vakindeling bepaald door het UPD. Bij bedrijfsbrandweer is vakindeling vereist als het scenario dit noodzakelijk maakt. In hoogstapelmagazijnen bepaalt de blusinstallatie de vakindeling.</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D10, D6</w:t>
            </w:r>
          </w:p>
        </w:tc>
      </w:tr>
      <w:tr>
        <w:tc>
          <w:tcPr>
            <w:tcW w:type="dxa" w:w="1881"/>
            <w:noWrap w:val="false"/>
          </w:tcPr>
          <w:p>
            <w:r/>
            <w:r>
              <w:rPr>
                <w:rFonts w:ascii="Calibri" w:hAnsi="Calibri"/>
                <w:sz w:val="18"/>
              </w:rPr>
              <w:t>M42</w:t>
            </w:r>
          </w:p>
        </w:tc>
        <w:tc>
          <w:tcPr>
            <w:tcW w:type="dxa" w:w="1881"/>
            <w:noWrap w:val="false"/>
          </w:tcPr>
          <w:p>
            <w:r/>
            <w:r>
              <w:rPr>
                <w:rFonts w:ascii="Calibri" w:hAnsi="Calibri"/>
                <w:sz w:val="18"/>
              </w:rPr>
              <w:t>Vakindeling veiligheidsniveau B</w:t>
            </w:r>
          </w:p>
        </w:tc>
        <w:tc>
          <w:tcPr>
            <w:tcW w:type="dxa" w:w="1881"/>
            <w:noWrap w:val="false"/>
          </w:tcPr>
          <w:p>
            <w:r/>
            <w:r>
              <w:rPr>
                <w:rFonts w:ascii="Calibri" w:hAnsi="Calibri"/>
                <w:sz w:val="18"/>
              </w:rPr>
              <w:t>Bij veiligheidsniveau B wordt vakindeling toegepast bij meer dan 300 m² brandbare stoffen. Vloeistoffen met vlampunt onder 100°C in niet-metalen verpakking vereisen voorzieningen tegen uitstromen naar aangrenzende vakken.</w:t>
            </w:r>
          </w:p>
        </w:tc>
        <w:tc>
          <w:tcPr>
            <w:tcW w:type="dxa" w:w="1881"/>
            <w:noWrap w:val="false"/>
          </w:tcPr>
          <w:p>
            <w:r/>
            <w:r>
              <w:rPr>
                <w:rFonts w:ascii="Calibri" w:hAnsi="Calibri"/>
                <w:sz w:val="18"/>
              </w:rPr>
              <w:t>B+, Context</w:t>
            </w:r>
          </w:p>
        </w:tc>
        <w:tc>
          <w:tcPr>
            <w:tcW w:type="dxa" w:w="1881"/>
            <w:noWrap w:val="false"/>
          </w:tcPr>
          <w:p>
            <w:r/>
            <w:r>
              <w:rPr>
                <w:rFonts w:ascii="Calibri" w:hAnsi="Calibri"/>
                <w:sz w:val="18"/>
              </w:rPr>
              <w:t>D10, D6</w:t>
            </w:r>
          </w:p>
        </w:tc>
      </w:tr>
      <w:tr>
        <w:tc>
          <w:tcPr>
            <w:tcW w:type="dxa" w:w="1881"/>
            <w:noWrap w:val="false"/>
          </w:tcPr>
          <w:p>
            <w:r/>
            <w:r>
              <w:rPr>
                <w:rFonts w:ascii="Calibri" w:hAnsi="Calibri"/>
                <w:sz w:val="18"/>
              </w:rPr>
              <w:t>M43</w:t>
            </w:r>
          </w:p>
        </w:tc>
        <w:tc>
          <w:tcPr>
            <w:tcW w:type="dxa" w:w="1881"/>
            <w:noWrap w:val="false"/>
          </w:tcPr>
          <w:p>
            <w:r/>
            <w:r>
              <w:rPr>
                <w:rFonts w:ascii="Calibri" w:hAnsi="Calibri"/>
                <w:sz w:val="18"/>
              </w:rPr>
              <w:t>Gescheiden opslag ADR-klasse 4.1 VG II en III</w:t>
            </w:r>
          </w:p>
        </w:tc>
        <w:tc>
          <w:tcPr>
            <w:tcW w:type="dxa" w:w="1881"/>
            <w:noWrap w:val="false"/>
          </w:tcPr>
          <w:p>
            <w:r/>
            <w:r>
              <w:rPr>
                <w:rFonts w:ascii="Calibri" w:hAnsi="Calibri"/>
                <w:sz w:val="18"/>
              </w:rPr>
              <w:t>ADR-klasse 4.1 VG II en III met gevaarsaspecten D of DT mogen alleen met elkaar worden opgeslagen, niet met andere stoffen. Stoffen met gevaarsaspect SR2 worden altijd apart opgeslagen.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w:t>
            </w:r>
          </w:p>
        </w:tc>
      </w:tr>
      <w:tr>
        <w:tc>
          <w:tcPr>
            <w:tcW w:type="dxa" w:w="1881"/>
            <w:noWrap w:val="false"/>
          </w:tcPr>
          <w:p>
            <w:r/>
            <w:r>
              <w:rPr>
                <w:rFonts w:ascii="Calibri" w:hAnsi="Calibri"/>
                <w:sz w:val="18"/>
              </w:rPr>
              <w:t>M44</w:t>
            </w:r>
          </w:p>
        </w:tc>
        <w:tc>
          <w:tcPr>
            <w:tcW w:type="dxa" w:w="1881"/>
            <w:noWrap w:val="false"/>
          </w:tcPr>
          <w:p>
            <w:r/>
            <w:r>
              <w:rPr>
                <w:rFonts w:ascii="Calibri" w:hAnsi="Calibri"/>
                <w:sz w:val="18"/>
              </w:rPr>
              <w:t>Opslag ADR-klasse 4.2 VG III en 4.3 VG III in combinatie met ADR-klasse 3 VGIII</w:t>
            </w:r>
          </w:p>
        </w:tc>
        <w:tc>
          <w:tcPr>
            <w:tcW w:type="dxa" w:w="1881"/>
            <w:noWrap w:val="false"/>
          </w:tcPr>
          <w:p>
            <w:r/>
            <w:r>
              <w:rPr>
                <w:rFonts w:ascii="Calibri" w:hAnsi="Calibri"/>
                <w:sz w:val="18"/>
              </w:rPr>
              <w:t>Bij meer dan 10.000 kg van ADR-klasse 4.2/4.3 VG III gecombineerd met ADR-klasse 3 VG III is veiligheidsniveau A vereist. ADR-klasse 4-stoffen en ADR-klasse 3-stoffen worden 30 min brandwerend gescheiden.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w:t>
            </w:r>
          </w:p>
        </w:tc>
      </w:tr>
      <w:tr>
        <w:tc>
          <w:tcPr>
            <w:tcW w:type="dxa" w:w="1881"/>
            <w:noWrap w:val="false"/>
          </w:tcPr>
          <w:p>
            <w:r/>
            <w:r>
              <w:rPr>
                <w:rFonts w:ascii="Calibri" w:hAnsi="Calibri"/>
                <w:sz w:val="18"/>
              </w:rPr>
              <w:t>M45</w:t>
            </w:r>
          </w:p>
        </w:tc>
        <w:tc>
          <w:tcPr>
            <w:tcW w:type="dxa" w:w="1881"/>
            <w:noWrap w:val="false"/>
          </w:tcPr>
          <w:p>
            <w:r/>
            <w:r>
              <w:rPr>
                <w:rFonts w:ascii="Calibri" w:hAnsi="Calibri"/>
                <w:sz w:val="18"/>
              </w:rPr>
              <w:t>Controle verpakte stoffen in opslagvoorziening</w:t>
            </w:r>
          </w:p>
        </w:tc>
        <w:tc>
          <w:tcPr>
            <w:tcW w:type="dxa" w:w="1881"/>
            <w:noWrap w:val="false"/>
          </w:tcPr>
          <w:p>
            <w:r/>
            <w:r>
              <w:rPr>
                <w:rFonts w:ascii="Calibri" w:hAnsi="Calibri"/>
                <w:sz w:val="18"/>
              </w:rPr>
              <w:t>Verpakte gevaarlijke stoffen worden bij ontvangst en periodiek gecontroleerd op juiste en leesbare gevaarsetiketten, beschadiging en lekkage. De controlefrequentie en registratie van afwijkingen zijn vastgelegd in een procedure.</w:t>
            </w:r>
          </w:p>
        </w:tc>
        <w:tc>
          <w:tcPr>
            <w:tcW w:type="dxa" w:w="1881"/>
            <w:noWrap w:val="false"/>
          </w:tcPr>
          <w:p>
            <w:r/>
            <w:r>
              <w:rPr>
                <w:rFonts w:ascii="Calibri" w:hAnsi="Calibri"/>
                <w:sz w:val="18"/>
              </w:rPr>
              <w:t>Basis</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M46</w:t>
            </w:r>
          </w:p>
        </w:tc>
        <w:tc>
          <w:tcPr>
            <w:tcW w:type="dxa" w:w="1881"/>
            <w:noWrap w:val="false"/>
          </w:tcPr>
          <w:p>
            <w:r/>
            <w:r>
              <w:rPr>
                <w:rFonts w:ascii="Calibri" w:hAnsi="Calibri"/>
                <w:sz w:val="18"/>
              </w:rPr>
              <w:t>Gebruik gemotoriseerde transportmiddelen</w:t>
            </w:r>
          </w:p>
        </w:tc>
        <w:tc>
          <w:tcPr>
            <w:tcW w:type="dxa" w:w="1881"/>
            <w:noWrap w:val="false"/>
          </w:tcPr>
          <w:p>
            <w:r/>
            <w:r>
              <w:rPr>
                <w:rFonts w:ascii="Calibri" w:hAnsi="Calibri"/>
                <w:sz w:val="18"/>
              </w:rPr>
              <w:t>Bewegingen en verblijfsduur van gemotoriseerde transportmiddelen in een opslagvoorziening zijn tot een minimum beperkt en beperken zich tot noodzakelijke werkzaamheden.</w:t>
            </w:r>
          </w:p>
        </w:tc>
        <w:tc>
          <w:tcPr>
            <w:tcW w:type="dxa" w:w="1881"/>
            <w:noWrap w:val="false"/>
          </w:tcPr>
          <w:p>
            <w:r/>
            <w:r>
              <w:rPr>
                <w:rFonts w:ascii="Calibri" w:hAnsi="Calibri"/>
                <w:sz w:val="18"/>
              </w:rPr>
              <w:t>Basis</w:t>
            </w:r>
          </w:p>
        </w:tc>
        <w:tc>
          <w:tcPr>
            <w:tcW w:type="dxa" w:w="1881"/>
            <w:noWrap w:val="false"/>
          </w:tcPr>
          <w:p>
            <w:r/>
            <w:r>
              <w:rPr>
                <w:rFonts w:ascii="Calibri" w:hAnsi="Calibri"/>
                <w:sz w:val="18"/>
              </w:rPr>
              <w:t>D1</w:t>
            </w:r>
          </w:p>
        </w:tc>
      </w:tr>
      <w:tr>
        <w:tc>
          <w:tcPr>
            <w:tcW w:type="dxa" w:w="1881"/>
            <w:noWrap w:val="false"/>
          </w:tcPr>
          <w:p>
            <w:r/>
            <w:r>
              <w:rPr>
                <w:rFonts w:ascii="Calibri" w:hAnsi="Calibri"/>
                <w:sz w:val="18"/>
              </w:rPr>
              <w:t>M47</w:t>
            </w:r>
          </w:p>
        </w:tc>
        <w:tc>
          <w:tcPr>
            <w:tcW w:type="dxa" w:w="1881"/>
            <w:noWrap w:val="false"/>
          </w:tcPr>
          <w:p>
            <w:r/>
            <w:r>
              <w:rPr>
                <w:rFonts w:ascii="Calibri" w:hAnsi="Calibri"/>
                <w:sz w:val="18"/>
              </w:rPr>
              <w:t>Ingangscontrole (tank)containers</w:t>
            </w:r>
          </w:p>
        </w:tc>
        <w:tc>
          <w:tcPr>
            <w:tcW w:type="dxa" w:w="1881"/>
            <w:noWrap w:val="false"/>
          </w:tcPr>
          <w:p>
            <w:r/>
            <w:r>
              <w:rPr>
                <w:rFonts w:ascii="Calibri" w:hAnsi="Calibri"/>
                <w:sz w:val="18"/>
              </w:rPr>
              <w:t>De buitenkant van (tank)containers wordt visueel geïnspecteerd voordat zij in de stapeling worden geplaatst, om lekkages en onregelmatigheden vast te stellen.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M48</w:t>
            </w:r>
          </w:p>
        </w:tc>
        <w:tc>
          <w:tcPr>
            <w:tcW w:type="dxa" w:w="1881"/>
            <w:noWrap w:val="false"/>
          </w:tcPr>
          <w:p>
            <w:r/>
            <w:r>
              <w:rPr>
                <w:rFonts w:ascii="Calibri" w:hAnsi="Calibri"/>
                <w:sz w:val="18"/>
              </w:rPr>
              <w:t>Geschikte verpakking</w:t>
            </w:r>
          </w:p>
        </w:tc>
        <w:tc>
          <w:tcPr>
            <w:tcW w:type="dxa" w:w="1881"/>
            <w:noWrap w:val="false"/>
          </w:tcPr>
          <w:p>
            <w:r/>
            <w:r>
              <w:rPr>
                <w:rFonts w:ascii="Calibri" w:hAnsi="Calibri"/>
                <w:sz w:val="18"/>
              </w:rPr>
              <w:t>De verpakking voldoet aan de volgende voorwaarden: niets kan onvoorzien ontsnappen, het materiaal wordt niet aangetast door de inhoud, en de verpakking is bestand tegen normale behandeling.</w:t>
            </w:r>
          </w:p>
        </w:tc>
        <w:tc>
          <w:tcPr>
            <w:tcW w:type="dxa" w:w="1881"/>
            <w:noWrap w:val="false"/>
          </w:tcPr>
          <w:p>
            <w:r/>
            <w:r>
              <w:rPr>
                <w:rFonts w:ascii="Calibri" w:hAnsi="Calibri"/>
                <w:sz w:val="18"/>
              </w:rPr>
              <w:t>Basis</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M49</w:t>
            </w:r>
          </w:p>
        </w:tc>
        <w:tc>
          <w:tcPr>
            <w:tcW w:type="dxa" w:w="1881"/>
            <w:noWrap w:val="false"/>
          </w:tcPr>
          <w:p>
            <w:r/>
            <w:r>
              <w:rPr>
                <w:rFonts w:ascii="Calibri" w:hAnsi="Calibri"/>
                <w:sz w:val="18"/>
              </w:rPr>
              <w:t>Wijze van opslag van acuut toxische stoffen</w:t>
            </w:r>
          </w:p>
        </w:tc>
        <w:tc>
          <w:tcPr>
            <w:tcW w:type="dxa" w:w="1881"/>
            <w:noWrap w:val="false"/>
          </w:tcPr>
          <w:p>
            <w:r/>
            <w:r>
              <w:rPr>
                <w:rFonts w:ascii="Calibri" w:hAnsi="Calibri"/>
                <w:sz w:val="18"/>
              </w:rPr>
              <w:t>Acuut toxische stoffen en ADR-klasse 6.1 VG I/II zijn uitsluitend in UN-gekeurde verpakkingen aanwezig. Handelingen zijn verboden tenzij noodzakelijk voor logistiek. Opslaghoogte maximaal 1,80 m voor VG I-stoffen.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 D3</w:t>
            </w:r>
          </w:p>
        </w:tc>
      </w:tr>
      <w:tr>
        <w:tc>
          <w:tcPr>
            <w:tcW w:type="dxa" w:w="1881"/>
            <w:noWrap w:val="false"/>
          </w:tcPr>
          <w:p>
            <w:r/>
            <w:r>
              <w:rPr>
                <w:rFonts w:ascii="Calibri" w:hAnsi="Calibri"/>
                <w:sz w:val="18"/>
              </w:rPr>
              <w:t>M50</w:t>
            </w:r>
          </w:p>
        </w:tc>
        <w:tc>
          <w:tcPr>
            <w:tcW w:type="dxa" w:w="1881"/>
            <w:noWrap w:val="false"/>
          </w:tcPr>
          <w:p>
            <w:r/>
            <w:r>
              <w:rPr>
                <w:rFonts w:ascii="Calibri" w:hAnsi="Calibri"/>
                <w:sz w:val="18"/>
              </w:rPr>
              <w:t>Weerbestendige verpakking</w:t>
            </w:r>
          </w:p>
        </w:tc>
        <w:tc>
          <w:tcPr>
            <w:tcW w:type="dxa" w:w="1881"/>
            <w:noWrap w:val="false"/>
          </w:tcPr>
          <w:p>
            <w:r/>
            <w:r>
              <w:rPr>
                <w:rFonts w:ascii="Calibri" w:hAnsi="Calibri"/>
                <w:sz w:val="18"/>
              </w:rPr>
              <w:t>De verpakking van in de buitenlucht opgeslagen gevaarlijke stoffen is bestand tegen weersinvloeden zoals regen, vorst en UV-straling.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M51</w:t>
            </w:r>
          </w:p>
        </w:tc>
        <w:tc>
          <w:tcPr>
            <w:tcW w:type="dxa" w:w="1881"/>
            <w:noWrap w:val="false"/>
          </w:tcPr>
          <w:p>
            <w:r/>
            <w:r>
              <w:rPr>
                <w:rFonts w:ascii="Calibri" w:hAnsi="Calibri"/>
                <w:sz w:val="18"/>
              </w:rPr>
              <w:t>Bescherming tegen inregenen</w:t>
            </w:r>
          </w:p>
        </w:tc>
        <w:tc>
          <w:tcPr>
            <w:tcW w:type="dxa" w:w="1881"/>
            <w:noWrap w:val="false"/>
          </w:tcPr>
          <w:p>
            <w:r/>
            <w:r>
              <w:rPr>
                <w:rFonts w:ascii="Calibri" w:hAnsi="Calibri"/>
                <w:sz w:val="18"/>
              </w:rPr>
              <w:t>Een open container met verpakte gevaarlijke stoffen die niet waterdicht zijn verpakt, is voorzien van bescherming tegen inregenen om aantasting van de verpakking en inhoud te voorkomen.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M52</w:t>
            </w:r>
          </w:p>
        </w:tc>
        <w:tc>
          <w:tcPr>
            <w:tcW w:type="dxa" w:w="1881"/>
            <w:noWrap w:val="false"/>
          </w:tcPr>
          <w:p>
            <w:r/>
            <w:r>
              <w:rPr>
                <w:rFonts w:ascii="Calibri" w:hAnsi="Calibri"/>
                <w:sz w:val="18"/>
              </w:rPr>
              <w:t>Deugdelijke constructie van pallets en maximale stapeling</w:t>
            </w:r>
          </w:p>
        </w:tc>
        <w:tc>
          <w:tcPr>
            <w:tcW w:type="dxa" w:w="1881"/>
            <w:noWrap w:val="false"/>
          </w:tcPr>
          <w:p>
            <w:r/>
            <w:r>
              <w:rPr>
                <w:rFonts w:ascii="Calibri" w:hAnsi="Calibri"/>
                <w:sz w:val="18"/>
              </w:rPr>
              <w:t>Pallets met gevaarlijke stoffen die gestapeld zijn, zijn van een deugdelijke constructie. Per verpakkingstype is een maximale stapeling vastgesteld afhankelijk van gewicht en sterkte van de verpakking.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M53</w:t>
            </w:r>
          </w:p>
        </w:tc>
        <w:tc>
          <w:tcPr>
            <w:tcW w:type="dxa" w:w="1881"/>
            <w:noWrap w:val="false"/>
          </w:tcPr>
          <w:p>
            <w:r/>
            <w:r>
              <w:rPr>
                <w:rFonts w:ascii="Calibri" w:hAnsi="Calibri"/>
                <w:sz w:val="18"/>
              </w:rPr>
              <w:t>Stapelen van verpakte stoffen</w:t>
            </w:r>
          </w:p>
        </w:tc>
        <w:tc>
          <w:tcPr>
            <w:tcW w:type="dxa" w:w="1881"/>
            <w:noWrap w:val="false"/>
          </w:tcPr>
          <w:p>
            <w:r/>
            <w:r>
              <w:rPr>
                <w:rFonts w:ascii="Calibri" w:hAnsi="Calibri"/>
                <w:sz w:val="18"/>
              </w:rPr>
              <w:t>Het stapelen gebeurt volgens de gebruiksaanwijzing van de verpakkingsleverancier, rekening houdend met de sterkte van de (om)verpakking. Breekbare enkelvoudige verpakkingen worden niet gestapeld.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M54</w:t>
            </w:r>
          </w:p>
        </w:tc>
        <w:tc>
          <w:tcPr>
            <w:tcW w:type="dxa" w:w="1881"/>
            <w:noWrap w:val="false"/>
          </w:tcPr>
          <w:p>
            <w:r/>
            <w:r>
              <w:rPr>
                <w:rFonts w:ascii="Calibri" w:hAnsi="Calibri"/>
                <w:sz w:val="18"/>
              </w:rPr>
              <w:t>Wijze van opslaan gasflessen</w:t>
            </w:r>
          </w:p>
        </w:tc>
        <w:tc>
          <w:tcPr>
            <w:tcW w:type="dxa" w:w="1881"/>
            <w:noWrap w:val="false"/>
          </w:tcPr>
          <w:p>
            <w:r/>
            <w:r>
              <w:rPr>
                <w:rFonts w:ascii="Calibri" w:hAnsi="Calibri"/>
                <w:sz w:val="18"/>
              </w:rPr>
              <w:t>Gasflessen worden niet gestapeld tenzij een voorziening dit toelaat. Gasflessen worden staand opgeslagen, behalve lege flessen of flessen in een voorziening die rocketeren voorkomt.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M55</w:t>
            </w:r>
          </w:p>
        </w:tc>
        <w:tc>
          <w:tcPr>
            <w:tcW w:type="dxa" w:w="1881"/>
            <w:noWrap w:val="false"/>
          </w:tcPr>
          <w:p>
            <w:r/>
            <w:r>
              <w:rPr>
                <w:rFonts w:ascii="Calibri" w:hAnsi="Calibri"/>
                <w:sz w:val="18"/>
              </w:rPr>
              <w:t>Stapelen van spuitbussen en gaspatronen</w:t>
            </w:r>
          </w:p>
        </w:tc>
        <w:tc>
          <w:tcPr>
            <w:tcW w:type="dxa" w:w="1881"/>
            <w:noWrap w:val="false"/>
          </w:tcPr>
          <w:p>
            <w:r/>
            <w:r>
              <w:rPr>
                <w:rFonts w:ascii="Calibri" w:hAnsi="Calibri"/>
                <w:sz w:val="18"/>
              </w:rPr>
              <w:t>De stapelhoogte voor spuitbussen en gaspatronen is maximaal 3,60 m zonder stellingen. Bij veiligheidsniveau A geldt de stapelhoogte uit het UPD.</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M56</w:t>
            </w:r>
          </w:p>
        </w:tc>
        <w:tc>
          <w:tcPr>
            <w:tcW w:type="dxa" w:w="1881"/>
            <w:noWrap w:val="false"/>
          </w:tcPr>
          <w:p>
            <w:r/>
            <w:r>
              <w:rPr>
                <w:rFonts w:ascii="Calibri" w:hAnsi="Calibri"/>
                <w:sz w:val="18"/>
              </w:rPr>
              <w:t>Bescherming tegen omvallen gasflessen</w:t>
            </w:r>
          </w:p>
        </w:tc>
        <w:tc>
          <w:tcPr>
            <w:tcW w:type="dxa" w:w="1881"/>
            <w:noWrap w:val="false"/>
          </w:tcPr>
          <w:p>
            <w:r/>
            <w:r>
              <w:rPr>
                <w:rFonts w:ascii="Calibri" w:hAnsi="Calibri"/>
                <w:sz w:val="18"/>
              </w:rPr>
              <w:t>Gasflessen zijn tegen omvallen beschermd door vastzetten met ketting, beugel of spanband. Stabiele cilinders (zoals propaan/butaan) hoeven niet vastgezet. Bij opslag in een vak gelden specifieke beschermingseisen aan drie zijden en voorzijde.</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M57</w:t>
            </w:r>
          </w:p>
        </w:tc>
        <w:tc>
          <w:tcPr>
            <w:tcW w:type="dxa" w:w="1881"/>
            <w:noWrap w:val="false"/>
          </w:tcPr>
          <w:p>
            <w:r/>
            <w:r>
              <w:rPr>
                <w:rFonts w:ascii="Calibri" w:hAnsi="Calibri"/>
                <w:sz w:val="18"/>
              </w:rPr>
              <w:t>Afstand tot dakplaten van verpakte gevaarlijke stoffen</w:t>
            </w:r>
          </w:p>
        </w:tc>
        <w:tc>
          <w:tcPr>
            <w:tcW w:type="dxa" w:w="1881"/>
            <w:noWrap w:val="false"/>
          </w:tcPr>
          <w:p>
            <w:r/>
            <w:r>
              <w:rPr>
                <w:rFonts w:ascii="Calibri" w:hAnsi="Calibri"/>
                <w:sz w:val="18"/>
              </w:rPr>
              <w:t>De ruimte tussen opgeslagen goederen en de onderzijde van de dakplaten is ten minste 0,50 m voor licht ontvlambare en acuut toxische stoffen en spuitbussen/gaspatronen, nodig voor luchtcirculatie en opwarming door zonnestraling.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M58</w:t>
            </w:r>
          </w:p>
        </w:tc>
        <w:tc>
          <w:tcPr>
            <w:tcW w:type="dxa" w:w="1881"/>
            <w:noWrap w:val="false"/>
          </w:tcPr>
          <w:p>
            <w:r/>
            <w:r>
              <w:rPr>
                <w:rFonts w:ascii="Calibri" w:hAnsi="Calibri"/>
                <w:sz w:val="18"/>
              </w:rPr>
              <w:t>Toegelaten handelingen met verpakte gevaarlijke stoffen</w:t>
            </w:r>
          </w:p>
        </w:tc>
        <w:tc>
          <w:tcPr>
            <w:tcW w:type="dxa" w:w="1881"/>
            <w:noWrap w:val="false"/>
          </w:tcPr>
          <w:p>
            <w:r/>
            <w:r>
              <w:rPr>
                <w:rFonts w:ascii="Calibri" w:hAnsi="Calibri"/>
                <w:sz w:val="18"/>
              </w:rPr>
              <w:t>Handelingen met gevaarlijke stoffen in een opslagvoorziening zijn verboden, behalve werkzaamheden voor monstername, lekkage-/calamiteitenbestrijding en ompakwerkzaamheden waarbij de primaire verpakking niet wordt geopend.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M59</w:t>
            </w:r>
          </w:p>
        </w:tc>
        <w:tc>
          <w:tcPr>
            <w:tcW w:type="dxa" w:w="1881"/>
            <w:noWrap w:val="false"/>
          </w:tcPr>
          <w:p>
            <w:r/>
            <w:r>
              <w:rPr>
                <w:rFonts w:ascii="Calibri" w:hAnsi="Calibri"/>
                <w:sz w:val="18"/>
              </w:rPr>
              <w:t>Lekbak monsternamepunt acuut toxische stoffen</w:t>
            </w:r>
          </w:p>
        </w:tc>
        <w:tc>
          <w:tcPr>
            <w:tcW w:type="dxa" w:w="1881"/>
            <w:noWrap w:val="false"/>
          </w:tcPr>
          <w:p>
            <w:r/>
            <w:r>
              <w:rPr>
                <w:rFonts w:ascii="Calibri" w:hAnsi="Calibri"/>
                <w:sz w:val="18"/>
              </w:rPr>
              <w:t>Een monsternamepunt voor acuut toxische stoffen of ADR-klasse 3 VG I/II is voorzien van een productbestendige en vloeistofdichte lekbak. Een morsing wordt direct opgeruimd. Bij meerdere vloeistoffen is de lekbak gecompartimenteerd.</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D4</w:t>
            </w:r>
          </w:p>
        </w:tc>
      </w:tr>
      <w:tr>
        <w:tc>
          <w:tcPr>
            <w:tcW w:type="dxa" w:w="1881"/>
            <w:noWrap w:val="false"/>
          </w:tcPr>
          <w:p>
            <w:r/>
            <w:r>
              <w:rPr>
                <w:rFonts w:ascii="Calibri" w:hAnsi="Calibri"/>
                <w:sz w:val="18"/>
              </w:rPr>
              <w:t>M60</w:t>
            </w:r>
          </w:p>
        </w:tc>
        <w:tc>
          <w:tcPr>
            <w:tcW w:type="dxa" w:w="1881"/>
            <w:noWrap w:val="false"/>
          </w:tcPr>
          <w:p>
            <w:r/>
            <w:r>
              <w:rPr>
                <w:rFonts w:ascii="Calibri" w:hAnsi="Calibri"/>
                <w:sz w:val="18"/>
              </w:rPr>
              <w:t>Openen afsluiters gasflessen</w:t>
            </w:r>
          </w:p>
        </w:tc>
        <w:tc>
          <w:tcPr>
            <w:tcW w:type="dxa" w:w="1881"/>
            <w:noWrap w:val="false"/>
          </w:tcPr>
          <w:p>
            <w:r/>
            <w:r>
              <w:rPr>
                <w:rFonts w:ascii="Calibri" w:hAnsi="Calibri"/>
                <w:sz w:val="18"/>
              </w:rPr>
              <w:t>In een opslagvoorziening worden afsluiters van gasflessen niet geopend, tenzij het gaat om gasflessen gekoppeld aan een installatie buiten de opslagvoorziening via vaste leidingen.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M61</w:t>
            </w:r>
          </w:p>
        </w:tc>
        <w:tc>
          <w:tcPr>
            <w:tcW w:type="dxa" w:w="1881"/>
            <w:noWrap w:val="false"/>
          </w:tcPr>
          <w:p>
            <w:r/>
            <w:r>
              <w:rPr>
                <w:rFonts w:ascii="Calibri" w:hAnsi="Calibri"/>
                <w:sz w:val="18"/>
              </w:rPr>
              <w:t>Opstelling (tank) containers</w:t>
            </w:r>
          </w:p>
        </w:tc>
        <w:tc>
          <w:tcPr>
            <w:tcW w:type="dxa" w:w="1881"/>
            <w:noWrap w:val="false"/>
          </w:tcPr>
          <w:p>
            <w:r/>
            <w:r>
              <w:rPr>
                <w:rFonts w:ascii="Calibri" w:hAnsi="Calibri"/>
                <w:sz w:val="18"/>
              </w:rPr>
              <w:t>(Tank)containers en vervoerseenheden met gevaarlijke stoffen zijn zodanig opgesteld dat ze altijd voor inspectie bereikbaar zijn en kunnen worden afgevoerd naar de calamiteitenplaats (M125).</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 D5</w:t>
            </w:r>
          </w:p>
        </w:tc>
      </w:tr>
      <w:tr>
        <w:tc>
          <w:tcPr>
            <w:tcW w:type="dxa" w:w="1881"/>
            <w:noWrap w:val="false"/>
          </w:tcPr>
          <w:p>
            <w:r/>
            <w:r>
              <w:rPr>
                <w:rFonts w:ascii="Calibri" w:hAnsi="Calibri"/>
                <w:sz w:val="18"/>
              </w:rPr>
              <w:t>M62</w:t>
            </w:r>
          </w:p>
        </w:tc>
        <w:tc>
          <w:tcPr>
            <w:tcW w:type="dxa" w:w="1881"/>
            <w:noWrap w:val="false"/>
          </w:tcPr>
          <w:p>
            <w:r/>
            <w:r>
              <w:rPr>
                <w:rFonts w:ascii="Calibri" w:hAnsi="Calibri"/>
                <w:sz w:val="18"/>
              </w:rPr>
              <w:t>Stapeling in buitenste rijen</w:t>
            </w:r>
          </w:p>
        </w:tc>
        <w:tc>
          <w:tcPr>
            <w:tcW w:type="dxa" w:w="1881"/>
            <w:noWrap w:val="false"/>
          </w:tcPr>
          <w:p>
            <w:r/>
            <w:r>
              <w:rPr>
                <w:rFonts w:ascii="Calibri" w:hAnsi="Calibri"/>
                <w:sz w:val="18"/>
              </w:rPr>
              <w:t>(Tank)containers met gevaarlijke stoffen worden in de buitenste rijen van de stapeling geplaatst om bereikbaarheid bij calamiteiten te waarborgen.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M63</w:t>
            </w:r>
          </w:p>
        </w:tc>
        <w:tc>
          <w:tcPr>
            <w:tcW w:type="dxa" w:w="1881"/>
            <w:noWrap w:val="false"/>
          </w:tcPr>
          <w:p>
            <w:r/>
            <w:r>
              <w:rPr>
                <w:rFonts w:ascii="Calibri" w:hAnsi="Calibri"/>
                <w:sz w:val="18"/>
              </w:rPr>
              <w:t>Stapeling open top containers</w:t>
            </w:r>
          </w:p>
        </w:tc>
        <w:tc>
          <w:tcPr>
            <w:tcW w:type="dxa" w:w="1881"/>
            <w:noWrap w:val="false"/>
          </w:tcPr>
          <w:p>
            <w:r/>
            <w:r>
              <w:rPr>
                <w:rFonts w:ascii="Calibri" w:hAnsi="Calibri"/>
                <w:sz w:val="18"/>
              </w:rPr>
              <w:t>Op een open top container wordt geen andere container gestapeld tenzij deze door twistlocks worden gekoppeld. Uitzondering: stapeling zonder stoten onder een brugkraan of in een automatische stack.</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M64</w:t>
            </w:r>
          </w:p>
        </w:tc>
        <w:tc>
          <w:tcPr>
            <w:tcW w:type="dxa" w:w="1881"/>
            <w:noWrap w:val="false"/>
          </w:tcPr>
          <w:p>
            <w:r/>
            <w:r>
              <w:rPr>
                <w:rFonts w:ascii="Calibri" w:hAnsi="Calibri"/>
                <w:sz w:val="18"/>
              </w:rPr>
              <w:t>Opstelling (tank)containers - aanvullend</w:t>
            </w:r>
          </w:p>
        </w:tc>
        <w:tc>
          <w:tcPr>
            <w:tcW w:type="dxa" w:w="1881"/>
            <w:noWrap w:val="false"/>
          </w:tcPr>
          <w:p>
            <w:r/>
            <w:r>
              <w:rPr>
                <w:rFonts w:ascii="Calibri" w:hAnsi="Calibri"/>
                <w:sz w:val="18"/>
              </w:rPr>
              <w:t>Een (tank)container met giftige gassen (etiket 2.3), ADR-klasse 6.1 VG I of ADR-klasse 8 met etiket 6.1 wordt op het maaiveld geplaatst op minimaal 5 m afstand van brandbare vloeistoffen en gassen.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 D5, D6</w:t>
            </w:r>
          </w:p>
        </w:tc>
      </w:tr>
      <w:tr>
        <w:tc>
          <w:tcPr>
            <w:tcW w:type="dxa" w:w="1881"/>
            <w:noWrap w:val="false"/>
          </w:tcPr>
          <w:p>
            <w:r/>
            <w:r>
              <w:rPr>
                <w:rFonts w:ascii="Calibri" w:hAnsi="Calibri"/>
                <w:sz w:val="18"/>
              </w:rPr>
              <w:t>M65</w:t>
            </w:r>
          </w:p>
        </w:tc>
        <w:tc>
          <w:tcPr>
            <w:tcW w:type="dxa" w:w="1881"/>
            <w:noWrap w:val="false"/>
          </w:tcPr>
          <w:p>
            <w:r/>
            <w:r>
              <w:rPr>
                <w:rFonts w:ascii="Calibri" w:hAnsi="Calibri"/>
                <w:sz w:val="18"/>
              </w:rPr>
              <w:t>Opslag van aanverwante en koopmansgoederen</w:t>
            </w:r>
          </w:p>
        </w:tc>
        <w:tc>
          <w:tcPr>
            <w:tcW w:type="dxa" w:w="1881"/>
            <w:noWrap w:val="false"/>
          </w:tcPr>
          <w:p>
            <w:r/>
            <w:r>
              <w:rPr>
                <w:rFonts w:ascii="Calibri" w:hAnsi="Calibri"/>
                <w:sz w:val="18"/>
              </w:rPr>
              <w:t>In een opslagvoorziening mogen aanverwante stoffen of koopmansgoederen aanwezig zijn bij maximaal 10 ton (60 min Wbdbo) of 20 ton (90 min Wbdbo), zonder VG I-stoffen, met spanningsvrije elektrische componenten.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M66</w:t>
            </w:r>
          </w:p>
        </w:tc>
        <w:tc>
          <w:tcPr>
            <w:tcW w:type="dxa" w:w="1881"/>
            <w:noWrap w:val="false"/>
          </w:tcPr>
          <w:p>
            <w:r/>
            <w:r>
              <w:rPr>
                <w:rFonts w:ascii="Calibri" w:hAnsi="Calibri"/>
                <w:sz w:val="18"/>
              </w:rPr>
              <w:t>Opslag van aanverwante en koopmansgoederen veiligheidsniveau B en C</w:t>
            </w:r>
          </w:p>
        </w:tc>
        <w:tc>
          <w:tcPr>
            <w:tcW w:type="dxa" w:w="1881"/>
            <w:noWrap w:val="false"/>
          </w:tcPr>
          <w:p>
            <w:r/>
            <w:r>
              <w:rPr>
                <w:rFonts w:ascii="Calibri" w:hAnsi="Calibri"/>
                <w:sz w:val="18"/>
              </w:rPr>
              <w:t>Bij veiligheidsniveau B of C worden aanverwante stoffen en koopmansgoederen behandeld als gevaarlijke stoffen. Bij het bepalen van het veiligheidsniveau worden de eigenschappen van aanverwante stoffen meegenomen.</w:t>
            </w:r>
          </w:p>
        </w:tc>
        <w:tc>
          <w:tcPr>
            <w:tcW w:type="dxa" w:w="1881"/>
            <w:noWrap w:val="false"/>
          </w:tcPr>
          <w:p>
            <w:r/>
            <w:r>
              <w:rPr>
                <w:rFonts w:ascii="Calibri" w:hAnsi="Calibri"/>
                <w:sz w:val="18"/>
              </w:rPr>
              <w:t>B+, C+</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M67</w:t>
            </w:r>
          </w:p>
        </w:tc>
        <w:tc>
          <w:tcPr>
            <w:tcW w:type="dxa" w:w="1881"/>
            <w:noWrap w:val="false"/>
          </w:tcPr>
          <w:p>
            <w:r/>
            <w:r>
              <w:rPr>
                <w:rFonts w:ascii="Calibri" w:hAnsi="Calibri"/>
                <w:sz w:val="18"/>
              </w:rPr>
              <w:t>Opslag van aanverwante en koopmansgoederen veiligheidsniveau A</w:t>
            </w:r>
          </w:p>
        </w:tc>
        <w:tc>
          <w:tcPr>
            <w:tcW w:type="dxa" w:w="1881"/>
            <w:noWrap w:val="false"/>
          </w:tcPr>
          <w:p>
            <w:r/>
            <w:r>
              <w:rPr>
                <w:rFonts w:ascii="Calibri" w:hAnsi="Calibri"/>
                <w:sz w:val="18"/>
              </w:rPr>
              <w:t>Bij veiligheidsniveau A wordt in het UPD rekening gehouden met alle opgeslagen stoffen of is er een bedrijfsbrandweer. Koopmansgoederen worden gescheiden opgeslagen van gevaarlijke stoffen in aparte vakken, tenzij het UPD anders bepaalt.</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D10, D12</w:t>
            </w:r>
          </w:p>
        </w:tc>
      </w:tr>
      <w:tr>
        <w:tc>
          <w:tcPr>
            <w:tcW w:type="dxa" w:w="1881"/>
            <w:noWrap w:val="false"/>
          </w:tcPr>
          <w:p>
            <w:r/>
            <w:r>
              <w:rPr>
                <w:rFonts w:ascii="Calibri" w:hAnsi="Calibri"/>
                <w:sz w:val="18"/>
              </w:rPr>
              <w:t>M68</w:t>
            </w:r>
          </w:p>
        </w:tc>
        <w:tc>
          <w:tcPr>
            <w:tcW w:type="dxa" w:w="1881"/>
            <w:noWrap w:val="false"/>
          </w:tcPr>
          <w:p>
            <w:r/>
            <w:r>
              <w:rPr>
                <w:rFonts w:ascii="Calibri" w:hAnsi="Calibri"/>
                <w:sz w:val="18"/>
              </w:rPr>
              <w:t>Eisen aan machines en installaties</w:t>
            </w:r>
          </w:p>
        </w:tc>
        <w:tc>
          <w:tcPr>
            <w:tcW w:type="dxa" w:w="1881"/>
            <w:noWrap w:val="false"/>
          </w:tcPr>
          <w:p>
            <w:r/>
            <w:r>
              <w:rPr>
                <w:rFonts w:ascii="Calibri" w:hAnsi="Calibri"/>
                <w:sz w:val="18"/>
              </w:rPr>
              <w:t>Machines en installaties in een opslagvoorziening zijn strikt noodzakelijk voor het logistiek proces, staan op minimaal 3,5 m afstand van gevaarlijke stoffen, worden periodiek onderhouden en zijn buiten bedrijfstijd uitgeschakeld.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D8, D9</w:t>
            </w:r>
          </w:p>
        </w:tc>
      </w:tr>
      <w:tr>
        <w:tc>
          <w:tcPr>
            <w:tcW w:type="dxa" w:w="1881"/>
            <w:noWrap w:val="false"/>
          </w:tcPr>
          <w:p>
            <w:r/>
            <w:r>
              <w:rPr>
                <w:rFonts w:ascii="Calibri" w:hAnsi="Calibri"/>
                <w:sz w:val="18"/>
              </w:rPr>
              <w:t>M69</w:t>
            </w:r>
          </w:p>
        </w:tc>
        <w:tc>
          <w:tcPr>
            <w:tcW w:type="dxa" w:w="1881"/>
            <w:noWrap w:val="false"/>
          </w:tcPr>
          <w:p>
            <w:r/>
            <w:r>
              <w:rPr>
                <w:rFonts w:ascii="Calibri" w:hAnsi="Calibri"/>
                <w:sz w:val="18"/>
              </w:rPr>
              <w:t>Voorkomen van opwarming spuitbussen en gaspatronen</w:t>
            </w:r>
          </w:p>
        </w:tc>
        <w:tc>
          <w:tcPr>
            <w:tcW w:type="dxa" w:w="1881"/>
            <w:noWrap w:val="false"/>
          </w:tcPr>
          <w:p>
            <w:r/>
            <w:r>
              <w:rPr>
                <w:rFonts w:ascii="Calibri" w:hAnsi="Calibri"/>
                <w:sz w:val="18"/>
              </w:rPr>
              <w:t>Opwarming van spuitbussen en gaspatronen boven 50°C door zonnestraling of warmtebronnen wordt voorkomen. Opslag boven of binnen 1 m van kachels is verboden tenzij de oppervlaktetemperatuur nooit hoger dan 60°C wordt.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M70</w:t>
            </w:r>
          </w:p>
        </w:tc>
        <w:tc>
          <w:tcPr>
            <w:tcW w:type="dxa" w:w="1881"/>
            <w:noWrap w:val="false"/>
          </w:tcPr>
          <w:p>
            <w:r/>
            <w:r>
              <w:rPr>
                <w:rFonts w:ascii="Calibri" w:hAnsi="Calibri"/>
                <w:sz w:val="18"/>
              </w:rPr>
              <w:t>Verwarming</w:t>
            </w:r>
          </w:p>
        </w:tc>
        <w:tc>
          <w:tcPr>
            <w:tcW w:type="dxa" w:w="1881"/>
            <w:noWrap w:val="false"/>
          </w:tcPr>
          <w:p>
            <w:r/>
            <w:r>
              <w:rPr>
                <w:rFonts w:ascii="Calibri" w:hAnsi="Calibri"/>
                <w:sz w:val="18"/>
              </w:rPr>
              <w:t>De verbrandingsruimte van verwarmingstoestellen staat niet in open verbinding met de opslagvoorziening. Onderdelen hebben geen hogere oppervlaktetemperatuur dan 200°C en geen contact met opgeslagen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D8</w:t>
            </w:r>
          </w:p>
        </w:tc>
      </w:tr>
      <w:tr>
        <w:tc>
          <w:tcPr>
            <w:tcW w:type="dxa" w:w="1881"/>
            <w:noWrap w:val="false"/>
          </w:tcPr>
          <w:p>
            <w:r/>
            <w:r>
              <w:rPr>
                <w:rFonts w:ascii="Calibri" w:hAnsi="Calibri"/>
                <w:sz w:val="18"/>
              </w:rPr>
              <w:t>M71</w:t>
            </w:r>
          </w:p>
        </w:tc>
        <w:tc>
          <w:tcPr>
            <w:tcW w:type="dxa" w:w="1881"/>
            <w:noWrap w:val="false"/>
          </w:tcPr>
          <w:p>
            <w:r/>
            <w:r>
              <w:rPr>
                <w:rFonts w:ascii="Calibri" w:hAnsi="Calibri"/>
                <w:sz w:val="18"/>
              </w:rPr>
              <w:t>Opslag van pallets</w:t>
            </w:r>
          </w:p>
        </w:tc>
        <w:tc>
          <w:tcPr>
            <w:tcW w:type="dxa" w:w="1881"/>
            <w:noWrap w:val="false"/>
          </w:tcPr>
          <w:p>
            <w:r/>
            <w:r>
              <w:rPr>
                <w:rFonts w:ascii="Calibri" w:hAnsi="Calibri"/>
                <w:sz w:val="18"/>
              </w:rPr>
              <w:t>Losse (lege) brandbare pallets zijn niet aanwezig in een opslagvoorziening om escalatie van brand te voorkomen.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D9</w:t>
            </w:r>
          </w:p>
        </w:tc>
      </w:tr>
      <w:tr>
        <w:tc>
          <w:tcPr>
            <w:tcW w:type="dxa" w:w="1881"/>
            <w:noWrap w:val="false"/>
          </w:tcPr>
          <w:p>
            <w:r/>
            <w:r>
              <w:rPr>
                <w:rFonts w:ascii="Calibri" w:hAnsi="Calibri"/>
                <w:sz w:val="18"/>
              </w:rPr>
              <w:t>M72</w:t>
            </w:r>
          </w:p>
        </w:tc>
        <w:tc>
          <w:tcPr>
            <w:tcW w:type="dxa" w:w="1881"/>
            <w:noWrap w:val="false"/>
          </w:tcPr>
          <w:p>
            <w:r/>
            <w:r>
              <w:rPr>
                <w:rFonts w:ascii="Calibri" w:hAnsi="Calibri"/>
                <w:sz w:val="18"/>
              </w:rPr>
              <w:t>Opslag van pallets - eisen</w:t>
            </w:r>
          </w:p>
        </w:tc>
        <w:tc>
          <w:tcPr>
            <w:tcW w:type="dxa" w:w="1881"/>
            <w:noWrap w:val="false"/>
          </w:tcPr>
          <w:p>
            <w:r/>
            <w:r>
              <w:rPr>
                <w:rFonts w:ascii="Calibri" w:hAnsi="Calibri"/>
                <w:sz w:val="18"/>
              </w:rPr>
              <w:t>In afwijking op M71 mogen beperkte aantallen losse pallets aanwezig zijn: maximaal 24 standaardpallets of 5% van palletplaatsen, op maaiveldniveau, maximaal 1,8 m hoog, in een apart vak gescheiden door 2,4 m of 30 min brandwerende constructie.</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D9</w:t>
            </w:r>
          </w:p>
        </w:tc>
      </w:tr>
      <w:tr>
        <w:tc>
          <w:tcPr>
            <w:tcW w:type="dxa" w:w="1881"/>
            <w:noWrap w:val="false"/>
          </w:tcPr>
          <w:p>
            <w:r/>
            <w:r>
              <w:rPr>
                <w:rFonts w:ascii="Calibri" w:hAnsi="Calibri"/>
                <w:sz w:val="18"/>
              </w:rPr>
              <w:t>M73</w:t>
            </w:r>
          </w:p>
        </w:tc>
        <w:tc>
          <w:tcPr>
            <w:tcW w:type="dxa" w:w="1881"/>
            <w:noWrap w:val="false"/>
          </w:tcPr>
          <w:p>
            <w:r/>
            <w:r>
              <w:rPr>
                <w:rFonts w:ascii="Calibri" w:hAnsi="Calibri"/>
                <w:sz w:val="18"/>
              </w:rPr>
              <w:t>Opslag van pallets - UPD</w:t>
            </w:r>
          </w:p>
        </w:tc>
        <w:tc>
          <w:tcPr>
            <w:tcW w:type="dxa" w:w="1881"/>
            <w:noWrap w:val="false"/>
          </w:tcPr>
          <w:p>
            <w:r/>
            <w:r>
              <w:rPr>
                <w:rFonts w:ascii="Calibri" w:hAnsi="Calibri"/>
                <w:sz w:val="18"/>
              </w:rPr>
              <w:t>Als pallets zijn meegenomen in de risicoafweging van het UPD (M99), zijn M71 en M72 niet van toepassing. De voorwaarden uit het UPD zijn dan leidend.</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D9</w:t>
            </w:r>
          </w:p>
        </w:tc>
      </w:tr>
      <w:tr>
        <w:tc>
          <w:tcPr>
            <w:tcW w:type="dxa" w:w="1881"/>
            <w:noWrap w:val="false"/>
          </w:tcPr>
          <w:p>
            <w:r/>
            <w:r>
              <w:rPr>
                <w:rFonts w:ascii="Calibri" w:hAnsi="Calibri"/>
                <w:sz w:val="18"/>
              </w:rPr>
              <w:t>M74</w:t>
            </w:r>
          </w:p>
        </w:tc>
        <w:tc>
          <w:tcPr>
            <w:tcW w:type="dxa" w:w="1881"/>
            <w:noWrap w:val="false"/>
          </w:tcPr>
          <w:p>
            <w:r/>
            <w:r>
              <w:rPr>
                <w:rFonts w:ascii="Calibri" w:hAnsi="Calibri"/>
                <w:sz w:val="18"/>
              </w:rPr>
              <w:t>Materieel voor het vervoeren van (tank)containers</w:t>
            </w:r>
          </w:p>
        </w:tc>
        <w:tc>
          <w:tcPr>
            <w:tcW w:type="dxa" w:w="1881"/>
            <w:noWrap w:val="false"/>
          </w:tcPr>
          <w:p>
            <w:r/>
            <w:r>
              <w:rPr>
                <w:rFonts w:ascii="Calibri" w:hAnsi="Calibri"/>
                <w:sz w:val="18"/>
              </w:rPr>
              <w:t>Materieel voor het vervoeren van (tank)containers is ontworpen, onderhouden en wordt gebruikt zodanig dat een veilige behandeling is gewaarborgd. Voor kranen en hijsmiddelen gelden Arbowet-verplichtingen.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D3</w:t>
            </w:r>
          </w:p>
        </w:tc>
      </w:tr>
      <w:tr>
        <w:tc>
          <w:tcPr>
            <w:tcW w:type="dxa" w:w="1881"/>
            <w:noWrap w:val="false"/>
          </w:tcPr>
          <w:p>
            <w:r/>
            <w:r>
              <w:rPr>
                <w:rFonts w:ascii="Calibri" w:hAnsi="Calibri"/>
                <w:sz w:val="18"/>
              </w:rPr>
              <w:t>M75</w:t>
            </w:r>
          </w:p>
        </w:tc>
        <w:tc>
          <w:tcPr>
            <w:tcW w:type="dxa" w:w="1881"/>
            <w:noWrap w:val="false"/>
          </w:tcPr>
          <w:p>
            <w:r/>
            <w:r>
              <w:rPr>
                <w:rFonts w:ascii="Calibri" w:hAnsi="Calibri"/>
                <w:sz w:val="18"/>
              </w:rPr>
              <w:t>Constructie van stellingen</w:t>
            </w:r>
          </w:p>
        </w:tc>
        <w:tc>
          <w:tcPr>
            <w:tcW w:type="dxa" w:w="1881"/>
            <w:noWrap w:val="false"/>
          </w:tcPr>
          <w:p>
            <w:r/>
            <w:r>
              <w:rPr>
                <w:rFonts w:ascii="Calibri" w:hAnsi="Calibri"/>
                <w:sz w:val="18"/>
              </w:rPr>
              <w:t>Een stelling voor opslag van gevaarlijke stoffen is bestand tegen de stoffen, stabiel, wordt niet zwaarder belast dan het ontwerp en de geschiktheid is aantoonbaar. NEN-EN 15512+A1 kan worden gebruikt voor palletstellingen.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M76</w:t>
            </w:r>
          </w:p>
        </w:tc>
        <w:tc>
          <w:tcPr>
            <w:tcW w:type="dxa" w:w="1881"/>
            <w:noWrap w:val="false"/>
          </w:tcPr>
          <w:p>
            <w:r/>
            <w:r>
              <w:rPr>
                <w:rFonts w:ascii="Calibri" w:hAnsi="Calibri"/>
                <w:sz w:val="18"/>
              </w:rPr>
              <w:t>Manoeuvreerruimte tussen opslagvakken</w:t>
            </w:r>
          </w:p>
        </w:tc>
        <w:tc>
          <w:tcPr>
            <w:tcW w:type="dxa" w:w="1881"/>
            <w:noWrap w:val="false"/>
          </w:tcPr>
          <w:p>
            <w:r/>
            <w:r>
              <w:rPr>
                <w:rFonts w:ascii="Calibri" w:hAnsi="Calibri"/>
                <w:sz w:val="18"/>
              </w:rPr>
              <w:t>Tussen opslagvakken en stellingen is voldoende manoeuvreerruimte voor de gebruikte transportmiddelen om veilig gebruik te waarborgen.</w:t>
            </w:r>
          </w:p>
        </w:tc>
        <w:tc>
          <w:tcPr>
            <w:tcW w:type="dxa" w:w="1881"/>
            <w:noWrap w:val="false"/>
          </w:tcPr>
          <w:p>
            <w:r/>
            <w:r>
              <w:rPr>
                <w:rFonts w:ascii="Calibri" w:hAnsi="Calibri"/>
                <w:sz w:val="18"/>
              </w:rPr>
              <w:t>Basis</w:t>
            </w:r>
          </w:p>
        </w:tc>
        <w:tc>
          <w:tcPr>
            <w:tcW w:type="dxa" w:w="1881"/>
            <w:noWrap w:val="false"/>
          </w:tcPr>
          <w:p>
            <w:r/>
            <w:r>
              <w:rPr>
                <w:rFonts w:ascii="Calibri" w:hAnsi="Calibri"/>
                <w:sz w:val="18"/>
              </w:rPr>
              <w:t>D1</w:t>
            </w:r>
          </w:p>
        </w:tc>
      </w:tr>
      <w:tr>
        <w:tc>
          <w:tcPr>
            <w:tcW w:type="dxa" w:w="1881"/>
            <w:noWrap w:val="false"/>
          </w:tcPr>
          <w:p>
            <w:r/>
            <w:r>
              <w:rPr>
                <w:rFonts w:ascii="Calibri" w:hAnsi="Calibri"/>
                <w:sz w:val="18"/>
              </w:rPr>
              <w:t>M77</w:t>
            </w:r>
          </w:p>
        </w:tc>
        <w:tc>
          <w:tcPr>
            <w:tcW w:type="dxa" w:w="1881"/>
            <w:noWrap w:val="false"/>
          </w:tcPr>
          <w:p>
            <w:r/>
            <w:r>
              <w:rPr>
                <w:rFonts w:ascii="Calibri" w:hAnsi="Calibri"/>
                <w:sz w:val="18"/>
              </w:rPr>
              <w:t>Aanrijdbeveiliging van stellingen</w:t>
            </w:r>
          </w:p>
        </w:tc>
        <w:tc>
          <w:tcPr>
            <w:tcW w:type="dxa" w:w="1881"/>
            <w:noWrap w:val="false"/>
          </w:tcPr>
          <w:p>
            <w:r/>
            <w:r>
              <w:rPr>
                <w:rFonts w:ascii="Calibri" w:hAnsi="Calibri"/>
                <w:sz w:val="18"/>
              </w:rPr>
              <w:t>Bij risico op aanrijden is een stelling voorzien van vrijstaande aanrijdbeschermers op hoeken van stellinggangen en -onderdoorgangen.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D2</w:t>
            </w:r>
          </w:p>
        </w:tc>
      </w:tr>
      <w:tr>
        <w:tc>
          <w:tcPr>
            <w:tcW w:type="dxa" w:w="1881"/>
            <w:noWrap w:val="false"/>
          </w:tcPr>
          <w:p>
            <w:r/>
            <w:r>
              <w:rPr>
                <w:rFonts w:ascii="Calibri" w:hAnsi="Calibri"/>
                <w:sz w:val="18"/>
              </w:rPr>
              <w:t>M78</w:t>
            </w:r>
          </w:p>
        </w:tc>
        <w:tc>
          <w:tcPr>
            <w:tcW w:type="dxa" w:w="1881"/>
            <w:noWrap w:val="false"/>
          </w:tcPr>
          <w:p>
            <w:r/>
            <w:r>
              <w:rPr>
                <w:rFonts w:ascii="Calibri" w:hAnsi="Calibri"/>
                <w:sz w:val="18"/>
              </w:rPr>
              <w:t>Aanrijdbeveiliging van stellingen - afwijken</w:t>
            </w:r>
          </w:p>
        </w:tc>
        <w:tc>
          <w:tcPr>
            <w:tcW w:type="dxa" w:w="1881"/>
            <w:noWrap w:val="false"/>
          </w:tcPr>
          <w:p>
            <w:r/>
            <w:r>
              <w:rPr>
                <w:rFonts w:ascii="Calibri" w:hAnsi="Calibri"/>
                <w:sz w:val="18"/>
              </w:rPr>
              <w:t>In afwijking op M77 is aanrijdbeveiliging niet noodzakelijk bij een (semi) geautomatiseerd magazijnsysteem als softwarematig is geborgd dat aanrijding wordt voorkomen, geen andere voertuigbewegingen plaatsvinden, en het systeem failsafe is.</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D2</w:t>
            </w:r>
          </w:p>
        </w:tc>
      </w:tr>
      <w:tr>
        <w:tc>
          <w:tcPr>
            <w:tcW w:type="dxa" w:w="1881"/>
            <w:noWrap w:val="false"/>
          </w:tcPr>
          <w:p>
            <w:r/>
            <w:r>
              <w:rPr>
                <w:rFonts w:ascii="Calibri" w:hAnsi="Calibri"/>
                <w:sz w:val="18"/>
              </w:rPr>
              <w:t>M79</w:t>
            </w:r>
          </w:p>
        </w:tc>
        <w:tc>
          <w:tcPr>
            <w:tcW w:type="dxa" w:w="1881"/>
            <w:noWrap w:val="false"/>
          </w:tcPr>
          <w:p>
            <w:r/>
            <w:r>
              <w:rPr>
                <w:rFonts w:ascii="Calibri" w:hAnsi="Calibri"/>
                <w:sz w:val="18"/>
              </w:rPr>
              <w:t>Aanrijdbeveiliging van gasflessen</w:t>
            </w:r>
          </w:p>
        </w:tc>
        <w:tc>
          <w:tcPr>
            <w:tcW w:type="dxa" w:w="1881"/>
            <w:noWrap w:val="false"/>
          </w:tcPr>
          <w:p>
            <w:r/>
            <w:r>
              <w:rPr>
                <w:rFonts w:ascii="Calibri" w:hAnsi="Calibri"/>
                <w:sz w:val="18"/>
              </w:rPr>
              <w:t>Bij risico op aanrijden van gasflessen door frequente voertuigbewegingen is de opslagvoorziening voorzien van een aanrijdbeveiliging.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D2</w:t>
            </w:r>
          </w:p>
        </w:tc>
      </w:tr>
      <w:tr>
        <w:tc>
          <w:tcPr>
            <w:tcW w:type="dxa" w:w="1881"/>
            <w:noWrap w:val="false"/>
          </w:tcPr>
          <w:p>
            <w:r/>
            <w:r>
              <w:rPr>
                <w:rFonts w:ascii="Calibri" w:hAnsi="Calibri"/>
                <w:sz w:val="18"/>
              </w:rPr>
              <w:t>M80</w:t>
            </w:r>
          </w:p>
        </w:tc>
        <w:tc>
          <w:tcPr>
            <w:tcW w:type="dxa" w:w="1881"/>
            <w:noWrap w:val="false"/>
          </w:tcPr>
          <w:p>
            <w:r/>
            <w:r>
              <w:rPr>
                <w:rFonts w:ascii="Calibri" w:hAnsi="Calibri"/>
                <w:sz w:val="18"/>
              </w:rPr>
              <w:t>Aanrijdbeveiliging van (tank)containers</w:t>
            </w:r>
          </w:p>
        </w:tc>
        <w:tc>
          <w:tcPr>
            <w:tcW w:type="dxa" w:w="1881"/>
            <w:noWrap w:val="false"/>
          </w:tcPr>
          <w:p>
            <w:r/>
            <w:r>
              <w:rPr>
                <w:rFonts w:ascii="Calibri" w:hAnsi="Calibri"/>
                <w:sz w:val="18"/>
              </w:rPr>
              <w:t>(Tank)containers en vervoerseenheden met gevaarlijke stoffen zijn tegen aanrijding beschermd door technische maatregelen (aanrijdbescherming) of organisatorische maatregelen (routering van voertuigen).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D2</w:t>
            </w:r>
          </w:p>
        </w:tc>
      </w:tr>
      <w:tr>
        <w:tc>
          <w:tcPr>
            <w:tcW w:type="dxa" w:w="1881"/>
            <w:noWrap w:val="false"/>
          </w:tcPr>
          <w:p>
            <w:r/>
            <w:r>
              <w:rPr>
                <w:rFonts w:ascii="Calibri" w:hAnsi="Calibri"/>
                <w:sz w:val="18"/>
              </w:rPr>
              <w:t>M81</w:t>
            </w:r>
          </w:p>
        </w:tc>
        <w:tc>
          <w:tcPr>
            <w:tcW w:type="dxa" w:w="1881"/>
            <w:noWrap w:val="false"/>
          </w:tcPr>
          <w:p>
            <w:r/>
            <w:r>
              <w:rPr>
                <w:rFonts w:ascii="Calibri" w:hAnsi="Calibri"/>
                <w:sz w:val="18"/>
              </w:rPr>
              <w:t>Beschadigingen aan de stelling</w:t>
            </w:r>
          </w:p>
        </w:tc>
        <w:tc>
          <w:tcPr>
            <w:tcW w:type="dxa" w:w="1881"/>
            <w:noWrap w:val="false"/>
          </w:tcPr>
          <w:p>
            <w:r/>
            <w:r>
              <w:rPr>
                <w:rFonts w:ascii="Calibri" w:hAnsi="Calibri"/>
                <w:sz w:val="18"/>
              </w:rPr>
              <w:t>Bij blijvende vervorming van een stellingonderdeel worden onmiddellijk passende maatregelen genomen, zoals vrijmaken van opslag. De stelling wordt pas weer in gebruik genomen na vervanging/reparatie en beoordeling volgens M82.</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M82</w:t>
            </w:r>
          </w:p>
        </w:tc>
        <w:tc>
          <w:tcPr>
            <w:tcW w:type="dxa" w:w="1881"/>
            <w:noWrap w:val="false"/>
          </w:tcPr>
          <w:p>
            <w:r/>
            <w:r>
              <w:rPr>
                <w:rFonts w:ascii="Calibri" w:hAnsi="Calibri"/>
                <w:sz w:val="18"/>
              </w:rPr>
              <w:t>Periodieke inspectie van de stellingconstructie</w:t>
            </w:r>
          </w:p>
        </w:tc>
        <w:tc>
          <w:tcPr>
            <w:tcW w:type="dxa" w:w="1881"/>
            <w:noWrap w:val="false"/>
          </w:tcPr>
          <w:p>
            <w:r/>
            <w:r>
              <w:rPr>
                <w:rFonts w:ascii="Calibri" w:hAnsi="Calibri"/>
                <w:sz w:val="18"/>
              </w:rPr>
              <w:t>Een stellingconstructie wordt ten minste jaarlijks visueel geïnspecteerd op doelmatigheid, juist gebruik en beschadigingen. Resultaten worden geregistreerd en minimaal vijf jaar bewaard.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M83</w:t>
            </w:r>
          </w:p>
        </w:tc>
        <w:tc>
          <w:tcPr>
            <w:tcW w:type="dxa" w:w="1881"/>
            <w:noWrap w:val="false"/>
          </w:tcPr>
          <w:p>
            <w:r/>
            <w:r>
              <w:rPr>
                <w:rFonts w:ascii="Calibri" w:hAnsi="Calibri"/>
                <w:sz w:val="18"/>
              </w:rPr>
              <w:t>Herkeuringstermijn van gasflessen</w:t>
            </w:r>
          </w:p>
        </w:tc>
        <w:tc>
          <w:tcPr>
            <w:tcW w:type="dxa" w:w="1881"/>
            <w:noWrap w:val="false"/>
          </w:tcPr>
          <w:p>
            <w:r/>
            <w:r>
              <w:rPr>
                <w:rFonts w:ascii="Calibri" w:hAnsi="Calibri"/>
                <w:sz w:val="18"/>
              </w:rPr>
              <w:t>De herkeuringstermijn van gasflessen is niet verstreken. Bij overschrijding mag maximaal tweemaal de termijn worden opgeslagen mits aantoonbaar door lange gebruiksperiode en de fles in goede staat verkeert volgens NEN-EN 1968.</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M84</w:t>
            </w:r>
          </w:p>
        </w:tc>
        <w:tc>
          <w:tcPr>
            <w:tcW w:type="dxa" w:w="1881"/>
            <w:noWrap w:val="false"/>
          </w:tcPr>
          <w:p>
            <w:r/>
            <w:r>
              <w:rPr>
                <w:rFonts w:ascii="Calibri" w:hAnsi="Calibri"/>
                <w:sz w:val="18"/>
              </w:rPr>
              <w:t>Controle van brandkranen</w:t>
            </w:r>
          </w:p>
        </w:tc>
        <w:tc>
          <w:tcPr>
            <w:tcW w:type="dxa" w:w="1881"/>
            <w:noWrap w:val="false"/>
          </w:tcPr>
          <w:p>
            <w:r/>
            <w:r>
              <w:rPr>
                <w:rFonts w:ascii="Calibri" w:hAnsi="Calibri"/>
                <w:sz w:val="18"/>
              </w:rPr>
              <w:t>Brandkranen worden elke drie jaar door een deskundige gecontroleerd op waterdruk en wateropbrengst. De meetmethode wordt in overleg met de veiligheidsregio vastgesteld. Brandkranen worden tweemaal per jaar doorgespoeld.</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D11, D12, D6</w:t>
            </w:r>
          </w:p>
        </w:tc>
      </w:tr>
      <w:tr>
        <w:tc>
          <w:tcPr>
            <w:tcW w:type="dxa" w:w="1881"/>
            <w:noWrap w:val="false"/>
          </w:tcPr>
          <w:p>
            <w:r/>
            <w:r>
              <w:rPr>
                <w:rFonts w:ascii="Calibri" w:hAnsi="Calibri"/>
                <w:sz w:val="18"/>
              </w:rPr>
              <w:t>M85</w:t>
            </w:r>
          </w:p>
        </w:tc>
        <w:tc>
          <w:tcPr>
            <w:tcW w:type="dxa" w:w="1881"/>
            <w:noWrap w:val="false"/>
          </w:tcPr>
          <w:p>
            <w:r/>
            <w:r>
              <w:rPr>
                <w:rFonts w:ascii="Calibri" w:hAnsi="Calibri"/>
                <w:sz w:val="18"/>
              </w:rPr>
              <w:t>Deskundig personeel</w:t>
            </w:r>
          </w:p>
        </w:tc>
        <w:tc>
          <w:tcPr>
            <w:tcW w:type="dxa" w:w="1881"/>
            <w:noWrap w:val="false"/>
          </w:tcPr>
          <w:p>
            <w:r/>
            <w:r>
              <w:rPr>
                <w:rFonts w:ascii="Calibri" w:hAnsi="Calibri"/>
                <w:sz w:val="18"/>
              </w:rPr>
              <w:t>Bij opslag van meer dan 2.500 kg is tijdens werkzaamheden minimaal één door het bedrijf aangestelde deskundige aanwezig met aantoonbare vakbekwaamheid op het gebied van de aanwezige stoffen en incidentbestrijding.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D3, D5</w:t>
            </w:r>
          </w:p>
        </w:tc>
      </w:tr>
      <w:tr>
        <w:tc>
          <w:tcPr>
            <w:tcW w:type="dxa" w:w="1881"/>
            <w:noWrap w:val="false"/>
          </w:tcPr>
          <w:p>
            <w:r/>
            <w:r>
              <w:rPr>
                <w:rFonts w:ascii="Calibri" w:hAnsi="Calibri"/>
                <w:sz w:val="18"/>
              </w:rPr>
              <w:t>M86</w:t>
            </w:r>
          </w:p>
        </w:tc>
        <w:tc>
          <w:tcPr>
            <w:tcW w:type="dxa" w:w="1881"/>
            <w:noWrap w:val="false"/>
          </w:tcPr>
          <w:p>
            <w:r/>
            <w:r>
              <w:rPr>
                <w:rFonts w:ascii="Calibri" w:hAnsi="Calibri"/>
                <w:sz w:val="18"/>
              </w:rPr>
              <w:t>Instructie van medewerkers</w:t>
            </w:r>
          </w:p>
        </w:tc>
        <w:tc>
          <w:tcPr>
            <w:tcW w:type="dxa" w:w="1881"/>
            <w:noWrap w:val="false"/>
          </w:tcPr>
          <w:p>
            <w:r/>
            <w:r>
              <w:rPr>
                <w:rFonts w:ascii="Calibri" w:hAnsi="Calibri"/>
                <w:sz w:val="18"/>
              </w:rPr>
              <w:t>Personeel met toegang tot de opslagvoorziening is op de hoogte van de aard en gevaarsaspecten van de opgeslagen stoffen, de te nemen maatregelen bij onregelmatigheden en het interne noodplan.</w:t>
            </w:r>
          </w:p>
        </w:tc>
        <w:tc>
          <w:tcPr>
            <w:tcW w:type="dxa" w:w="1881"/>
            <w:noWrap w:val="false"/>
          </w:tcPr>
          <w:p>
            <w:r/>
            <w:r>
              <w:rPr>
                <w:rFonts w:ascii="Calibri" w:hAnsi="Calibri"/>
                <w:sz w:val="18"/>
              </w:rPr>
              <w:t>Basis</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M87</w:t>
            </w:r>
          </w:p>
        </w:tc>
        <w:tc>
          <w:tcPr>
            <w:tcW w:type="dxa" w:w="1881"/>
            <w:noWrap w:val="false"/>
          </w:tcPr>
          <w:p>
            <w:r/>
            <w:r>
              <w:rPr>
                <w:rFonts w:ascii="Calibri" w:hAnsi="Calibri"/>
                <w:sz w:val="18"/>
              </w:rPr>
              <w:t>Opleiding en instructie van bestuurders van transportmiddelen</w:t>
            </w:r>
          </w:p>
        </w:tc>
        <w:tc>
          <w:tcPr>
            <w:tcW w:type="dxa" w:w="1881"/>
            <w:noWrap w:val="false"/>
          </w:tcPr>
          <w:p>
            <w:r/>
            <w:r>
              <w:rPr>
                <w:rFonts w:ascii="Calibri" w:hAnsi="Calibri"/>
                <w:sz w:val="18"/>
              </w:rPr>
              <w:t>Bestuurders van transportmiddelen zijn opgeleid en geïnstrueerd voor veilig gebruik van het transportmiddel, de gevaarsaspecten van gevaarlijke stoffen en bedrijfsinterne noodprocedures bij calamiteiten.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 D3</w:t>
            </w:r>
          </w:p>
        </w:tc>
      </w:tr>
      <w:tr>
        <w:tc>
          <w:tcPr>
            <w:tcW w:type="dxa" w:w="1881"/>
            <w:noWrap w:val="false"/>
          </w:tcPr>
          <w:p>
            <w:r/>
            <w:r>
              <w:rPr>
                <w:rFonts w:ascii="Calibri" w:hAnsi="Calibri"/>
                <w:sz w:val="18"/>
              </w:rPr>
              <w:t>M88</w:t>
            </w:r>
          </w:p>
        </w:tc>
        <w:tc>
          <w:tcPr>
            <w:tcW w:type="dxa" w:w="1881"/>
            <w:noWrap w:val="false"/>
          </w:tcPr>
          <w:p>
            <w:r/>
            <w:r>
              <w:rPr>
                <w:rFonts w:ascii="Calibri" w:hAnsi="Calibri"/>
                <w:sz w:val="18"/>
              </w:rPr>
              <w:t>Niet toegankelijk voor onbevoegden</w:t>
            </w:r>
          </w:p>
        </w:tc>
        <w:tc>
          <w:tcPr>
            <w:tcW w:type="dxa" w:w="1881"/>
            <w:noWrap w:val="false"/>
          </w:tcPr>
          <w:p>
            <w:r/>
            <w:r>
              <w:rPr>
                <w:rFonts w:ascii="Calibri" w:hAnsi="Calibri"/>
                <w:sz w:val="18"/>
              </w:rPr>
              <w:t>Een opslagvoorziening mag niet ongecontroleerd toegankelijk zijn voor onbevoegden. Hieraan is voldaan bij afdoende afscherming door muren, hekken of sloten rond de locatie.</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M89</w:t>
            </w:r>
          </w:p>
        </w:tc>
        <w:tc>
          <w:tcPr>
            <w:tcW w:type="dxa" w:w="1881"/>
            <w:noWrap w:val="false"/>
          </w:tcPr>
          <w:p>
            <w:r/>
            <w:r>
              <w:rPr>
                <w:rFonts w:ascii="Calibri" w:hAnsi="Calibri"/>
                <w:sz w:val="18"/>
              </w:rPr>
              <w:t>Failsafe of behoud van functie</w:t>
            </w:r>
          </w:p>
        </w:tc>
        <w:tc>
          <w:tcPr>
            <w:tcW w:type="dxa" w:w="1881"/>
            <w:noWrap w:val="false"/>
          </w:tcPr>
          <w:p>
            <w:r/>
            <w:r>
              <w:rPr>
                <w:rFonts w:ascii="Calibri" w:hAnsi="Calibri"/>
                <w:sz w:val="18"/>
              </w:rPr>
              <w:t>Besturingen van veiligheidssystemen zijn failsafe of met functiebehoud uitgevoerd, waaronder automatisch sluitende deuren, automatische magazijnsystemen, brand- en gasdetectie en VBB-systemen.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D10, D11, D12, D5, D6, D7</w:t>
            </w:r>
          </w:p>
        </w:tc>
      </w:tr>
      <w:tr>
        <w:tc>
          <w:tcPr>
            <w:tcW w:type="dxa" w:w="1881"/>
            <w:noWrap w:val="false"/>
          </w:tcPr>
          <w:p>
            <w:r/>
            <w:r>
              <w:rPr>
                <w:rFonts w:ascii="Calibri" w:hAnsi="Calibri"/>
                <w:sz w:val="18"/>
              </w:rPr>
              <w:t>M90</w:t>
            </w:r>
          </w:p>
        </w:tc>
        <w:tc>
          <w:tcPr>
            <w:tcW w:type="dxa" w:w="1881"/>
            <w:noWrap w:val="false"/>
          </w:tcPr>
          <w:p>
            <w:r/>
            <w:r>
              <w:rPr>
                <w:rFonts w:ascii="Calibri" w:hAnsi="Calibri"/>
                <w:sz w:val="18"/>
              </w:rPr>
              <w:t>Brandwerendheid (Wbo) op basis van afstand</w:t>
            </w:r>
          </w:p>
        </w:tc>
        <w:tc>
          <w:tcPr>
            <w:tcW w:type="dxa" w:w="1881"/>
            <w:noWrap w:val="false"/>
          </w:tcPr>
          <w:p>
            <w:r/>
            <w:r>
              <w:rPr>
                <w:rFonts w:ascii="Calibri" w:hAnsi="Calibri"/>
                <w:sz w:val="18"/>
              </w:rPr>
              <w:t>De Wbdbo kan in de buitenlucht behaald worden met afstand. Bij meer dan 5 m geldt NEN 6068-berekening met stralingscriteria (15 kW/m² op bouwwerk, 10 kW/m² op opgeslagen stoffen). Praktische benadering: 5 m = 30 min reductie, 15 m = 60 min reductie.</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M91</w:t>
            </w:r>
          </w:p>
        </w:tc>
        <w:tc>
          <w:tcPr>
            <w:tcW w:type="dxa" w:w="1881"/>
            <w:noWrap w:val="false"/>
          </w:tcPr>
          <w:p>
            <w:r/>
            <w:r>
              <w:rPr>
                <w:rFonts w:ascii="Calibri" w:hAnsi="Calibri"/>
                <w:sz w:val="18"/>
              </w:rPr>
              <w:t>Voorkomen van aanstraling op basis van afstand - gasflessen</w:t>
            </w:r>
          </w:p>
        </w:tc>
        <w:tc>
          <w:tcPr>
            <w:tcW w:type="dxa" w:w="1881"/>
            <w:noWrap w:val="false"/>
          </w:tcPr>
          <w:p>
            <w:r/>
            <w:r>
              <w:rPr>
                <w:rFonts w:ascii="Calibri" w:hAnsi="Calibri"/>
                <w:sz w:val="18"/>
              </w:rPr>
              <w:t>Warmtestralingsbelasting voor buiten opgeslagen gasflessen is maximaal 10 kW/m², in elk geval voldaan bij 15 m afstand. Bij kleinere afstanden zijn aanvullende maatregelen nodig zoals koeling (10 l/min/m² binnen 20 min) of brandwerende scheiding.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M92</w:t>
            </w:r>
          </w:p>
        </w:tc>
        <w:tc>
          <w:tcPr>
            <w:tcW w:type="dxa" w:w="1881"/>
            <w:noWrap w:val="false"/>
          </w:tcPr>
          <w:p>
            <w:r/>
            <w:r>
              <w:rPr>
                <w:rFonts w:ascii="Calibri" w:hAnsi="Calibri"/>
                <w:sz w:val="18"/>
              </w:rPr>
              <w:t>Opslag van brandbare gassen zwaarder dan lucht</w:t>
            </w:r>
          </w:p>
        </w:tc>
        <w:tc>
          <w:tcPr>
            <w:tcW w:type="dxa" w:w="1881"/>
            <w:noWrap w:val="false"/>
          </w:tcPr>
          <w:p>
            <w:r/>
            <w:r>
              <w:rPr>
                <w:rFonts w:ascii="Calibri" w:hAnsi="Calibri"/>
                <w:sz w:val="18"/>
              </w:rPr>
              <w:t>Gasflessen met brandbare gassen zwaarder dan lucht (zoals propaan/butaan) worden op minimaal 5 m afstand van kelderopeningen, putten, straatkolken en aanzuigopeningen van ventilatiesystemen beneden 1,5 m opgeslagen.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D7, D8</w:t>
            </w:r>
          </w:p>
        </w:tc>
      </w:tr>
      <w:tr>
        <w:tc>
          <w:tcPr>
            <w:tcW w:type="dxa" w:w="1881"/>
            <w:noWrap w:val="false"/>
          </w:tcPr>
          <w:p>
            <w:r/>
            <w:r>
              <w:rPr>
                <w:rFonts w:ascii="Calibri" w:hAnsi="Calibri"/>
                <w:sz w:val="18"/>
              </w:rPr>
              <w:t>M93</w:t>
            </w:r>
          </w:p>
        </w:tc>
        <w:tc>
          <w:tcPr>
            <w:tcW w:type="dxa" w:w="1881"/>
            <w:noWrap w:val="false"/>
          </w:tcPr>
          <w:p>
            <w:r/>
            <w:r>
              <w:rPr>
                <w:rFonts w:ascii="Calibri" w:hAnsi="Calibri"/>
                <w:sz w:val="18"/>
              </w:rPr>
              <w:t>Afstand tot stoffen van ADR-klasse 7</w:t>
            </w:r>
          </w:p>
        </w:tc>
        <w:tc>
          <w:tcPr>
            <w:tcW w:type="dxa" w:w="1881"/>
            <w:noWrap w:val="false"/>
          </w:tcPr>
          <w:p>
            <w:r/>
            <w:r>
              <w:rPr>
                <w:rFonts w:ascii="Calibri" w:hAnsi="Calibri"/>
                <w:sz w:val="18"/>
              </w:rPr>
              <w:t>De afstand van een (tank)container met gevaarlijke stoffen tot een (tank)container met ADR-klasse 7-stoffen is ten minste 50 m. Voor stukgoedcontainers geldt een afstand van ten minste 25 m.</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M94</w:t>
            </w:r>
          </w:p>
        </w:tc>
        <w:tc>
          <w:tcPr>
            <w:tcW w:type="dxa" w:w="1881"/>
            <w:noWrap w:val="false"/>
          </w:tcPr>
          <w:p>
            <w:r/>
            <w:r>
              <w:rPr>
                <w:rFonts w:ascii="Calibri" w:hAnsi="Calibri"/>
                <w:sz w:val="18"/>
              </w:rPr>
              <w:t>Ruimte rond geparkeerde voertuigen met gevaarlijke stoffen</w:t>
            </w:r>
          </w:p>
        </w:tc>
        <w:tc>
          <w:tcPr>
            <w:tcW w:type="dxa" w:w="1881"/>
            <w:noWrap w:val="false"/>
          </w:tcPr>
          <w:p>
            <w:r/>
            <w:r>
              <w:rPr>
                <w:rFonts w:ascii="Calibri" w:hAnsi="Calibri"/>
                <w:sz w:val="18"/>
              </w:rPr>
              <w:t>Rond een geparkeerd voertuig met gevaarlijke stoffen wordt een ruimte van 2 m vrijgehouden. Dit geldt niet voor voertuigen met lading uit dezelfde gevarenklasse, behalve ADR-klasse 3 en brandbare gassen klasse 2.</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M95</w:t>
            </w:r>
          </w:p>
        </w:tc>
        <w:tc>
          <w:tcPr>
            <w:tcW w:type="dxa" w:w="1881"/>
            <w:noWrap w:val="false"/>
          </w:tcPr>
          <w:p>
            <w:r/>
            <w:r>
              <w:rPr>
                <w:rFonts w:ascii="Calibri" w:hAnsi="Calibri"/>
                <w:sz w:val="18"/>
              </w:rPr>
              <w:t>Draagbaar blustoestel</w:t>
            </w:r>
          </w:p>
        </w:tc>
        <w:tc>
          <w:tcPr>
            <w:tcW w:type="dxa" w:w="1881"/>
            <w:noWrap w:val="false"/>
          </w:tcPr>
          <w:p>
            <w:r/>
            <w:r>
              <w:rPr>
                <w:rFonts w:ascii="Calibri" w:hAnsi="Calibri"/>
                <w:sz w:val="18"/>
              </w:rPr>
              <w:t>Per 200 m² is ten minste één draagbaar blustoestel aanwezig per opslagvoorziening, gevuld met ten minste 5 kg of 5 l blusstof, beschermd tegen weersinvloeden en geschikt voor beginnende brand van opgeslagen stoffen.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D8, D9</w:t>
            </w:r>
          </w:p>
        </w:tc>
      </w:tr>
      <w:tr>
        <w:tc>
          <w:tcPr>
            <w:tcW w:type="dxa" w:w="1881"/>
            <w:noWrap w:val="false"/>
          </w:tcPr>
          <w:p>
            <w:r/>
            <w:r>
              <w:rPr>
                <w:rFonts w:ascii="Calibri" w:hAnsi="Calibri"/>
                <w:sz w:val="18"/>
              </w:rPr>
              <w:t>M96</w:t>
            </w:r>
          </w:p>
        </w:tc>
        <w:tc>
          <w:tcPr>
            <w:tcW w:type="dxa" w:w="1881"/>
            <w:noWrap w:val="false"/>
          </w:tcPr>
          <w:p>
            <w:r/>
            <w:r>
              <w:rPr>
                <w:rFonts w:ascii="Calibri" w:hAnsi="Calibri"/>
                <w:sz w:val="18"/>
              </w:rPr>
              <w:t>VBB-systeem</w:t>
            </w:r>
          </w:p>
        </w:tc>
        <w:tc>
          <w:tcPr>
            <w:tcW w:type="dxa" w:w="1881"/>
            <w:noWrap w:val="false"/>
          </w:tcPr>
          <w:p>
            <w:r/>
            <w:r>
              <w:rPr>
                <w:rFonts w:ascii="Calibri" w:hAnsi="Calibri"/>
                <w:sz w:val="18"/>
              </w:rPr>
              <w:t>In een opslagvoorziening met veiligheidsniveau A is een geschikt VBB-systeem (vastopgesteld brandbeheersings- en blussysteem) aanwezig met detectie- en blusfunctie, gereed vóór start activiteit, conform het UPD (M99).</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M97</w:t>
            </w:r>
          </w:p>
        </w:tc>
        <w:tc>
          <w:tcPr>
            <w:tcW w:type="dxa" w:w="1881"/>
            <w:noWrap w:val="false"/>
          </w:tcPr>
          <w:p>
            <w:r/>
            <w:r>
              <w:rPr>
                <w:rFonts w:ascii="Calibri" w:hAnsi="Calibri"/>
                <w:sz w:val="18"/>
              </w:rPr>
              <w:t>Bedrijfsbrandweer</w:t>
            </w:r>
          </w:p>
        </w:tc>
        <w:tc>
          <w:tcPr>
            <w:tcW w:type="dxa" w:w="1881"/>
            <w:noWrap w:val="false"/>
          </w:tcPr>
          <w:p>
            <w:r/>
            <w:r>
              <w:rPr>
                <w:rFonts w:ascii="Calibri" w:hAnsi="Calibri"/>
                <w:sz w:val="18"/>
              </w:rPr>
              <w:t>In afwijking van M96 kan een bedrijfsbrandweer worden ingezet voor defensief blussen van buitenaf. Toepassing vereist een aanvraag via de omgevingsvergunning, een positief advies van de veiligheidsregio en voldoende personele en materiële inzetcapaciteit.</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M98</w:t>
            </w:r>
          </w:p>
        </w:tc>
        <w:tc>
          <w:tcPr>
            <w:tcW w:type="dxa" w:w="1881"/>
            <w:noWrap w:val="false"/>
          </w:tcPr>
          <w:p>
            <w:r/>
            <w:r>
              <w:rPr>
                <w:rFonts w:ascii="Calibri" w:hAnsi="Calibri"/>
                <w:sz w:val="18"/>
              </w:rPr>
              <w:t>Criteria beoordeling specifieke scenario's bedrijfsbrandweer</w:t>
            </w:r>
          </w:p>
        </w:tc>
        <w:tc>
          <w:tcPr>
            <w:tcW w:type="dxa" w:w="1881"/>
            <w:noWrap w:val="false"/>
          </w:tcPr>
          <w:p>
            <w:r/>
            <w:r>
              <w:rPr>
                <w:rFonts w:ascii="Calibri" w:hAnsi="Calibri"/>
                <w:sz w:val="18"/>
              </w:rPr>
              <w:t>—</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M99</w:t>
            </w:r>
          </w:p>
        </w:tc>
        <w:tc>
          <w:tcPr>
            <w:tcW w:type="dxa" w:w="1881"/>
            <w:noWrap w:val="false"/>
          </w:tcPr>
          <w:p>
            <w:r/>
            <w:r>
              <w:rPr>
                <w:rFonts w:ascii="Calibri" w:hAnsi="Calibri"/>
                <w:sz w:val="18"/>
              </w:rPr>
              <w:t>Uitgangspuntendocument (UPD)</w:t>
            </w:r>
          </w:p>
        </w:tc>
        <w:tc>
          <w:tcPr>
            <w:tcW w:type="dxa" w:w="1881"/>
            <w:noWrap w:val="false"/>
          </w:tcPr>
          <w:p>
            <w:r/>
            <w:r>
              <w:rPr>
                <w:rFonts w:ascii="Calibri" w:hAnsi="Calibri"/>
                <w:sz w:val="18"/>
              </w:rPr>
              <w:t>Voor een opslagvoorziening met VBB-systeem is een UPD opgesteld met uitgangspunten voor ontwerp, uitvoering, beheer en inspectie. Het UPD is goedgekeurd door het bevoegd gezag vóór aanleg en bevat doelstellingen, stoffenlijst, brandscenario's en gekozen systeem.</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M100</w:t>
            </w:r>
          </w:p>
        </w:tc>
        <w:tc>
          <w:tcPr>
            <w:tcW w:type="dxa" w:w="1881"/>
            <w:noWrap w:val="false"/>
          </w:tcPr>
          <w:p>
            <w:r/>
            <w:r>
              <w:rPr>
                <w:rFonts w:ascii="Calibri" w:hAnsi="Calibri"/>
                <w:sz w:val="18"/>
              </w:rPr>
              <w:t>Beoordeling van het UPD</w:t>
            </w:r>
          </w:p>
        </w:tc>
        <w:tc>
          <w:tcPr>
            <w:tcW w:type="dxa" w:w="1881"/>
            <w:noWrap w:val="false"/>
          </w:tcPr>
          <w:p>
            <w:r/>
            <w:r>
              <w:rPr>
                <w:rFonts w:ascii="Calibri" w:hAnsi="Calibri"/>
                <w:sz w:val="18"/>
              </w:rPr>
              <w:t>Het UPD wordt ter goedkeuring aangeboden aan het bevoegd gezag. Het beoordelingsrapport wordt opgesteld door een type-A-inspectieinstelling, geaccrediteerd volgens NEN-EN-ISO/IEC 17020. Bij bedrijfsbrandweer is ook een positieve beoordeling van de veiligheidsregio vereist.</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M101</w:t>
            </w:r>
          </w:p>
        </w:tc>
        <w:tc>
          <w:tcPr>
            <w:tcW w:type="dxa" w:w="1881"/>
            <w:noWrap w:val="false"/>
          </w:tcPr>
          <w:p>
            <w:r/>
            <w:r>
              <w:rPr>
                <w:rFonts w:ascii="Calibri" w:hAnsi="Calibri"/>
                <w:sz w:val="18"/>
              </w:rPr>
              <w:t>Ingebruikname opslagvoorziening</w:t>
            </w:r>
          </w:p>
        </w:tc>
        <w:tc>
          <w:tcPr>
            <w:tcW w:type="dxa" w:w="1881"/>
            <w:noWrap w:val="false"/>
          </w:tcPr>
          <w:p>
            <w:r/>
            <w:r>
              <w:rPr>
                <w:rFonts w:ascii="Calibri" w:hAnsi="Calibri"/>
                <w:sz w:val="18"/>
              </w:rPr>
              <w:t>Een opslagvoorziening met veiligheidsniveau A en VBB-systeem wordt pas in gebruik genomen na een initieel inspectierapport door een type-A-instelling conform het goedgekeurde UPD. Bij bedrijfsbrandweer moet eerst worden voldaan aan de aanwijzing.</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M102</w:t>
            </w:r>
          </w:p>
        </w:tc>
        <w:tc>
          <w:tcPr>
            <w:tcW w:type="dxa" w:w="1881"/>
            <w:noWrap w:val="false"/>
          </w:tcPr>
          <w:p>
            <w:r/>
            <w:r>
              <w:rPr>
                <w:rFonts w:ascii="Calibri" w:hAnsi="Calibri"/>
                <w:sz w:val="18"/>
              </w:rPr>
              <w:t>Jaarlijkse controle van VBB-systeem</w:t>
            </w:r>
          </w:p>
        </w:tc>
        <w:tc>
          <w:tcPr>
            <w:tcW w:type="dxa" w:w="1881"/>
            <w:noWrap w:val="false"/>
          </w:tcPr>
          <w:p>
            <w:r/>
            <w:r>
              <w:rPr>
                <w:rFonts w:ascii="Calibri" w:hAnsi="Calibri"/>
                <w:sz w:val="18"/>
              </w:rPr>
              <w:t>Na ingebruikname wordt het VBB-systeem elke twaalf maanden geïnspecteerd door een type-A-instelling conform het CCV-inspectieschema, getoetst aan het goedgekeurde UPD. Het inspectierapport is beschikbaar in de opslagvoorziening.</w:t>
            </w:r>
          </w:p>
        </w:tc>
        <w:tc>
          <w:tcPr>
            <w:tcW w:type="dxa" w:w="1881"/>
            <w:noWrap w:val="false"/>
          </w:tcPr>
          <w:p>
            <w:r/>
            <w:r>
              <w:rPr>
                <w:rFonts w:ascii="Calibri" w:hAnsi="Calibri"/>
                <w:sz w:val="18"/>
              </w:rPr>
              <w:t>A+, Context</w:t>
            </w:r>
          </w:p>
        </w:tc>
        <w:tc>
          <w:tcPr>
            <w:tcW w:type="dxa" w:w="1881"/>
            <w:noWrap w:val="false"/>
          </w:tcPr>
          <w:p>
            <w:r/>
            <w:r>
              <w:rPr>
                <w:rFonts w:ascii="Calibri" w:hAnsi="Calibri"/>
                <w:sz w:val="18"/>
              </w:rPr>
              <w:t>D11, D12</w:t>
            </w:r>
          </w:p>
        </w:tc>
      </w:tr>
      <w:tr>
        <w:tc>
          <w:tcPr>
            <w:tcW w:type="dxa" w:w="1881"/>
            <w:noWrap w:val="false"/>
          </w:tcPr>
          <w:p>
            <w:r/>
            <w:r>
              <w:rPr>
                <w:rFonts w:ascii="Calibri" w:hAnsi="Calibri"/>
                <w:sz w:val="18"/>
              </w:rPr>
              <w:t>M103</w:t>
            </w:r>
          </w:p>
        </w:tc>
        <w:tc>
          <w:tcPr>
            <w:tcW w:type="dxa" w:w="1881"/>
            <w:noWrap w:val="false"/>
          </w:tcPr>
          <w:p>
            <w:r/>
            <w:r>
              <w:rPr>
                <w:rFonts w:ascii="Calibri" w:hAnsi="Calibri"/>
                <w:sz w:val="18"/>
              </w:rPr>
              <w:t>Bluswatervoorziening en bereikbaarheid</w:t>
            </w:r>
          </w:p>
        </w:tc>
        <w:tc>
          <w:tcPr>
            <w:tcW w:type="dxa" w:w="1881"/>
            <w:noWrap w:val="false"/>
          </w:tcPr>
          <w:p>
            <w:r/>
            <w:r>
              <w:rPr>
                <w:rFonts w:ascii="Calibri" w:hAnsi="Calibri"/>
                <w:sz w:val="18"/>
              </w:rPr>
              <w:t>Voor opslagvoorzieningen met veiligheidsniveau A, B en C is een bluswatervoorziening vereist, bereikbaar en afgestemd op het materieel van de (overheids)brandweer. Voor niveau A is aanvullend koelwater bepaald op basis van uitgewerkte scenario's.</w:t>
            </w:r>
          </w:p>
        </w:tc>
        <w:tc>
          <w:tcPr>
            <w:tcW w:type="dxa" w:w="1881"/>
            <w:noWrap w:val="false"/>
          </w:tcPr>
          <w:p>
            <w:r/>
            <w:r>
              <w:rPr>
                <w:rFonts w:ascii="Calibri" w:hAnsi="Calibri"/>
                <w:sz w:val="18"/>
              </w:rPr>
              <w:t>A+, B+, C+, Context</w:t>
            </w:r>
          </w:p>
        </w:tc>
        <w:tc>
          <w:tcPr>
            <w:tcW w:type="dxa" w:w="1881"/>
            <w:noWrap w:val="false"/>
          </w:tcPr>
          <w:p>
            <w:r/>
            <w:r>
              <w:rPr>
                <w:rFonts w:ascii="Calibri" w:hAnsi="Calibri"/>
                <w:sz w:val="18"/>
              </w:rPr>
              <w:t>D11</w:t>
            </w:r>
          </w:p>
        </w:tc>
      </w:tr>
      <w:tr>
        <w:tc>
          <w:tcPr>
            <w:tcW w:type="dxa" w:w="1881"/>
            <w:noWrap w:val="false"/>
          </w:tcPr>
          <w:p>
            <w:r/>
            <w:r>
              <w:rPr>
                <w:rFonts w:ascii="Calibri" w:hAnsi="Calibri"/>
                <w:sz w:val="18"/>
              </w:rPr>
              <w:t>M104</w:t>
            </w:r>
          </w:p>
        </w:tc>
        <w:tc>
          <w:tcPr>
            <w:tcW w:type="dxa" w:w="1881"/>
            <w:noWrap w:val="false"/>
          </w:tcPr>
          <w:p>
            <w:r/>
            <w:r>
              <w:rPr>
                <w:rFonts w:ascii="Calibri" w:hAnsi="Calibri"/>
                <w:sz w:val="18"/>
              </w:rPr>
              <w:t>Bluswatervoorziening en bereikbaarheid binnenopslag</w:t>
            </w:r>
          </w:p>
        </w:tc>
        <w:tc>
          <w:tcPr>
            <w:tcW w:type="dxa" w:w="1881"/>
            <w:noWrap w:val="false"/>
          </w:tcPr>
          <w:p>
            <w:r/>
            <w:r>
              <w:rPr>
                <w:rFonts w:ascii="Calibri" w:hAnsi="Calibri"/>
                <w:sz w:val="18"/>
              </w:rPr>
              <w:t>Als een opslagvoorziening in een ander bouwwerk ligt, is een bluswatervoorziening aanwezig met een opbrengst van 1.500 l/min binnen 100 m en 15 min opbouwtijd. Er is een veilige inzetplaats op maximaal 25 m van de interne brandscheiding.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D11</w:t>
            </w:r>
          </w:p>
        </w:tc>
      </w:tr>
      <w:tr>
        <w:tc>
          <w:tcPr>
            <w:tcW w:type="dxa" w:w="1881"/>
            <w:noWrap w:val="false"/>
          </w:tcPr>
          <w:p>
            <w:r/>
            <w:r>
              <w:rPr>
                <w:rFonts w:ascii="Calibri" w:hAnsi="Calibri"/>
                <w:sz w:val="18"/>
              </w:rPr>
              <w:t>M105</w:t>
            </w:r>
          </w:p>
        </w:tc>
        <w:tc>
          <w:tcPr>
            <w:tcW w:type="dxa" w:w="1881"/>
            <w:noWrap w:val="false"/>
          </w:tcPr>
          <w:p>
            <w:r/>
            <w:r>
              <w:rPr>
                <w:rFonts w:ascii="Calibri" w:hAnsi="Calibri"/>
                <w:sz w:val="18"/>
              </w:rPr>
              <w:t>Blusleidingen en brandkranen</w:t>
            </w:r>
          </w:p>
        </w:tc>
        <w:tc>
          <w:tcPr>
            <w:tcW w:type="dxa" w:w="1881"/>
            <w:noWrap w:val="false"/>
          </w:tcPr>
          <w:p>
            <w:r/>
            <w:r>
              <w:rPr>
                <w:rFonts w:ascii="Calibri" w:hAnsi="Calibri"/>
                <w:sz w:val="18"/>
              </w:rPr>
              <w:t>Binnen de locatie zijn blusleidingen en brandkranen aanwezig. Brandkranen onderling maximaal 200 m (80 m bij opstallen), waterlevering minimaal 1.500 l/min per kraan bij gebruik van twee kranen. Brandkranen worden altijd vrijgehouden.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D11</w:t>
            </w:r>
          </w:p>
        </w:tc>
      </w:tr>
      <w:tr>
        <w:tc>
          <w:tcPr>
            <w:tcW w:type="dxa" w:w="1881"/>
            <w:noWrap w:val="false"/>
          </w:tcPr>
          <w:p>
            <w:r/>
            <w:r>
              <w:rPr>
                <w:rFonts w:ascii="Calibri" w:hAnsi="Calibri"/>
                <w:sz w:val="18"/>
              </w:rPr>
              <w:t>M106</w:t>
            </w:r>
          </w:p>
        </w:tc>
        <w:tc>
          <w:tcPr>
            <w:tcW w:type="dxa" w:w="1881"/>
            <w:noWrap w:val="false"/>
          </w:tcPr>
          <w:p>
            <w:r/>
            <w:r>
              <w:rPr>
                <w:rFonts w:ascii="Calibri" w:hAnsi="Calibri"/>
                <w:sz w:val="18"/>
              </w:rPr>
              <w:t>Uitvoering van blusleidingen</w:t>
            </w:r>
          </w:p>
        </w:tc>
        <w:tc>
          <w:tcPr>
            <w:tcW w:type="dxa" w:w="1881"/>
            <w:noWrap w:val="false"/>
          </w:tcPr>
          <w:p>
            <w:r/>
            <w:r>
              <w:rPr>
                <w:rFonts w:ascii="Calibri" w:hAnsi="Calibri"/>
                <w:sz w:val="18"/>
              </w:rPr>
              <w:t>Blusleidingen zijn als ringleiding aangelegd met blokafsluiters. Ondergrondse stalen leidingen zijn corrosievast uitgevoerd; bestaande leidingen zijn corrosiebeschermd en aantoonbaar functioneel via inspectie en onderhoud.</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D11</w:t>
            </w:r>
          </w:p>
        </w:tc>
      </w:tr>
      <w:tr>
        <w:tc>
          <w:tcPr>
            <w:tcW w:type="dxa" w:w="1881"/>
            <w:noWrap w:val="false"/>
          </w:tcPr>
          <w:p>
            <w:r/>
            <w:r>
              <w:rPr>
                <w:rFonts w:ascii="Calibri" w:hAnsi="Calibri"/>
                <w:sz w:val="18"/>
              </w:rPr>
              <w:t>M107</w:t>
            </w:r>
          </w:p>
        </w:tc>
        <w:tc>
          <w:tcPr>
            <w:tcW w:type="dxa" w:w="1881"/>
            <w:noWrap w:val="false"/>
          </w:tcPr>
          <w:p>
            <w:r/>
            <w:r>
              <w:rPr>
                <w:rFonts w:ascii="Calibri" w:hAnsi="Calibri"/>
                <w:sz w:val="18"/>
              </w:rPr>
              <w:t>Normering voor brandkranen</w:t>
            </w:r>
          </w:p>
        </w:tc>
        <w:tc>
          <w:tcPr>
            <w:tcW w:type="dxa" w:w="1881"/>
            <w:noWrap w:val="false"/>
          </w:tcPr>
          <w:p>
            <w:r/>
            <w:r>
              <w:rPr>
                <w:rFonts w:ascii="Calibri" w:hAnsi="Calibri"/>
                <w:sz w:val="18"/>
              </w:rPr>
              <w:t>Ondergrondse brandkranen voldoen aan NEN-EN 14339. Bovengrondse brandkranen geïnstalleerd na 1 maart 2008 voldoen aan NEN-EN 14384; daarvoor geldt DIN 3222 of NEN-EN 14384.</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D11</w:t>
            </w:r>
          </w:p>
        </w:tc>
      </w:tr>
      <w:tr>
        <w:tc>
          <w:tcPr>
            <w:tcW w:type="dxa" w:w="1881"/>
            <w:noWrap w:val="false"/>
          </w:tcPr>
          <w:p>
            <w:r/>
            <w:r>
              <w:rPr>
                <w:rFonts w:ascii="Calibri" w:hAnsi="Calibri"/>
                <w:sz w:val="18"/>
              </w:rPr>
              <w:t>M108</w:t>
            </w:r>
          </w:p>
        </w:tc>
        <w:tc>
          <w:tcPr>
            <w:tcW w:type="dxa" w:w="1881"/>
            <w:noWrap w:val="false"/>
          </w:tcPr>
          <w:p>
            <w:r/>
            <w:r>
              <w:rPr>
                <w:rFonts w:ascii="Calibri" w:hAnsi="Calibri"/>
                <w:sz w:val="18"/>
              </w:rPr>
              <w:t>Schuimvormend middel (SVM)</w:t>
            </w:r>
          </w:p>
        </w:tc>
        <w:tc>
          <w:tcPr>
            <w:tcW w:type="dxa" w:w="1881"/>
            <w:noWrap w:val="false"/>
          </w:tcPr>
          <w:p>
            <w:r/>
            <w:r>
              <w:rPr>
                <w:rFonts w:ascii="Calibri" w:hAnsi="Calibri"/>
                <w:sz w:val="18"/>
              </w:rPr>
              <w:t>Bij aanwezigheid van gevaarlijke stoffen in (tank)containers zorgt de beheerder voor schuimvormend middel (SVM), middelen om schuim op te brengen en veilige inzet van (bedrijfs)brandweer. Hoeveelheid en locatie worden afgestemd met de veiligheidsregio.</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D7, D8</w:t>
            </w:r>
          </w:p>
        </w:tc>
      </w:tr>
      <w:tr>
        <w:tc>
          <w:tcPr>
            <w:tcW w:type="dxa" w:w="1881"/>
            <w:noWrap w:val="false"/>
          </w:tcPr>
          <w:p>
            <w:r/>
            <w:r>
              <w:rPr>
                <w:rFonts w:ascii="Calibri" w:hAnsi="Calibri"/>
                <w:sz w:val="18"/>
              </w:rPr>
              <w:t>M109</w:t>
            </w:r>
          </w:p>
        </w:tc>
        <w:tc>
          <w:tcPr>
            <w:tcW w:type="dxa" w:w="1881"/>
            <w:noWrap w:val="false"/>
          </w:tcPr>
          <w:p>
            <w:r/>
            <w:r>
              <w:rPr>
                <w:rFonts w:ascii="Calibri" w:hAnsi="Calibri"/>
                <w:sz w:val="18"/>
              </w:rPr>
              <w:t>Bereikbaarheid</w:t>
            </w:r>
          </w:p>
        </w:tc>
        <w:tc>
          <w:tcPr>
            <w:tcW w:type="dxa" w:w="1881"/>
            <w:noWrap w:val="false"/>
          </w:tcPr>
          <w:p>
            <w:r/>
            <w:r>
              <w:rPr>
                <w:rFonts w:ascii="Calibri" w:hAnsi="Calibri"/>
                <w:sz w:val="18"/>
              </w:rPr>
              <w:t>De opslagvoorziening en calamiteiten-voorzieningen zijn zodanig bereikbaar dat vereiste middelen effectief kunnen worden ingezet. Toegangsdeuren en aansluitpunten voor blussystemen worden vrijgehouden.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D6</w:t>
            </w:r>
          </w:p>
        </w:tc>
      </w:tr>
      <w:tr>
        <w:tc>
          <w:tcPr>
            <w:tcW w:type="dxa" w:w="1881"/>
            <w:noWrap w:val="false"/>
          </w:tcPr>
          <w:p>
            <w:r/>
            <w:r>
              <w:rPr>
                <w:rFonts w:ascii="Calibri" w:hAnsi="Calibri"/>
                <w:sz w:val="18"/>
              </w:rPr>
              <w:t>M110</w:t>
            </w:r>
          </w:p>
        </w:tc>
        <w:tc>
          <w:tcPr>
            <w:tcW w:type="dxa" w:w="1881"/>
            <w:noWrap w:val="false"/>
          </w:tcPr>
          <w:p>
            <w:r/>
            <w:r>
              <w:rPr>
                <w:rFonts w:ascii="Calibri" w:hAnsi="Calibri"/>
                <w:sz w:val="18"/>
              </w:rPr>
              <w:t>Bereikbaarheid terrein</w:t>
            </w:r>
          </w:p>
        </w:tc>
        <w:tc>
          <w:tcPr>
            <w:tcW w:type="dxa" w:w="1881"/>
            <w:noWrap w:val="false"/>
          </w:tcPr>
          <w:p>
            <w:r/>
            <w:r>
              <w:rPr>
                <w:rFonts w:ascii="Calibri" w:hAnsi="Calibri"/>
                <w:sz w:val="18"/>
              </w:rPr>
              <w:t>Het terrein is altijd via twee zo ver mogelijk uit elkaar gelegen ingangen toegankelijk voor hulpdiensten. De minimumbreedte van toegangswegen is 3,5 m.</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D6</w:t>
            </w:r>
          </w:p>
        </w:tc>
      </w:tr>
      <w:tr>
        <w:tc>
          <w:tcPr>
            <w:tcW w:type="dxa" w:w="1881"/>
            <w:noWrap w:val="false"/>
          </w:tcPr>
          <w:p>
            <w:r/>
            <w:r>
              <w:rPr>
                <w:rFonts w:ascii="Calibri" w:hAnsi="Calibri"/>
                <w:sz w:val="18"/>
              </w:rPr>
              <w:t>M111</w:t>
            </w:r>
          </w:p>
        </w:tc>
        <w:tc>
          <w:tcPr>
            <w:tcW w:type="dxa" w:w="1881"/>
            <w:noWrap w:val="false"/>
          </w:tcPr>
          <w:p>
            <w:r/>
            <w:r>
              <w:rPr>
                <w:rFonts w:ascii="Calibri" w:hAnsi="Calibri"/>
                <w:sz w:val="18"/>
              </w:rPr>
              <w:t>Vrijkomen van dampen</w:t>
            </w:r>
          </w:p>
        </w:tc>
        <w:tc>
          <w:tcPr>
            <w:tcW w:type="dxa" w:w="1881"/>
            <w:noWrap w:val="false"/>
          </w:tcPr>
          <w:p>
            <w:r/>
            <w:r>
              <w:rPr>
                <w:rFonts w:ascii="Calibri" w:hAnsi="Calibri"/>
                <w:sz w:val="18"/>
              </w:rPr>
              <w:t>Als onbedoeld dampen kunnen vrijkomen, zijn doeltreffende maatregelen genomen. In een buitenopslag is natuurlijke ventilatie altijd gewaarborgd. Bij binnenopslag is voldoende ventilatie aanwezig.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D4, D7, D8</w:t>
            </w:r>
          </w:p>
        </w:tc>
      </w:tr>
      <w:tr>
        <w:tc>
          <w:tcPr>
            <w:tcW w:type="dxa" w:w="1881"/>
            <w:noWrap w:val="false"/>
          </w:tcPr>
          <w:p>
            <w:r/>
            <w:r>
              <w:rPr>
                <w:rFonts w:ascii="Calibri" w:hAnsi="Calibri"/>
                <w:sz w:val="18"/>
              </w:rPr>
              <w:t>M112</w:t>
            </w:r>
          </w:p>
        </w:tc>
        <w:tc>
          <w:tcPr>
            <w:tcW w:type="dxa" w:w="1881"/>
            <w:noWrap w:val="false"/>
          </w:tcPr>
          <w:p>
            <w:r/>
            <w:r>
              <w:rPr>
                <w:rFonts w:ascii="Calibri" w:hAnsi="Calibri"/>
                <w:sz w:val="18"/>
              </w:rPr>
              <w:t>Eisen aan vloer</w:t>
            </w:r>
          </w:p>
        </w:tc>
        <w:tc>
          <w:tcPr>
            <w:tcW w:type="dxa" w:w="1881"/>
            <w:noWrap w:val="false"/>
          </w:tcPr>
          <w:p>
            <w:r/>
            <w:r>
              <w:rPr>
                <w:rFonts w:ascii="Calibri" w:hAnsi="Calibri"/>
                <w:sz w:val="18"/>
              </w:rPr>
              <w:t>De vloer van een opslagvoorziening is vloeistofdicht en bestand tegen de opgeslagen stoffen, of er zijn doeltreffende maatregelen genomen om te voorkomen dat gemorste of gelekte stoffen in de bodem of het riool terechtkomen.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D4, D8</w:t>
            </w:r>
          </w:p>
        </w:tc>
      </w:tr>
      <w:tr>
        <w:tc>
          <w:tcPr>
            <w:tcW w:type="dxa" w:w="1881"/>
            <w:noWrap w:val="false"/>
          </w:tcPr>
          <w:p>
            <w:r/>
            <w:r>
              <w:rPr>
                <w:rFonts w:ascii="Calibri" w:hAnsi="Calibri"/>
                <w:sz w:val="18"/>
              </w:rPr>
              <w:t>M113</w:t>
            </w:r>
          </w:p>
        </w:tc>
        <w:tc>
          <w:tcPr>
            <w:tcW w:type="dxa" w:w="1881"/>
            <w:noWrap w:val="false"/>
          </w:tcPr>
          <w:p>
            <w:r/>
            <w:r>
              <w:rPr>
                <w:rFonts w:ascii="Calibri" w:hAnsi="Calibri"/>
                <w:sz w:val="18"/>
              </w:rPr>
              <w:t>Intern noodplan en/of noodprocedures</w:t>
            </w:r>
          </w:p>
        </w:tc>
        <w:tc>
          <w:tcPr>
            <w:tcW w:type="dxa" w:w="1881"/>
            <w:noWrap w:val="false"/>
          </w:tcPr>
          <w:p>
            <w:r/>
            <w:r>
              <w:rPr>
                <w:rFonts w:ascii="Calibri" w:hAnsi="Calibri"/>
                <w:sz w:val="18"/>
              </w:rPr>
              <w:t>De beheerder stelt een intern noodplan op met procedures voor detectie, waarschuwing, ontruiming en bestrijding van incidenten met gevaarlijke stoffen, passend bij de omvang en complexiteit van de locatie.</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M114</w:t>
            </w:r>
          </w:p>
        </w:tc>
        <w:tc>
          <w:tcPr>
            <w:tcW w:type="dxa" w:w="1881"/>
            <w:noWrap w:val="false"/>
          </w:tcPr>
          <w:p>
            <w:r/>
            <w:r>
              <w:rPr>
                <w:rFonts w:ascii="Calibri" w:hAnsi="Calibri"/>
                <w:sz w:val="18"/>
              </w:rPr>
              <w:t>Intern noodplan - evaluatie</w:t>
            </w:r>
          </w:p>
        </w:tc>
        <w:tc>
          <w:tcPr>
            <w:tcW w:type="dxa" w:w="1881"/>
            <w:noWrap w:val="false"/>
          </w:tcPr>
          <w:p>
            <w:r/>
            <w:r>
              <w:rPr>
                <w:rFonts w:ascii="Calibri" w:hAnsi="Calibri"/>
                <w:sz w:val="18"/>
              </w:rPr>
              <w:t>Het intern noodplan wordt periodiek geëvalueerd en zonodig bijgewerkt, bijvoorbeeld na een incident, wijziging van opgeslagen stoffen of veranderingen in de bedrijfsvoering.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M115</w:t>
            </w:r>
          </w:p>
        </w:tc>
        <w:tc>
          <w:tcPr>
            <w:tcW w:type="dxa" w:w="1881"/>
            <w:noWrap w:val="false"/>
          </w:tcPr>
          <w:p>
            <w:r/>
            <w:r>
              <w:rPr>
                <w:rFonts w:ascii="Calibri" w:hAnsi="Calibri"/>
                <w:sz w:val="18"/>
              </w:rPr>
              <w:t>Nooddouche en oogspoelvoorziening</w:t>
            </w:r>
          </w:p>
        </w:tc>
        <w:tc>
          <w:tcPr>
            <w:tcW w:type="dxa" w:w="1881"/>
            <w:noWrap w:val="false"/>
          </w:tcPr>
          <w:p>
            <w:r/>
            <w:r>
              <w:rPr>
                <w:rFonts w:ascii="Calibri" w:hAnsi="Calibri"/>
                <w:sz w:val="18"/>
              </w:rPr>
              <w:t>Op locaties waar wordt gewerkt met gevaarlijke stoffen is een nooddouche en oogspoelvoorziening aanwezig, aangesloten op het waterleidingnet met voldoende capaciteit, bereikbaar binnen 10 seconden loopafstand.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M116</w:t>
            </w:r>
          </w:p>
        </w:tc>
        <w:tc>
          <w:tcPr>
            <w:tcW w:type="dxa" w:w="1881"/>
            <w:noWrap w:val="false"/>
          </w:tcPr>
          <w:p>
            <w:r/>
            <w:r>
              <w:rPr>
                <w:rFonts w:ascii="Calibri" w:hAnsi="Calibri"/>
                <w:sz w:val="18"/>
              </w:rPr>
              <w:t>Informatievoorziening hulpdiensten</w:t>
            </w:r>
          </w:p>
        </w:tc>
        <w:tc>
          <w:tcPr>
            <w:tcW w:type="dxa" w:w="1881"/>
            <w:noWrap w:val="false"/>
          </w:tcPr>
          <w:p>
            <w:r/>
            <w:r>
              <w:rPr>
                <w:rFonts w:ascii="Calibri" w:hAnsi="Calibri"/>
                <w:sz w:val="18"/>
              </w:rPr>
              <w:t>Informatie over de aard, hoeveelheid en locatie van de opgeslagen gevaarlijke stoffen wordt beschikbaar gesteld aan hulpdiensten, conform de eisen van de veiligheidsregio en het Besluit kwaliteit leefomgeving.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D6</w:t>
            </w:r>
          </w:p>
        </w:tc>
      </w:tr>
      <w:tr>
        <w:tc>
          <w:tcPr>
            <w:tcW w:type="dxa" w:w="1881"/>
            <w:noWrap w:val="false"/>
          </w:tcPr>
          <w:p>
            <w:r/>
            <w:r>
              <w:rPr>
                <w:rFonts w:ascii="Calibri" w:hAnsi="Calibri"/>
                <w:sz w:val="18"/>
              </w:rPr>
              <w:t>M117</w:t>
            </w:r>
          </w:p>
        </w:tc>
        <w:tc>
          <w:tcPr>
            <w:tcW w:type="dxa" w:w="1881"/>
            <w:noWrap w:val="false"/>
          </w:tcPr>
          <w:p>
            <w:r/>
            <w:r>
              <w:rPr>
                <w:rFonts w:ascii="Calibri" w:hAnsi="Calibri"/>
                <w:sz w:val="18"/>
              </w:rPr>
              <w:t>Informatievoorziening hulpdiensten - aanvullende informatie</w:t>
            </w:r>
          </w:p>
        </w:tc>
        <w:tc>
          <w:tcPr>
            <w:tcW w:type="dxa" w:w="1881"/>
            <w:noWrap w:val="false"/>
          </w:tcPr>
          <w:p>
            <w:r/>
            <w:r>
              <w:rPr>
                <w:rFonts w:ascii="Calibri" w:hAnsi="Calibri"/>
                <w:sz w:val="18"/>
              </w:rPr>
              <w:t>Aanvullend op M116 wordt specifieke informatie verstrekt over de aanwezige installaties, bluswatervoorzieningen, bereikbaarheid en andere relevante aspecten voor een effectieve inzet van hulpdiensten.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D6</w:t>
            </w:r>
          </w:p>
        </w:tc>
      </w:tr>
      <w:tr>
        <w:tc>
          <w:tcPr>
            <w:tcW w:type="dxa" w:w="1881"/>
            <w:noWrap w:val="false"/>
          </w:tcPr>
          <w:p>
            <w:r/>
            <w:r>
              <w:rPr>
                <w:rFonts w:ascii="Calibri" w:hAnsi="Calibri"/>
                <w:sz w:val="18"/>
              </w:rPr>
              <w:t>M118</w:t>
            </w:r>
          </w:p>
        </w:tc>
        <w:tc>
          <w:tcPr>
            <w:tcW w:type="dxa" w:w="1881"/>
            <w:noWrap w:val="false"/>
          </w:tcPr>
          <w:p>
            <w:r/>
            <w:r>
              <w:rPr>
                <w:rFonts w:ascii="Calibri" w:hAnsi="Calibri"/>
                <w:sz w:val="18"/>
              </w:rPr>
              <w:t>Wijze van beschikbaar stellen informatie</w:t>
            </w:r>
          </w:p>
        </w:tc>
        <w:tc>
          <w:tcPr>
            <w:tcW w:type="dxa" w:w="1881"/>
            <w:noWrap w:val="false"/>
          </w:tcPr>
          <w:p>
            <w:r/>
            <w:r>
              <w:rPr>
                <w:rFonts w:ascii="Calibri" w:hAnsi="Calibri"/>
                <w:sz w:val="18"/>
              </w:rPr>
              <w:t>De wijze waarop informatie aan hulpdiensten wordt beschikbaar gesteld is afgestemd met de veiligheidsregio, bijvoorbeeld via een digitaal portaal, papieren documentatie of eeninrichtingsplan.</w:t>
            </w:r>
          </w:p>
        </w:tc>
        <w:tc>
          <w:tcPr>
            <w:tcW w:type="dxa" w:w="1881"/>
            <w:noWrap w:val="false"/>
          </w:tcPr>
          <w:p>
            <w:r/>
            <w:r>
              <w:rPr>
                <w:rFonts w:ascii="Calibri" w:hAnsi="Calibri"/>
                <w:sz w:val="18"/>
              </w:rPr>
              <w:t>Basis</w:t>
            </w:r>
          </w:p>
        </w:tc>
        <w:tc>
          <w:tcPr>
            <w:tcW w:type="dxa" w:w="1881"/>
            <w:noWrap w:val="false"/>
          </w:tcPr>
          <w:p>
            <w:r/>
            <w:r>
              <w:rPr>
                <w:rFonts w:ascii="Calibri" w:hAnsi="Calibri"/>
                <w:sz w:val="18"/>
              </w:rPr>
              <w:t>D6</w:t>
            </w:r>
          </w:p>
        </w:tc>
      </w:tr>
      <w:tr>
        <w:tc>
          <w:tcPr>
            <w:tcW w:type="dxa" w:w="1881"/>
            <w:noWrap w:val="false"/>
          </w:tcPr>
          <w:p>
            <w:r/>
            <w:r>
              <w:rPr>
                <w:rFonts w:ascii="Calibri" w:hAnsi="Calibri"/>
                <w:sz w:val="18"/>
              </w:rPr>
              <w:t>M119</w:t>
            </w:r>
          </w:p>
        </w:tc>
        <w:tc>
          <w:tcPr>
            <w:tcW w:type="dxa" w:w="1881"/>
            <w:noWrap w:val="false"/>
          </w:tcPr>
          <w:p>
            <w:r/>
            <w:r>
              <w:rPr>
                <w:rFonts w:ascii="Calibri" w:hAnsi="Calibri"/>
                <w:sz w:val="18"/>
              </w:rPr>
              <w:t>Opruimen gemorste gevaarlijke stoffen</w:t>
            </w:r>
          </w:p>
        </w:tc>
        <w:tc>
          <w:tcPr>
            <w:tcW w:type="dxa" w:w="1881"/>
            <w:noWrap w:val="false"/>
          </w:tcPr>
          <w:p>
            <w:r/>
            <w:r>
              <w:rPr>
                <w:rFonts w:ascii="Calibri" w:hAnsi="Calibri"/>
                <w:sz w:val="18"/>
              </w:rPr>
              <w:t>Gemorste of gelekte gevaarlijke stoffen worden direct en op correcte wijze opgeruimd met geschikte middelen. Het opruimprotocol is vastgelegd en personeel is getraind in de juiste werkwijze.</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D4</w:t>
            </w:r>
          </w:p>
        </w:tc>
      </w:tr>
      <w:tr>
        <w:tc>
          <w:tcPr>
            <w:tcW w:type="dxa" w:w="1881"/>
            <w:noWrap w:val="false"/>
          </w:tcPr>
          <w:p>
            <w:r/>
            <w:r>
              <w:rPr>
                <w:rFonts w:ascii="Calibri" w:hAnsi="Calibri"/>
                <w:sz w:val="18"/>
              </w:rPr>
              <w:t>M120</w:t>
            </w:r>
          </w:p>
        </w:tc>
        <w:tc>
          <w:tcPr>
            <w:tcW w:type="dxa" w:w="1881"/>
            <w:noWrap w:val="false"/>
          </w:tcPr>
          <w:p>
            <w:r/>
            <w:r>
              <w:rPr>
                <w:rFonts w:ascii="Calibri" w:hAnsi="Calibri"/>
                <w:sz w:val="18"/>
              </w:rPr>
              <w:t>Lekkage-instructie</w:t>
            </w:r>
          </w:p>
        </w:tc>
        <w:tc>
          <w:tcPr>
            <w:tcW w:type="dxa" w:w="1881"/>
            <w:noWrap w:val="false"/>
          </w:tcPr>
          <w:p>
            <w:r/>
            <w:r>
              <w:rPr>
                <w:rFonts w:ascii="Calibri" w:hAnsi="Calibri"/>
                <w:sz w:val="18"/>
              </w:rPr>
              <w:t>Er is een lekkage-instructie aanwezig die beschrijft welke acties moeten worden ondernomen bij een lekkage van gevaarlijke stoffen, inclusief het gebruik van persoonlijke beschermingsmiddelen en het alarmeren van hulpdiensten.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D4, D5</w:t>
            </w:r>
          </w:p>
        </w:tc>
      </w:tr>
      <w:tr>
        <w:tc>
          <w:tcPr>
            <w:tcW w:type="dxa" w:w="1881"/>
            <w:noWrap w:val="false"/>
          </w:tcPr>
          <w:p>
            <w:r/>
            <w:r>
              <w:rPr>
                <w:rFonts w:ascii="Calibri" w:hAnsi="Calibri"/>
                <w:sz w:val="18"/>
              </w:rPr>
              <w:t>M121</w:t>
            </w:r>
          </w:p>
        </w:tc>
        <w:tc>
          <w:tcPr>
            <w:tcW w:type="dxa" w:w="1881"/>
            <w:noWrap w:val="false"/>
          </w:tcPr>
          <w:p>
            <w:r/>
            <w:r>
              <w:rPr>
                <w:rFonts w:ascii="Calibri" w:hAnsi="Calibri"/>
                <w:sz w:val="18"/>
              </w:rPr>
              <w:t>Calamiteiteninstructie</w:t>
            </w:r>
          </w:p>
        </w:tc>
        <w:tc>
          <w:tcPr>
            <w:tcW w:type="dxa" w:w="1881"/>
            <w:noWrap w:val="false"/>
          </w:tcPr>
          <w:p>
            <w:r/>
            <w:r>
              <w:rPr>
                <w:rFonts w:ascii="Calibri" w:hAnsi="Calibri"/>
                <w:sz w:val="18"/>
              </w:rPr>
              <w:t>Er is een calamiteiteninstructie aanwezig die beschrijft welke acties moeten worden ondernomen bij brand, explosie of andere calamiteiten, inclusief ontruimingsprocedures en alarmeringsprotocollen.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M122</w:t>
            </w:r>
          </w:p>
        </w:tc>
        <w:tc>
          <w:tcPr>
            <w:tcW w:type="dxa" w:w="1881"/>
            <w:noWrap w:val="false"/>
          </w:tcPr>
          <w:p>
            <w:r/>
            <w:r>
              <w:rPr>
                <w:rFonts w:ascii="Calibri" w:hAnsi="Calibri"/>
                <w:sz w:val="18"/>
              </w:rPr>
              <w:t>Calamiteitenploeg</w:t>
            </w:r>
          </w:p>
        </w:tc>
        <w:tc>
          <w:tcPr>
            <w:tcW w:type="dxa" w:w="1881"/>
            <w:noWrap w:val="false"/>
          </w:tcPr>
          <w:p>
            <w:r/>
            <w:r>
              <w:rPr>
                <w:rFonts w:ascii="Calibri" w:hAnsi="Calibri"/>
                <w:sz w:val="18"/>
              </w:rPr>
              <w:t>Er is een calamiteitenploeg aanwezig of beschikbaar, bestaande uit getraind personeel dat in staat is om eerste maatregelen te nemen bij incidenten met gevaarlijke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M123</w:t>
            </w:r>
          </w:p>
        </w:tc>
        <w:tc>
          <w:tcPr>
            <w:tcW w:type="dxa" w:w="1881"/>
            <w:noWrap w:val="false"/>
          </w:tcPr>
          <w:p>
            <w:r/>
            <w:r>
              <w:rPr>
                <w:rFonts w:ascii="Calibri" w:hAnsi="Calibri"/>
                <w:sz w:val="18"/>
              </w:rPr>
              <w:t>Middelen voor incidentbestrijding</w:t>
            </w:r>
          </w:p>
        </w:tc>
        <w:tc>
          <w:tcPr>
            <w:tcW w:type="dxa" w:w="1881"/>
            <w:noWrap w:val="false"/>
          </w:tcPr>
          <w:p>
            <w:r/>
            <w:r>
              <w:rPr>
                <w:rFonts w:ascii="Calibri" w:hAnsi="Calibri"/>
                <w:sz w:val="18"/>
              </w:rPr>
              <w:t>Er zijn voldoende middelen voor incidentbestrijding aanwezig, zoals absorptiemateriaal, persoonlijke beschermingsmiddelen, blustoestellen en lekbakken, afgestemd op de soorten gevaarlijke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D4, D5</w:t>
            </w:r>
          </w:p>
        </w:tc>
      </w:tr>
      <w:tr>
        <w:tc>
          <w:tcPr>
            <w:tcW w:type="dxa" w:w="1881"/>
            <w:noWrap w:val="false"/>
          </w:tcPr>
          <w:p>
            <w:r/>
            <w:r>
              <w:rPr>
                <w:rFonts w:ascii="Calibri" w:hAnsi="Calibri"/>
                <w:sz w:val="18"/>
              </w:rPr>
              <w:t>M124</w:t>
            </w:r>
          </w:p>
        </w:tc>
        <w:tc>
          <w:tcPr>
            <w:tcW w:type="dxa" w:w="1881"/>
            <w:noWrap w:val="false"/>
          </w:tcPr>
          <w:p>
            <w:r/>
            <w:r>
              <w:rPr>
                <w:rFonts w:ascii="Calibri" w:hAnsi="Calibri"/>
                <w:sz w:val="18"/>
              </w:rPr>
              <w:t>Beschadigde of lekkende gasflessen</w:t>
            </w:r>
          </w:p>
        </w:tc>
        <w:tc>
          <w:tcPr>
            <w:tcW w:type="dxa" w:w="1881"/>
            <w:noWrap w:val="false"/>
          </w:tcPr>
          <w:p>
            <w:r/>
            <w:r>
              <w:rPr>
                <w:rFonts w:ascii="Calibri" w:hAnsi="Calibri"/>
                <w:sz w:val="18"/>
              </w:rPr>
              <w:t>Beschadigde of lekkende gasflessen worden onmiddellijk veiliggesteld en afgevoerd naar een veilige locatie. Er is een procedure voor het omgaan met defecte gasflessen, inclusief communicatie met leveranciers en hulpdiensten.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D4</w:t>
            </w:r>
          </w:p>
        </w:tc>
      </w:tr>
      <w:tr>
        <w:tc>
          <w:tcPr>
            <w:tcW w:type="dxa" w:w="1881"/>
            <w:noWrap w:val="false"/>
          </w:tcPr>
          <w:p>
            <w:r/>
            <w:r>
              <w:rPr>
                <w:rFonts w:ascii="Calibri" w:hAnsi="Calibri"/>
                <w:sz w:val="18"/>
              </w:rPr>
              <w:t>M125</w:t>
            </w:r>
          </w:p>
        </w:tc>
        <w:tc>
          <w:tcPr>
            <w:tcW w:type="dxa" w:w="1881"/>
            <w:noWrap w:val="false"/>
          </w:tcPr>
          <w:p>
            <w:r/>
            <w:r>
              <w:rPr>
                <w:rFonts w:ascii="Calibri" w:hAnsi="Calibri"/>
                <w:sz w:val="18"/>
              </w:rPr>
              <w:t>Calamiteitenplaats</w:t>
            </w:r>
          </w:p>
        </w:tc>
        <w:tc>
          <w:tcPr>
            <w:tcW w:type="dxa" w:w="1881"/>
            <w:noWrap w:val="false"/>
          </w:tcPr>
          <w:p>
            <w:r/>
            <w:r>
              <w:rPr>
                <w:rFonts w:ascii="Calibri" w:hAnsi="Calibri"/>
                <w:sz w:val="18"/>
              </w:rPr>
              <w:t>Er is een calamiteitenplaats aanwezig op het terrein waar (tank)containers met lekkage veilig kunnen worden geplaatst, voorzien van een opvangvoorziening en op voldoende afstand van andere opslagvoorzieningen en locatiegrenzen.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M126</w:t>
            </w:r>
          </w:p>
        </w:tc>
        <w:tc>
          <w:tcPr>
            <w:tcW w:type="dxa" w:w="1881"/>
            <w:noWrap w:val="false"/>
          </w:tcPr>
          <w:p>
            <w:r/>
            <w:r>
              <w:rPr>
                <w:rFonts w:ascii="Calibri" w:hAnsi="Calibri"/>
                <w:sz w:val="18"/>
              </w:rPr>
              <w:t>Omvang en bereikbaarheid calamiteitenplaats</w:t>
            </w:r>
          </w:p>
        </w:tc>
        <w:tc>
          <w:tcPr>
            <w:tcW w:type="dxa" w:w="1881"/>
            <w:noWrap w:val="false"/>
          </w:tcPr>
          <w:p>
            <w:r/>
            <w:r>
              <w:rPr>
                <w:rFonts w:ascii="Calibri" w:hAnsi="Calibri"/>
                <w:sz w:val="18"/>
              </w:rPr>
              <w:t>De calamiteitenplaats is voldoende groot en bereikbaar voor hulpdiensten, voorzien van een opvangvoorziening voor de inhoud van de grootste (tank)container, en ligt op veilige afstand van gebouwen en opslagvoorzieningen.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M127</w:t>
            </w:r>
          </w:p>
        </w:tc>
        <w:tc>
          <w:tcPr>
            <w:tcW w:type="dxa" w:w="1881"/>
            <w:noWrap w:val="false"/>
          </w:tcPr>
          <w:p>
            <w:r/>
            <w:r>
              <w:rPr>
                <w:rFonts w:ascii="Calibri" w:hAnsi="Calibri"/>
                <w:sz w:val="18"/>
              </w:rPr>
              <w:t>Verplaatsing (tank)container naar calamiteitenplaats</w:t>
            </w:r>
          </w:p>
        </w:tc>
        <w:tc>
          <w:tcPr>
            <w:tcW w:type="dxa" w:w="1881"/>
            <w:noWrap w:val="false"/>
          </w:tcPr>
          <w:p>
            <w:r/>
            <w:r>
              <w:rPr>
                <w:rFonts w:ascii="Calibri" w:hAnsi="Calibri"/>
                <w:sz w:val="18"/>
              </w:rPr>
              <w:t>Een (tank)container met lekkage kan veilig en snel worden verplaatst naar de calamiteitenplaats met geschikt materieel en getraind personeel.</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M128</w:t>
            </w:r>
          </w:p>
        </w:tc>
        <w:tc>
          <w:tcPr>
            <w:tcW w:type="dxa" w:w="1881"/>
            <w:noWrap w:val="false"/>
          </w:tcPr>
          <w:p>
            <w:r/>
            <w:r>
              <w:rPr>
                <w:rFonts w:ascii="Calibri" w:hAnsi="Calibri"/>
                <w:sz w:val="18"/>
              </w:rPr>
              <w:t>Verrijdbare opvangbak</w:t>
            </w:r>
          </w:p>
        </w:tc>
        <w:tc>
          <w:tcPr>
            <w:tcW w:type="dxa" w:w="1881"/>
            <w:noWrap w:val="false"/>
          </w:tcPr>
          <w:p>
            <w:r/>
            <w:r>
              <w:rPr>
                <w:rFonts w:ascii="Calibri" w:hAnsi="Calibri"/>
                <w:sz w:val="18"/>
              </w:rPr>
              <w:t>Er is een verrijdbare opvangbak beschikbaar die kan worden ingezet bij lekkage van (tank)containers of vervoerseenheden, groot genoeg om de inhoud van de grootste verpakking op te vangen.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M129</w:t>
            </w:r>
          </w:p>
        </w:tc>
        <w:tc>
          <w:tcPr>
            <w:tcW w:type="dxa" w:w="1881"/>
            <w:noWrap w:val="false"/>
          </w:tcPr>
          <w:p>
            <w:r/>
            <w:r>
              <w:rPr>
                <w:rFonts w:ascii="Calibri" w:hAnsi="Calibri"/>
                <w:sz w:val="18"/>
              </w:rPr>
              <w:t>Opstelling geparkeerde voertuigen met gevaarlijke stoffen</w:t>
            </w:r>
          </w:p>
        </w:tc>
        <w:tc>
          <w:tcPr>
            <w:tcW w:type="dxa" w:w="1881"/>
            <w:noWrap w:val="false"/>
          </w:tcPr>
          <w:p>
            <w:r/>
            <w:r>
              <w:rPr>
                <w:rFonts w:ascii="Calibri" w:hAnsi="Calibri"/>
                <w:sz w:val="18"/>
              </w:rPr>
              <w:t>Geparkeerde voertuigen met gevaarlijke stoffen worden op een daarvoor bestemde plaats opgesteld, op voldoende afstand van gebouwen, opslagvoorzieningen en locatiegrenzen, en zodanig dat ze bij calamiteiten kunnen worden verplaatst.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M130</w:t>
            </w:r>
          </w:p>
        </w:tc>
        <w:tc>
          <w:tcPr>
            <w:tcW w:type="dxa" w:w="1881"/>
            <w:noWrap w:val="false"/>
          </w:tcPr>
          <w:p>
            <w:r/>
            <w:r>
              <w:rPr>
                <w:rFonts w:ascii="Calibri" w:hAnsi="Calibri"/>
                <w:sz w:val="18"/>
              </w:rPr>
              <w:t>Opslagvoorziening - vluchtroute</w:t>
            </w:r>
          </w:p>
        </w:tc>
        <w:tc>
          <w:tcPr>
            <w:tcW w:type="dxa" w:w="1881"/>
            <w:noWrap w:val="false"/>
          </w:tcPr>
          <w:p>
            <w:r/>
            <w:r>
              <w:rPr>
                <w:rFonts w:ascii="Calibri" w:hAnsi="Calibri"/>
                <w:sz w:val="18"/>
              </w:rPr>
              <w:t>Een opslagvoorziening heeft voldoende vluchtroutes, zodanig dat bij een calamiteit alle aanwezigen de opslagvoorziening snel en veilig kunnen verlaten.</w:t>
            </w:r>
          </w:p>
        </w:tc>
        <w:tc>
          <w:tcPr>
            <w:tcW w:type="dxa" w:w="1881"/>
            <w:noWrap w:val="false"/>
          </w:tcPr>
          <w:p>
            <w:r/>
            <w:r>
              <w:rPr>
                <w:rFonts w:ascii="Calibri" w:hAnsi="Calibri"/>
                <w:sz w:val="18"/>
              </w:rPr>
              <w:t>Basis</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M131</w:t>
            </w:r>
          </w:p>
        </w:tc>
        <w:tc>
          <w:tcPr>
            <w:tcW w:type="dxa" w:w="1881"/>
            <w:noWrap w:val="false"/>
          </w:tcPr>
          <w:p>
            <w:r/>
            <w:r>
              <w:rPr>
                <w:rFonts w:ascii="Calibri" w:hAnsi="Calibri"/>
                <w:sz w:val="18"/>
              </w:rPr>
              <w:t>Vluchtroutes</w:t>
            </w:r>
          </w:p>
        </w:tc>
        <w:tc>
          <w:tcPr>
            <w:tcW w:type="dxa" w:w="1881"/>
            <w:noWrap w:val="false"/>
          </w:tcPr>
          <w:p>
            <w:r/>
            <w:r>
              <w:rPr>
                <w:rFonts w:ascii="Calibri" w:hAnsi="Calibri"/>
                <w:sz w:val="18"/>
              </w:rPr>
              <w:t>Vluchtroutes zijn duidelijk gemarkeerd, vrij toegankelijk en leiden direct naar de buitenlucht of een veilige ruimte. De breedte en aantal vluchtroutes zijn afgestemd op het aantal personen en de oppervlakte van de opslagvoorziening.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M132</w:t>
            </w:r>
          </w:p>
        </w:tc>
        <w:tc>
          <w:tcPr>
            <w:tcW w:type="dxa" w:w="1881"/>
            <w:noWrap w:val="false"/>
          </w:tcPr>
          <w:p>
            <w:r/>
            <w:r>
              <w:rPr>
                <w:rFonts w:ascii="Calibri" w:hAnsi="Calibri"/>
                <w:sz w:val="18"/>
              </w:rPr>
              <w:t>Toegangsdeur</w:t>
            </w:r>
          </w:p>
        </w:tc>
        <w:tc>
          <w:tcPr>
            <w:tcW w:type="dxa" w:w="1881"/>
            <w:noWrap w:val="false"/>
          </w:tcPr>
          <w:p>
            <w:r/>
            <w:r>
              <w:rPr>
                <w:rFonts w:ascii="Calibri" w:hAnsi="Calibri"/>
                <w:sz w:val="18"/>
              </w:rPr>
              <w:t>Toegangsdeuren tot de opslagvoorziening zijn van buitenaf te openen zonder sleutel of gereedschap, of zijn voorzien van paniekbeslag, zodat bij nood de opslagvoorziening direct kan worden verlaten.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M133</w:t>
            </w:r>
          </w:p>
        </w:tc>
        <w:tc>
          <w:tcPr>
            <w:tcW w:type="dxa" w:w="1881"/>
            <w:noWrap w:val="false"/>
          </w:tcPr>
          <w:p>
            <w:r/>
            <w:r>
              <w:rPr>
                <w:rFonts w:ascii="Calibri" w:hAnsi="Calibri"/>
                <w:sz w:val="18"/>
              </w:rPr>
              <w:t>Noodverlichting en vluchtrouteaanduiding</w:t>
            </w:r>
          </w:p>
        </w:tc>
        <w:tc>
          <w:tcPr>
            <w:tcW w:type="dxa" w:w="1881"/>
            <w:noWrap w:val="false"/>
          </w:tcPr>
          <w:p>
            <w:r/>
            <w:r>
              <w:rPr>
                <w:rFonts w:ascii="Calibri" w:hAnsi="Calibri"/>
                <w:sz w:val="18"/>
              </w:rPr>
              <w:t>Er is noodverlichting en vluchtrouteaanduiding aanwezig conform de geldende normen, zodat bij stroomuitval of rookontwikkeling de vluchtroutes zichtbaar blijven en personen veilig kunnen vluchten.</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w:t>
            </w:r>
          </w:p>
        </w:tc>
      </w:tr>
      <w:tr>
        <w:tc>
          <w:tcPr>
            <w:tcW w:type="dxa" w:w="1881"/>
            <w:noWrap w:val="false"/>
          </w:tcPr>
          <w:p>
            <w:r/>
            <w:r>
              <w:rPr>
                <w:rFonts w:ascii="Calibri" w:hAnsi="Calibri"/>
                <w:sz w:val="18"/>
              </w:rPr>
              <w:t>M134</w:t>
            </w:r>
          </w:p>
        </w:tc>
        <w:tc>
          <w:tcPr>
            <w:tcW w:type="dxa" w:w="1881"/>
            <w:noWrap w:val="false"/>
          </w:tcPr>
          <w:p>
            <w:r/>
            <w:r>
              <w:rPr>
                <w:rFonts w:ascii="Calibri" w:hAnsi="Calibri"/>
                <w:sz w:val="18"/>
              </w:rPr>
              <w:t>Rook- en vuurverbod</w:t>
            </w:r>
          </w:p>
        </w:tc>
        <w:tc>
          <w:tcPr>
            <w:tcW w:type="dxa" w:w="1881"/>
            <w:noWrap w:val="false"/>
          </w:tcPr>
          <w:p>
            <w:r/>
            <w:r>
              <w:rPr>
                <w:rFonts w:ascii="Calibri" w:hAnsi="Calibri"/>
                <w:sz w:val="18"/>
              </w:rPr>
              <w:t>Roken en open vuur zijn verboden in en nabij de opslagvoorziening. Hieraan wordt voldaan door duidelijke bordeling en handhaving van het rook- en vuurverbod.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D8, D9</w:t>
            </w:r>
          </w:p>
        </w:tc>
      </w:tr>
      <w:tr>
        <w:tc>
          <w:tcPr>
            <w:tcW w:type="dxa" w:w="1881"/>
            <w:noWrap w:val="false"/>
          </w:tcPr>
          <w:p>
            <w:r/>
            <w:r>
              <w:rPr>
                <w:rFonts w:ascii="Calibri" w:hAnsi="Calibri"/>
                <w:sz w:val="18"/>
              </w:rPr>
              <w:t>M135</w:t>
            </w:r>
          </w:p>
        </w:tc>
        <w:tc>
          <w:tcPr>
            <w:tcW w:type="dxa" w:w="1881"/>
            <w:noWrap w:val="false"/>
          </w:tcPr>
          <w:p>
            <w:r/>
            <w:r>
              <w:rPr>
                <w:rFonts w:ascii="Calibri" w:hAnsi="Calibri"/>
                <w:sz w:val="18"/>
              </w:rPr>
              <w:t>Veiligheidssignalering</w:t>
            </w:r>
          </w:p>
        </w:tc>
        <w:tc>
          <w:tcPr>
            <w:tcW w:type="dxa" w:w="1881"/>
            <w:noWrap w:val="false"/>
          </w:tcPr>
          <w:p>
            <w:r/>
            <w:r>
              <w:rPr>
                <w:rFonts w:ascii="Calibri" w:hAnsi="Calibri"/>
                <w:sz w:val="18"/>
              </w:rPr>
              <w:t>Veiligheidssignalering conform NEN-EN-ISO 7010 is aanwezig in en bij de opslagvoorziening, waaronder verbods-, gebods-, waarschuwings- en brandblussignalering.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M136</w:t>
            </w:r>
          </w:p>
        </w:tc>
        <w:tc>
          <w:tcPr>
            <w:tcW w:type="dxa" w:w="1881"/>
            <w:noWrap w:val="false"/>
          </w:tcPr>
          <w:p>
            <w:r/>
            <w:r>
              <w:rPr>
                <w:rFonts w:ascii="Calibri" w:hAnsi="Calibri"/>
                <w:sz w:val="18"/>
              </w:rPr>
              <w:t>Gevaaraspecten op etiketten</w:t>
            </w:r>
          </w:p>
        </w:tc>
        <w:tc>
          <w:tcPr>
            <w:tcW w:type="dxa" w:w="1881"/>
            <w:noWrap w:val="false"/>
          </w:tcPr>
          <w:p>
            <w:r/>
            <w:r>
              <w:rPr>
                <w:rFonts w:ascii="Calibri" w:hAnsi="Calibri"/>
                <w:sz w:val="18"/>
              </w:rPr>
              <w:t>Alle gevaaraspecten op etiketten van opgeslagen stoffen zijn goed leesbaar en in de Nederlandse taal of met pictogrammen begrijpelijk. Etiketten worden bij ontvangst en periodiek gecontroleerd.</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M137</w:t>
            </w:r>
          </w:p>
        </w:tc>
        <w:tc>
          <w:tcPr>
            <w:tcW w:type="dxa" w:w="1881"/>
            <w:noWrap w:val="false"/>
          </w:tcPr>
          <w:p>
            <w:r/>
            <w:r>
              <w:rPr>
                <w:rFonts w:ascii="Calibri" w:hAnsi="Calibri"/>
                <w:sz w:val="18"/>
              </w:rPr>
              <w:t>Veiligheidsinformatiebladen</w:t>
            </w:r>
          </w:p>
        </w:tc>
        <w:tc>
          <w:tcPr>
            <w:tcW w:type="dxa" w:w="1881"/>
            <w:noWrap w:val="false"/>
          </w:tcPr>
          <w:p>
            <w:r/>
            <w:r>
              <w:rPr>
                <w:rFonts w:ascii="Calibri" w:hAnsi="Calibri"/>
                <w:sz w:val="18"/>
              </w:rPr>
              <w:t>Veiligheidsinformatiebladen (VIB/SDS) van alle opgeslagen gevaarlijke stoffen zijn beschikbaar voor medewerkers en hulpdiensten, conform de REACH-verordening.</w:t>
            </w:r>
          </w:p>
        </w:tc>
        <w:tc>
          <w:tcPr>
            <w:tcW w:type="dxa" w:w="1881"/>
            <w:noWrap w:val="false"/>
          </w:tcPr>
          <w:p>
            <w:r/>
            <w:r>
              <w:rPr>
                <w:rFonts w:ascii="Calibri" w:hAnsi="Calibri"/>
                <w:sz w:val="18"/>
              </w:rPr>
              <w:t>Basis, 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M138</w:t>
            </w:r>
          </w:p>
        </w:tc>
        <w:tc>
          <w:tcPr>
            <w:tcW w:type="dxa" w:w="1881"/>
            <w:noWrap w:val="false"/>
          </w:tcPr>
          <w:p>
            <w:r/>
            <w:r>
              <w:rPr>
                <w:rFonts w:ascii="Calibri" w:hAnsi="Calibri"/>
                <w:sz w:val="18"/>
              </w:rPr>
              <w:t>Opschrift gasflessen</w:t>
            </w:r>
          </w:p>
        </w:tc>
        <w:tc>
          <w:tcPr>
            <w:tcW w:type="dxa" w:w="1881"/>
            <w:noWrap w:val="false"/>
          </w:tcPr>
          <w:p>
            <w:r/>
            <w:r>
              <w:rPr>
                <w:rFonts w:ascii="Calibri" w:hAnsi="Calibri"/>
                <w:sz w:val="18"/>
              </w:rPr>
              <w:t>Gasflessen zijn voorzien van een duidelijk opschrift met de gasnaam of gasformule, conform de eisen uit het ADR, zodat de inhoud te allen tijde identificeerbaar is.</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 D5, D6</w:t>
            </w:r>
          </w:p>
        </w:tc>
      </w:tr>
      <w:tr>
        <w:tc>
          <w:tcPr>
            <w:tcW w:type="dxa" w:w="1881"/>
            <w:noWrap w:val="false"/>
          </w:tcPr>
          <w:p>
            <w:r/>
            <w:r>
              <w:rPr>
                <w:rFonts w:ascii="Calibri" w:hAnsi="Calibri"/>
                <w:sz w:val="18"/>
              </w:rPr>
              <w:t>M139</w:t>
            </w:r>
          </w:p>
        </w:tc>
        <w:tc>
          <w:tcPr>
            <w:tcW w:type="dxa" w:w="1881"/>
            <w:noWrap w:val="false"/>
          </w:tcPr>
          <w:p>
            <w:r/>
            <w:r>
              <w:rPr>
                <w:rFonts w:ascii="Calibri" w:hAnsi="Calibri"/>
                <w:sz w:val="18"/>
              </w:rPr>
              <w:t>Keurmerk gasflessen</w:t>
            </w:r>
          </w:p>
        </w:tc>
        <w:tc>
          <w:tcPr>
            <w:tcW w:type="dxa" w:w="1881"/>
            <w:noWrap w:val="false"/>
          </w:tcPr>
          <w:p>
            <w:r/>
            <w:r>
              <w:rPr>
                <w:rFonts w:ascii="Calibri" w:hAnsi="Calibri"/>
                <w:sz w:val="18"/>
              </w:rPr>
              <w:t>Gasflessen dragen een geldig keurmerk waaruit blijkt dat de fles is gekeurd conform de van toepassing zijnde normen (zoals NEN-EN 1968 of NEN-EN 1802).</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M140</w:t>
            </w:r>
          </w:p>
        </w:tc>
        <w:tc>
          <w:tcPr>
            <w:tcW w:type="dxa" w:w="1881"/>
            <w:noWrap w:val="false"/>
          </w:tcPr>
          <w:p>
            <w:r/>
            <w:r>
              <w:rPr>
                <w:rFonts w:ascii="Calibri" w:hAnsi="Calibri"/>
                <w:sz w:val="18"/>
              </w:rPr>
              <w:t>Niet-hervulbare gasflessen</w:t>
            </w:r>
          </w:p>
        </w:tc>
        <w:tc>
          <w:tcPr>
            <w:tcW w:type="dxa" w:w="1881"/>
            <w:noWrap w:val="false"/>
          </w:tcPr>
          <w:p>
            <w:r/>
            <w:r>
              <w:rPr>
                <w:rFonts w:ascii="Calibri" w:hAnsi="Calibri"/>
                <w:sz w:val="18"/>
              </w:rPr>
              <w:t>Niet-hervulbare gasflessen worden niet opgeslagen na de door de fabrikant aangegeven maximale gebruiksduur. Beschadigde of verroeste niet-hervulbare flessen worden direct afgevoerd.</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M141</w:t>
            </w:r>
          </w:p>
        </w:tc>
        <w:tc>
          <w:tcPr>
            <w:tcW w:type="dxa" w:w="1881"/>
            <w:noWrap w:val="false"/>
          </w:tcPr>
          <w:p>
            <w:r/>
            <w:r>
              <w:rPr>
                <w:rFonts w:ascii="Calibri" w:hAnsi="Calibri"/>
                <w:sz w:val="18"/>
              </w:rPr>
              <w:t>Ontwerplevensduur gasflessen</w:t>
            </w:r>
          </w:p>
        </w:tc>
        <w:tc>
          <w:tcPr>
            <w:tcW w:type="dxa" w:w="1881"/>
            <w:noWrap w:val="false"/>
          </w:tcPr>
          <w:p>
            <w:r/>
            <w:r>
              <w:rPr>
                <w:rFonts w:ascii="Calibri" w:hAnsi="Calibri"/>
                <w:sz w:val="18"/>
              </w:rPr>
              <w:t>De ontwerplevensduur van gasflessen wordt in acht genomen. Gasflessen die de ontwerplevensduur hebben overschreden, worden niet meer opgeslagen of gebruikt, tenzij na keuring de verdere geschiktheid is aangetoond.</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D3</w:t>
            </w:r>
          </w:p>
        </w:tc>
      </w:tr>
      <w:tr>
        <w:tc>
          <w:tcPr>
            <w:tcW w:type="dxa" w:w="1881"/>
            <w:noWrap w:val="false"/>
          </w:tcPr>
          <w:p>
            <w:r/>
            <w:r>
              <w:rPr>
                <w:rFonts w:ascii="Calibri" w:hAnsi="Calibri"/>
                <w:sz w:val="18"/>
              </w:rPr>
              <w:t>M142</w:t>
            </w:r>
          </w:p>
        </w:tc>
        <w:tc>
          <w:tcPr>
            <w:tcW w:type="dxa" w:w="1881"/>
            <w:noWrap w:val="false"/>
          </w:tcPr>
          <w:p>
            <w:r/>
            <w:r>
              <w:rPr>
                <w:rFonts w:ascii="Calibri" w:hAnsi="Calibri"/>
                <w:sz w:val="18"/>
              </w:rPr>
              <w:t>Zichtbaarheid gevaarsetiket</w:t>
            </w:r>
          </w:p>
        </w:tc>
        <w:tc>
          <w:tcPr>
            <w:tcW w:type="dxa" w:w="1881"/>
            <w:noWrap w:val="false"/>
          </w:tcPr>
          <w:p>
            <w:r/>
            <w:r>
              <w:rPr>
                <w:rFonts w:ascii="Calibri" w:hAnsi="Calibri"/>
                <w:sz w:val="18"/>
              </w:rPr>
              <w:t>Het gevaarsetiket op de verpakking is te allen tijde goed zichtbaar. Bij opslag in stellingen of pallets worden de etiketten zodanig geplaatst dat inspectie en identificatie mogelijk blijven.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D5, D6</w:t>
            </w:r>
          </w:p>
        </w:tc>
      </w:tr>
      <w:tr>
        <w:tc>
          <w:tcPr>
            <w:tcW w:type="dxa" w:w="1881"/>
            <w:noWrap w:val="false"/>
          </w:tcPr>
          <w:p>
            <w:r/>
            <w:r>
              <w:rPr>
                <w:rFonts w:ascii="Calibri" w:hAnsi="Calibri"/>
                <w:sz w:val="18"/>
              </w:rPr>
              <w:t>M143</w:t>
            </w:r>
          </w:p>
        </w:tc>
        <w:tc>
          <w:tcPr>
            <w:tcW w:type="dxa" w:w="1881"/>
            <w:noWrap w:val="false"/>
          </w:tcPr>
          <w:p>
            <w:r/>
            <w:r>
              <w:rPr>
                <w:rFonts w:ascii="Calibri" w:hAnsi="Calibri"/>
                <w:sz w:val="18"/>
              </w:rPr>
              <w:t>Opslagvoorziening organische peroxiden</w:t>
            </w:r>
          </w:p>
        </w:tc>
        <w:tc>
          <w:tcPr>
            <w:tcW w:type="dxa" w:w="1881"/>
            <w:noWrap w:val="false"/>
          </w:tcPr>
          <w:p>
            <w:r/>
            <w:r>
              <w:rPr>
                <w:rFonts w:ascii="Calibri" w:hAnsi="Calibri"/>
                <w:sz w:val="18"/>
              </w:rPr>
              <w:t>Een opslagvoorziening voor organische peroxiden voldoet aan specifieke eisen: temperatuurbeheersing, gescheiden opslag van andere stoffen en een blussysteem dat koeling van naastgelegen opslag waarborgt.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D13</w:t>
            </w:r>
          </w:p>
        </w:tc>
      </w:tr>
      <w:tr>
        <w:tc>
          <w:tcPr>
            <w:tcW w:type="dxa" w:w="1881"/>
            <w:noWrap w:val="false"/>
          </w:tcPr>
          <w:p>
            <w:r/>
            <w:r>
              <w:rPr>
                <w:rFonts w:ascii="Calibri" w:hAnsi="Calibri"/>
                <w:sz w:val="18"/>
              </w:rPr>
              <w:t>M144</w:t>
            </w:r>
          </w:p>
        </w:tc>
        <w:tc>
          <w:tcPr>
            <w:tcW w:type="dxa" w:w="1881"/>
            <w:noWrap w:val="false"/>
          </w:tcPr>
          <w:p>
            <w:r/>
            <w:r>
              <w:rPr>
                <w:rFonts w:ascii="Calibri" w:hAnsi="Calibri"/>
                <w:sz w:val="18"/>
              </w:rPr>
              <w:t>Toegestane stoffen voor tijdelijke opslag</w:t>
            </w:r>
          </w:p>
        </w:tc>
        <w:tc>
          <w:tcPr>
            <w:tcW w:type="dxa" w:w="1881"/>
            <w:noWrap w:val="false"/>
          </w:tcPr>
          <w:p>
            <w:r/>
            <w:r>
              <w:rPr>
                <w:rFonts w:ascii="Calibri" w:hAnsi="Calibri"/>
                <w:sz w:val="18"/>
              </w:rPr>
              <w:t>In tijdelijke opslag mogen uitsluitend de stoffen worden opgeslagen die zijn toegestaan volgens de systematiek van deze richtlijn, conform de specifieke categorieën en hoeveelheden.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M145</w:t>
            </w:r>
          </w:p>
        </w:tc>
        <w:tc>
          <w:tcPr>
            <w:tcW w:type="dxa" w:w="1881"/>
            <w:noWrap w:val="false"/>
          </w:tcPr>
          <w:p>
            <w:r/>
            <w:r>
              <w:rPr>
                <w:rFonts w:ascii="Calibri" w:hAnsi="Calibri"/>
                <w:sz w:val="18"/>
              </w:rPr>
              <w:t>Gevaarlijke stoffen voor gebruik binnen de locatie</w:t>
            </w:r>
          </w:p>
        </w:tc>
        <w:tc>
          <w:tcPr>
            <w:tcW w:type="dxa" w:w="1881"/>
            <w:noWrap w:val="false"/>
          </w:tcPr>
          <w:p>
            <w:r/>
            <w:r>
              <w:rPr>
                <w:rFonts w:ascii="Calibri" w:hAnsi="Calibri"/>
                <w:sz w:val="18"/>
              </w:rPr>
              <w:t>Gevaarlijke stoffen die bestemd zijn voor gebruik binnen de locatie (bijv. onderhoud, laboratorium) mogen in beperkte hoeveelheid in tijdelijke opslag aanwezig zijn.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M146</w:t>
            </w:r>
          </w:p>
        </w:tc>
        <w:tc>
          <w:tcPr>
            <w:tcW w:type="dxa" w:w="1881"/>
            <w:noWrap w:val="false"/>
          </w:tcPr>
          <w:p>
            <w:r/>
            <w:r>
              <w:rPr>
                <w:rFonts w:ascii="Calibri" w:hAnsi="Calibri"/>
                <w:sz w:val="18"/>
              </w:rPr>
              <w:t>Stoffen uitgezonderd van tijdelijke opslag</w:t>
            </w:r>
          </w:p>
        </w:tc>
        <w:tc>
          <w:tcPr>
            <w:tcW w:type="dxa" w:w="1881"/>
            <w:noWrap w:val="false"/>
          </w:tcPr>
          <w:p>
            <w:r/>
            <w:r>
              <w:rPr>
                <w:rFonts w:ascii="Calibri" w:hAnsi="Calibri"/>
                <w:sz w:val="18"/>
              </w:rPr>
              <w:t>Bepaalde stoffen zijn uitgezonderd van opslag in tijdelijke opslag, zoals ontplofbare stoffen (ADR-klasse 1), radioactieve stoffen (ADR-klasse 7) en lithiumhoudende energiedragers.</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M147</w:t>
            </w:r>
          </w:p>
        </w:tc>
        <w:tc>
          <w:tcPr>
            <w:tcW w:type="dxa" w:w="1881"/>
            <w:noWrap w:val="false"/>
          </w:tcPr>
          <w:p>
            <w:r/>
            <w:r>
              <w:rPr>
                <w:rFonts w:ascii="Calibri" w:hAnsi="Calibri"/>
                <w:sz w:val="18"/>
              </w:rPr>
              <w:t>Maximale hoeveelheid stoffen in tijdelijke opslag</w:t>
            </w:r>
          </w:p>
        </w:tc>
        <w:tc>
          <w:tcPr>
            <w:tcW w:type="dxa" w:w="1881"/>
            <w:noWrap w:val="false"/>
          </w:tcPr>
          <w:p>
            <w:r/>
            <w:r>
              <w:rPr>
                <w:rFonts w:ascii="Calibri" w:hAnsi="Calibri"/>
                <w:sz w:val="18"/>
              </w:rPr>
              <w:t>De maximale hoeveelheid gevaarlijke stoffen in tijdelijke opslag is beperkt tot de in de richtlijn vastgelegde grenzen, afhankelijk van het type tijdelijke opslag (met of zonder personeel).</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M148</w:t>
            </w:r>
          </w:p>
        </w:tc>
        <w:tc>
          <w:tcPr>
            <w:tcW w:type="dxa" w:w="1881"/>
            <w:noWrap w:val="false"/>
          </w:tcPr>
          <w:p>
            <w:r/>
            <w:r>
              <w:rPr>
                <w:rFonts w:ascii="Calibri" w:hAnsi="Calibri"/>
                <w:sz w:val="18"/>
              </w:rPr>
              <w:t>Maximale hoeveelheid brandbare vloeistoffen in tijdelijke opslag</w:t>
            </w:r>
          </w:p>
        </w:tc>
        <w:tc>
          <w:tcPr>
            <w:tcW w:type="dxa" w:w="1881"/>
            <w:noWrap w:val="false"/>
          </w:tcPr>
          <w:p>
            <w:r/>
            <w:r>
              <w:rPr>
                <w:rFonts w:ascii="Calibri" w:hAnsi="Calibri"/>
                <w:sz w:val="18"/>
              </w:rPr>
              <w:t>De maximale hoeveelheid brandbare vloeistoffen in tijdelijke opslag is beperkt tot de specifieke grenzen die in de richtlijn zijn vastgelegd voor brandbare vloeistoffen van diverse ADR-klassen.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M149</w:t>
            </w:r>
          </w:p>
        </w:tc>
        <w:tc>
          <w:tcPr>
            <w:tcW w:type="dxa" w:w="1881"/>
            <w:noWrap w:val="false"/>
          </w:tcPr>
          <w:p>
            <w:r/>
            <w:r>
              <w:rPr>
                <w:rFonts w:ascii="Calibri" w:hAnsi="Calibri"/>
                <w:sz w:val="18"/>
              </w:rPr>
              <w:t>Samengestelde zending</w:t>
            </w:r>
          </w:p>
        </w:tc>
        <w:tc>
          <w:tcPr>
            <w:tcW w:type="dxa" w:w="1881"/>
            <w:noWrap w:val="false"/>
          </w:tcPr>
          <w:p>
            <w:r/>
            <w:r>
              <w:rPr>
                <w:rFonts w:ascii="Calibri" w:hAnsi="Calibri"/>
                <w:sz w:val="18"/>
              </w:rPr>
              <w:t>Een samengestelde zending (diverse gevaarlijke stoffen in één zending) mag in tijdelijke opslag worden opgeslagen mits wordt voldaan aan de scheidingseisen en maximale hoeveelheden per stof.</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M150</w:t>
            </w:r>
          </w:p>
        </w:tc>
        <w:tc>
          <w:tcPr>
            <w:tcW w:type="dxa" w:w="1881"/>
            <w:noWrap w:val="false"/>
          </w:tcPr>
          <w:p>
            <w:r/>
            <w:r>
              <w:rPr>
                <w:rFonts w:ascii="Calibri" w:hAnsi="Calibri"/>
                <w:sz w:val="18"/>
              </w:rPr>
              <w:t>Scheiding van gevaarlijke stoffen</w:t>
            </w:r>
          </w:p>
        </w:tc>
        <w:tc>
          <w:tcPr>
            <w:tcW w:type="dxa" w:w="1881"/>
            <w:noWrap w:val="false"/>
          </w:tcPr>
          <w:p>
            <w:r/>
            <w:r>
              <w:rPr>
                <w:rFonts w:ascii="Calibri" w:hAnsi="Calibri"/>
                <w:sz w:val="18"/>
              </w:rPr>
              <w:t>Gevaarlijke stoffen in tijdelijke opslag worden gescheiden opgeslagen volgens de scheidingseisen uit Bijlage E, rekening houdend met onverenigbare combinaties.</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D4</w:t>
            </w:r>
          </w:p>
        </w:tc>
      </w:tr>
      <w:tr>
        <w:tc>
          <w:tcPr>
            <w:tcW w:type="dxa" w:w="1881"/>
            <w:noWrap w:val="false"/>
          </w:tcPr>
          <w:p>
            <w:r/>
            <w:r>
              <w:rPr>
                <w:rFonts w:ascii="Calibri" w:hAnsi="Calibri"/>
                <w:sz w:val="18"/>
              </w:rPr>
              <w:t>M151</w:t>
            </w:r>
          </w:p>
        </w:tc>
        <w:tc>
          <w:tcPr>
            <w:tcW w:type="dxa" w:w="1881"/>
            <w:noWrap w:val="false"/>
          </w:tcPr>
          <w:p>
            <w:r/>
            <w:r>
              <w:rPr>
                <w:rFonts w:ascii="Calibri" w:hAnsi="Calibri"/>
                <w:sz w:val="18"/>
              </w:rPr>
              <w:t>Tijdelijke opslag van uitsluitend gelimiteerde en/of vrijgestelde hoeveelheden</w:t>
            </w:r>
          </w:p>
        </w:tc>
        <w:tc>
          <w:tcPr>
            <w:tcW w:type="dxa" w:w="1881"/>
            <w:noWrap w:val="false"/>
          </w:tcPr>
          <w:p>
            <w:r/>
            <w:r>
              <w:rPr>
                <w:rFonts w:ascii="Calibri" w:hAnsi="Calibri"/>
                <w:sz w:val="18"/>
              </w:rPr>
              <w:t>Tijdelijke opslag van uitsluitend gelimiteerde hoeveelheden (LQ) en/of vrijgestelde hoeveelheden (EQ) mag onder versoepelde voorwaarden, mits de totale hoeveelheid binnen de gestelde grenzen blijft.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M152</w:t>
            </w:r>
          </w:p>
        </w:tc>
        <w:tc>
          <w:tcPr>
            <w:tcW w:type="dxa" w:w="1881"/>
            <w:noWrap w:val="false"/>
          </w:tcPr>
          <w:p>
            <w:r/>
            <w:r>
              <w:rPr>
                <w:rFonts w:ascii="Calibri" w:hAnsi="Calibri"/>
                <w:sz w:val="18"/>
              </w:rPr>
              <w:t>Tijdelijke opslag van uitsluitend LQ/EQ</w:t>
            </w:r>
          </w:p>
        </w:tc>
        <w:tc>
          <w:tcPr>
            <w:tcW w:type="dxa" w:w="1881"/>
            <w:noWrap w:val="false"/>
          </w:tcPr>
          <w:p>
            <w:r/>
            <w:r>
              <w:rPr>
                <w:rFonts w:ascii="Calibri" w:hAnsi="Calibri"/>
                <w:sz w:val="18"/>
              </w:rPr>
              <w:t>Tijdelijke opslag van uitsluitend LQ/EQ-verpakkingen mag onder specifieke voorwaarden, waarbij de verkleinde risico's door de beperkte verpakkingseenheden worden meegewogen.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M153</w:t>
            </w:r>
          </w:p>
        </w:tc>
        <w:tc>
          <w:tcPr>
            <w:tcW w:type="dxa" w:w="1881"/>
            <w:noWrap w:val="false"/>
          </w:tcPr>
          <w:p>
            <w:r/>
            <w:r>
              <w:rPr>
                <w:rFonts w:ascii="Calibri" w:hAnsi="Calibri"/>
                <w:sz w:val="18"/>
              </w:rPr>
              <w:t>Randvoorwaarden voor opslag in tijdelijke opslag (max. 10 ton zonder personeel)</w:t>
            </w:r>
          </w:p>
        </w:tc>
        <w:tc>
          <w:tcPr>
            <w:tcW w:type="dxa" w:w="1881"/>
            <w:noWrap w:val="false"/>
          </w:tcPr>
          <w:p>
            <w:r/>
            <w:r>
              <w:rPr>
                <w:rFonts w:ascii="Calibri" w:hAnsi="Calibri"/>
                <w:sz w:val="18"/>
              </w:rPr>
              <w:t>Voor tijdelijke opslag tot maximaal 10 ton zonder permanente aanwezigheid van personeel gelden specifieke randvoorwaarden voor opvang, bereikbaarheid en signalering.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M154</w:t>
            </w:r>
          </w:p>
        </w:tc>
        <w:tc>
          <w:tcPr>
            <w:tcW w:type="dxa" w:w="1881"/>
            <w:noWrap w:val="false"/>
          </w:tcPr>
          <w:p>
            <w:r/>
            <w:r>
              <w:rPr>
                <w:rFonts w:ascii="Calibri" w:hAnsi="Calibri"/>
                <w:sz w:val="18"/>
              </w:rPr>
              <w:t>Uitvoering tijdelijke opvangvoorziening (max. 10 ton zonder personeel)</w:t>
            </w:r>
          </w:p>
        </w:tc>
        <w:tc>
          <w:tcPr>
            <w:tcW w:type="dxa" w:w="1881"/>
            <w:noWrap w:val="false"/>
          </w:tcPr>
          <w:p>
            <w:r/>
            <w:r>
              <w:rPr>
                <w:rFonts w:ascii="Calibri" w:hAnsi="Calibri"/>
                <w:sz w:val="18"/>
              </w:rPr>
              <w:t>De uitvoering van de tijdelijke opvangvoorziening (max. 10 ton zonder personeel) omvat een vloeistichte bodem, afschot naar opvang en bescherming tegen weersinvloeden.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M155</w:t>
            </w:r>
          </w:p>
        </w:tc>
        <w:tc>
          <w:tcPr>
            <w:tcW w:type="dxa" w:w="1881"/>
            <w:noWrap w:val="false"/>
          </w:tcPr>
          <w:p>
            <w:r/>
            <w:r>
              <w:rPr>
                <w:rFonts w:ascii="Calibri" w:hAnsi="Calibri"/>
                <w:sz w:val="18"/>
              </w:rPr>
              <w:t>Maximaal aanwezige hoeveelheid in tijdelijke opslag (max. 10 ton zonder personeel)</w:t>
            </w:r>
          </w:p>
        </w:tc>
        <w:tc>
          <w:tcPr>
            <w:tcW w:type="dxa" w:w="1881"/>
            <w:noWrap w:val="false"/>
          </w:tcPr>
          <w:p>
            <w:r/>
            <w:r>
              <w:rPr>
                <w:rFonts w:ascii="Calibri" w:hAnsi="Calibri"/>
                <w:sz w:val="18"/>
              </w:rPr>
              <w:t>De maximaal aanwezige hoeveelheid in tijdelijke opslag (max. 10 ton zonder personeel) is beperkt tot 10.000 kg per brandcompartiment.</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M156</w:t>
            </w:r>
          </w:p>
        </w:tc>
        <w:tc>
          <w:tcPr>
            <w:tcW w:type="dxa" w:w="1881"/>
            <w:noWrap w:val="false"/>
          </w:tcPr>
          <w:p>
            <w:r/>
            <w:r>
              <w:rPr>
                <w:rFonts w:ascii="Calibri" w:hAnsi="Calibri"/>
                <w:sz w:val="18"/>
              </w:rPr>
              <w:t>Wijze van opslag binnen de tijdelijke opslagvoorziening (max. 10 ton zonder personeel)</w:t>
            </w:r>
          </w:p>
        </w:tc>
        <w:tc>
          <w:tcPr>
            <w:tcW w:type="dxa" w:w="1881"/>
            <w:noWrap w:val="false"/>
          </w:tcPr>
          <w:p>
            <w:r/>
            <w:r>
              <w:rPr>
                <w:rFonts w:ascii="Calibri" w:hAnsi="Calibri"/>
                <w:sz w:val="18"/>
              </w:rPr>
              <w:t>De wijze van opslag binnen de tijdelijke opslagvoorziening (max. 10 ton zonder personeel) voldoet aan de basisveiligheidseisen: deugdelijke verpakking, correcte stapeling en vrijhouden van vluchtroutes.</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M157</w:t>
            </w:r>
          </w:p>
        </w:tc>
        <w:tc>
          <w:tcPr>
            <w:tcW w:type="dxa" w:w="1881"/>
            <w:noWrap w:val="false"/>
          </w:tcPr>
          <w:p>
            <w:r/>
            <w:r>
              <w:rPr>
                <w:rFonts w:ascii="Calibri" w:hAnsi="Calibri"/>
                <w:sz w:val="18"/>
              </w:rPr>
              <w:t>Randvoorwaarden voor opslag in tijdelijke opslag (max. 10 ton met personeel)</w:t>
            </w:r>
          </w:p>
        </w:tc>
        <w:tc>
          <w:tcPr>
            <w:tcW w:type="dxa" w:w="1881"/>
            <w:noWrap w:val="false"/>
          </w:tcPr>
          <w:p>
            <w:r/>
            <w:r>
              <w:rPr>
                <w:rFonts w:ascii="Calibri" w:hAnsi="Calibri"/>
                <w:sz w:val="18"/>
              </w:rPr>
              <w:t>Voor tijdelijke opslag tot maximaal 10 ton met permanente aanwezigheid van personeel gelden strengere randvoorwaarden, waaronder de aanwezigheid van een deskundige en uitgebreidere veiligheidsvoorzieningen.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M158</w:t>
            </w:r>
          </w:p>
        </w:tc>
        <w:tc>
          <w:tcPr>
            <w:tcW w:type="dxa" w:w="1881"/>
            <w:noWrap w:val="false"/>
          </w:tcPr>
          <w:p>
            <w:r/>
            <w:r>
              <w:rPr>
                <w:rFonts w:ascii="Calibri" w:hAnsi="Calibri"/>
                <w:sz w:val="18"/>
              </w:rPr>
              <w:t>Uitvoering tijdelijke opslagvoorziening (max. 10 ton met personeel)</w:t>
            </w:r>
          </w:p>
        </w:tc>
        <w:tc>
          <w:tcPr>
            <w:tcW w:type="dxa" w:w="1881"/>
            <w:noWrap w:val="false"/>
          </w:tcPr>
          <w:p>
            <w:r/>
            <w:r>
              <w:rPr>
                <w:rFonts w:ascii="Calibri" w:hAnsi="Calibri"/>
                <w:sz w:val="18"/>
              </w:rPr>
              <w:t>De uitvoering van de tijdelijke opslagvoorziening (max. 10 ton met personeel) omvat brandwerende constructie, opvangvoorziening, ventilatie en toegangsbeveiliging.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M159</w:t>
            </w:r>
          </w:p>
        </w:tc>
        <w:tc>
          <w:tcPr>
            <w:tcW w:type="dxa" w:w="1881"/>
            <w:noWrap w:val="false"/>
          </w:tcPr>
          <w:p>
            <w:r/>
            <w:r>
              <w:rPr>
                <w:rFonts w:ascii="Calibri" w:hAnsi="Calibri"/>
                <w:sz w:val="18"/>
              </w:rPr>
              <w:t>Tijdelijke opslag - aanwezigheid deskundig personeel (max. 10 ton met personeel)</w:t>
            </w:r>
          </w:p>
        </w:tc>
        <w:tc>
          <w:tcPr>
            <w:tcW w:type="dxa" w:w="1881"/>
            <w:noWrap w:val="false"/>
          </w:tcPr>
          <w:p>
            <w:r/>
            <w:r>
              <w:rPr>
                <w:rFonts w:ascii="Calibri" w:hAnsi="Calibri"/>
                <w:sz w:val="18"/>
              </w:rPr>
              <w:t>Tijdelijke opslag met maximaal 10 ton met personeel vereist de aanwezigheid van deskundig personeel dat op de hoogte is van de gevaren en maatregelen bij incidenten.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M160</w:t>
            </w:r>
          </w:p>
        </w:tc>
        <w:tc>
          <w:tcPr>
            <w:tcW w:type="dxa" w:w="1881"/>
            <w:noWrap w:val="false"/>
          </w:tcPr>
          <w:p>
            <w:r/>
            <w:r>
              <w:rPr>
                <w:rFonts w:ascii="Calibri" w:hAnsi="Calibri"/>
                <w:sz w:val="18"/>
              </w:rPr>
              <w:t>Maximaal aanwezige hoeveelheid in tijdelijke opslag (max. 10 ton met personeel)</w:t>
            </w:r>
          </w:p>
        </w:tc>
        <w:tc>
          <w:tcPr>
            <w:tcW w:type="dxa" w:w="1881"/>
            <w:noWrap w:val="false"/>
          </w:tcPr>
          <w:p>
            <w:r/>
            <w:r>
              <w:rPr>
                <w:rFonts w:ascii="Calibri" w:hAnsi="Calibri"/>
                <w:sz w:val="18"/>
              </w:rPr>
              <w:t>De maximaal aanwezige hoeveelheid in tijdelijke opslag (max. 10 ton met personeel) is beperkt tot 10.000 kg per brandcompartiment, met een correcte registratie van de aanwezige stoffen.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M161</w:t>
            </w:r>
          </w:p>
        </w:tc>
        <w:tc>
          <w:tcPr>
            <w:tcW w:type="dxa" w:w="1881"/>
            <w:noWrap w:val="false"/>
          </w:tcPr>
          <w:p>
            <w:r/>
            <w:r>
              <w:rPr>
                <w:rFonts w:ascii="Calibri" w:hAnsi="Calibri"/>
                <w:sz w:val="18"/>
              </w:rPr>
              <w:t>Afwijking van maximale hoeveelheid (max. 10 ton met personeel)</w:t>
            </w:r>
          </w:p>
        </w:tc>
        <w:tc>
          <w:tcPr>
            <w:tcW w:type="dxa" w:w="1881"/>
            <w:noWrap w:val="false"/>
          </w:tcPr>
          <w:p>
            <w:r/>
            <w:r>
              <w:rPr>
                <w:rFonts w:ascii="Calibri" w:hAnsi="Calibri"/>
                <w:sz w:val="18"/>
              </w:rPr>
              <w:t>In specifieke gevallen kan worden afgeweken van de maximale hoeveelheid (max. 10 ton met personeel) als aanvullende veiligheidsmaatregelen worden getroffen en dit is vastgelegd in de vergunning.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M162</w:t>
            </w:r>
          </w:p>
        </w:tc>
        <w:tc>
          <w:tcPr>
            <w:tcW w:type="dxa" w:w="1881"/>
            <w:noWrap w:val="false"/>
          </w:tcPr>
          <w:p>
            <w:r/>
            <w:r>
              <w:rPr>
                <w:rFonts w:ascii="Calibri" w:hAnsi="Calibri"/>
                <w:sz w:val="18"/>
              </w:rPr>
              <w:t>Randvoorwaarden voor opslag in tijdelijke opslag (10-30 ton met personeel)</w:t>
            </w:r>
          </w:p>
        </w:tc>
        <w:tc>
          <w:tcPr>
            <w:tcW w:type="dxa" w:w="1881"/>
            <w:noWrap w:val="false"/>
          </w:tcPr>
          <w:p>
            <w:r/>
            <w:r>
              <w:rPr>
                <w:rFonts w:ascii="Calibri" w:hAnsi="Calibri"/>
                <w:sz w:val="18"/>
              </w:rPr>
              <w:t>Voor tijdelijke opslag van 10 tot 30 ton met personeel gelden de zwaarste randvoorwaarden, waaronder uitgebreide brandveiligheidsvoorzieningen, bluswatervoorziening en continue aanwezigheid van deskundig personeel.</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M163</w:t>
            </w:r>
          </w:p>
        </w:tc>
        <w:tc>
          <w:tcPr>
            <w:tcW w:type="dxa" w:w="1881"/>
            <w:noWrap w:val="false"/>
          </w:tcPr>
          <w:p>
            <w:r/>
            <w:r>
              <w:rPr>
                <w:rFonts w:ascii="Calibri" w:hAnsi="Calibri"/>
                <w:sz w:val="18"/>
              </w:rPr>
              <w:t>Uitvoering tijdelijke opvangvoorziening (10-30 ton met personeel)</w:t>
            </w:r>
          </w:p>
        </w:tc>
        <w:tc>
          <w:tcPr>
            <w:tcW w:type="dxa" w:w="1881"/>
            <w:noWrap w:val="false"/>
          </w:tcPr>
          <w:p>
            <w:r/>
            <w:r>
              <w:rPr>
                <w:rFonts w:ascii="Calibri" w:hAnsi="Calibri"/>
                <w:sz w:val="18"/>
              </w:rPr>
              <w:t>De uitvoering van de tijdelijke opvangvoorziening (10-30 ton met personeel) omvat een robuuste opvangconstructie, voldoende capaciteit voor product- en bluswateropvang en brandwerende scheiding.</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M164</w:t>
            </w:r>
          </w:p>
        </w:tc>
        <w:tc>
          <w:tcPr>
            <w:tcW w:type="dxa" w:w="1881"/>
            <w:noWrap w:val="false"/>
          </w:tcPr>
          <w:p>
            <w:r/>
            <w:r>
              <w:rPr>
                <w:rFonts w:ascii="Calibri" w:hAnsi="Calibri"/>
                <w:sz w:val="18"/>
              </w:rPr>
              <w:t>Tijdelijke opslag - aanwezigheid deskundig personeel (10-30 ton met personeel)</w:t>
            </w:r>
          </w:p>
        </w:tc>
        <w:tc>
          <w:tcPr>
            <w:tcW w:type="dxa" w:w="1881"/>
            <w:noWrap w:val="false"/>
          </w:tcPr>
          <w:p>
            <w:r/>
            <w:r>
              <w:rPr>
                <w:rFonts w:ascii="Calibri" w:hAnsi="Calibri"/>
                <w:sz w:val="18"/>
              </w:rPr>
              <w:t>Tijdelijke opslag van 10-30 ton vereist continue aanwezigheid van voldoende en adequaat opgeleid personeel dat in staat is om eerste maatregelen bij incidenten te nemen.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r>
        <w:tc>
          <w:tcPr>
            <w:tcW w:type="dxa" w:w="1881"/>
            <w:noWrap w:val="false"/>
          </w:tcPr>
          <w:p>
            <w:r/>
            <w:r>
              <w:rPr>
                <w:rFonts w:ascii="Calibri" w:hAnsi="Calibri"/>
                <w:sz w:val="18"/>
              </w:rPr>
              <w:t>M165</w:t>
            </w:r>
          </w:p>
        </w:tc>
        <w:tc>
          <w:tcPr>
            <w:tcW w:type="dxa" w:w="1881"/>
            <w:noWrap w:val="false"/>
          </w:tcPr>
          <w:p>
            <w:r/>
            <w:r>
              <w:rPr>
                <w:rFonts w:ascii="Calibri" w:hAnsi="Calibri"/>
                <w:sz w:val="18"/>
              </w:rPr>
              <w:t>Maximaal aanwezige hoeveelheid in tijdelijke opslag (10-30 ton met personeel)</w:t>
            </w:r>
          </w:p>
        </w:tc>
        <w:tc>
          <w:tcPr>
            <w:tcW w:type="dxa" w:w="1881"/>
            <w:noWrap w:val="false"/>
          </w:tcPr>
          <w:p>
            <w:r/>
            <w:r>
              <w:rPr>
                <w:rFonts w:ascii="Calibri" w:hAnsi="Calibri"/>
                <w:sz w:val="18"/>
              </w:rPr>
              <w:t>De maximaal aanwezige hoeveelheid in tijdelijke opslag (10-30 ton met personeel) is beperkt tot 30.000 kg per brandcompartiment met strikte registratie en scheidingseisen.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w:t>
            </w:r>
          </w:p>
        </w:tc>
      </w:tr>
      <w:tr>
        <w:tc>
          <w:tcPr>
            <w:tcW w:type="dxa" w:w="1881"/>
            <w:noWrap w:val="false"/>
          </w:tcPr>
          <w:p>
            <w:r/>
            <w:r>
              <w:rPr>
                <w:rFonts w:ascii="Calibri" w:hAnsi="Calibri"/>
                <w:sz w:val="18"/>
              </w:rPr>
              <w:t>M166</w:t>
            </w:r>
          </w:p>
        </w:tc>
        <w:tc>
          <w:tcPr>
            <w:tcW w:type="dxa" w:w="1881"/>
            <w:noWrap w:val="false"/>
          </w:tcPr>
          <w:p>
            <w:r/>
            <w:r>
              <w:rPr>
                <w:rFonts w:ascii="Calibri" w:hAnsi="Calibri"/>
                <w:sz w:val="18"/>
              </w:rPr>
              <w:t>Voorkomen snelle branduitbreiding tijdelijke opslag (10-30 ton met personeel)</w:t>
            </w:r>
          </w:p>
        </w:tc>
        <w:tc>
          <w:tcPr>
            <w:tcW w:type="dxa" w:w="1881"/>
            <w:noWrap w:val="false"/>
          </w:tcPr>
          <w:p>
            <w:r/>
            <w:r>
              <w:rPr>
                <w:rFonts w:ascii="Calibri" w:hAnsi="Calibri"/>
                <w:sz w:val="18"/>
              </w:rPr>
              <w:t>Voor tijdelijke opslag van 10-30 ton met personeel zijn voorzieningen getroffen om snelle branduitbreiding te voorkomen, zoals vakindeling, blusmiddelen en brandwerende scheidingen.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D10, D11, D8, D9</w:t>
            </w:r>
          </w:p>
        </w:tc>
      </w:tr>
      <w:tr>
        <w:tc>
          <w:tcPr>
            <w:tcW w:type="dxa" w:w="1881"/>
            <w:noWrap w:val="false"/>
          </w:tcPr>
          <w:p>
            <w:r/>
            <w:r>
              <w:rPr>
                <w:rFonts w:ascii="Calibri" w:hAnsi="Calibri"/>
                <w:sz w:val="18"/>
              </w:rPr>
              <w:t>M167</w:t>
            </w:r>
          </w:p>
        </w:tc>
        <w:tc>
          <w:tcPr>
            <w:tcW w:type="dxa" w:w="1881"/>
            <w:noWrap w:val="false"/>
          </w:tcPr>
          <w:p>
            <w:r/>
            <w:r>
              <w:rPr>
                <w:rFonts w:ascii="Calibri" w:hAnsi="Calibri"/>
                <w:sz w:val="18"/>
              </w:rPr>
              <w:t>Opleiding en instructie bestuurders - tijdelijke opslag</w:t>
            </w:r>
          </w:p>
        </w:tc>
        <w:tc>
          <w:tcPr>
            <w:tcW w:type="dxa" w:w="1881"/>
            <w:noWrap w:val="false"/>
          </w:tcPr>
          <w:p>
            <w:r/>
            <w:r>
              <w:rPr>
                <w:rFonts w:ascii="Calibri" w:hAnsi="Calibri"/>
                <w:sz w:val="18"/>
              </w:rPr>
              <w:t>Bestuurders van transportmiddelen op locaties met tijdelijke opslag zijn specifiek opgeleid en geïnstrueerd over de gevaren van de opgeslagen stoffen en de te volgen procedures bij calamiteiten.</w:t>
            </w:r>
          </w:p>
        </w:tc>
        <w:tc>
          <w:tcPr>
            <w:tcW w:type="dxa" w:w="1881"/>
            <w:noWrap w:val="false"/>
          </w:tcPr>
          <w:p>
            <w:r/>
            <w:r>
              <w:rPr>
                <w:rFonts w:ascii="Calibri" w:hAnsi="Calibri"/>
                <w:sz w:val="18"/>
              </w:rPr>
              <w:t>Context</w:t>
            </w:r>
          </w:p>
        </w:tc>
        <w:tc>
          <w:tcPr>
            <w:tcW w:type="dxa" w:w="1881"/>
            <w:noWrap w:val="false"/>
          </w:tcPr>
          <w:p>
            <w:r/>
            <w:r>
              <w:rPr>
                <w:rFonts w:ascii="Calibri" w:hAnsi="Calibri"/>
                <w:sz w:val="18"/>
              </w:rPr>
              <w:t>D1, D10, D11, D12, D13, D2, D3, D4, D5, D6, D7, D8, D9</w:t>
            </w:r>
          </w:p>
        </w:tc>
      </w:tr>
    </w:tbl>
    <w:sectPr w:rsidR="00FC693F" w:rsidRPr="0006063C" w:rsidSect="00034616">
      <w:headerReference w:type="default" r:id="rId10"/>
      <w:footerReference w:type="default" r:id="rId1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PGS 15:2025 Publicatie 565 — 07-05-2026 — Vertrouwelijk</w:t>
    </w:r>
  </w:p>
  <w:p>
    <w:pPr>
      <w:jc w:val="center"/>
    </w:pPr>
    <w:r>
      <w:rPr>
        <w:color w:val="374151"/>
        <w:sz w:val="16"/>
      </w:rPr>
      <w:t xml:space="preserve">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648000" cy="57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648000" cy="576000"/>
                  </a:xfrm>
                  <a:prstGeom prst="rect"/>
                </pic:spPr>
              </pic:pic>
            </a:graphicData>
          </a:graphic>
        </wp:inline>
      </w:drawing>
    </w:r>
  </w:p>
  <w:p>
    <w:pPr>
      <w:jc w:val="right"/>
    </w:pPr>
    <w:r>
      <w:rPr>
        <w:rFonts w:ascii="Calibri" w:hAnsi="Calibri"/>
        <w:color w:val="374151"/>
        <w:sz w:val="16"/>
      </w:rPr>
      <w:t>PGS 15:2025 Compliance Toetsing — Test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30"/>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1F2937"/>
      <w:sz w:val="26"/>
    </w:rPr>
  </w:style>
  <w:style w:type="paragraph" w:styleId="Heading4">
    <w:name w:val="heading 4"/>
    <w:basedOn w:val="Normal"/>
    <w:next w:val="Normal"/>
    <w:link w:val="Heading4Char"/>
    <w:uiPriority w:val="9"/>
    <w:semiHidden/>
    <w:unhideWhenUsed/>
    <w:qFormat/>
    <w:rsid w:val="00FC693F"/>
    <w:pPr>
      <w:keepNext/>
      <w:keepLines/>
      <w:spacing w:before="240" w:after="120"/>
      <w:outlineLvl w:val="3"/>
    </w:pPr>
    <w:rPr>
      <w:rFonts w:asciiTheme="majorHAnsi" w:eastAsiaTheme="majorEastAsia" w:hAnsiTheme="majorHAnsi" w:cstheme="majorBidi" w:ascii="Calibri" w:hAnsi="Calibri"/>
      <w:b/>
      <w:bCs/>
      <w:i/>
      <w:iCs/>
      <w:color w:val="1F2937"/>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