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drawing>
          <wp:inline xmlns:a="http://schemas.openxmlformats.org/drawingml/2006/main" xmlns:pic="http://schemas.openxmlformats.org/drawingml/2006/picture">
            <wp:extent cx="1440000" cy="1291200"/>
            <wp:docPr id="1" name="Picture 1"/>
            <wp:cNvGraphicFramePr>
              <a:graphicFrameLocks noChangeAspect="1"/>
            </wp:cNvGraphicFramePr>
            <a:graphic>
              <a:graphicData uri="http://schemas.openxmlformats.org/drawingml/2006/picture">
                <pic:pic>
                  <pic:nvPicPr>
                    <pic:cNvPr id="0" name="jvg-logo-white-large.png"/>
                    <pic:cNvPicPr/>
                  </pic:nvPicPr>
                  <pic:blipFill>
                    <a:blip r:embed="rId9"/>
                    <a:stretch>
                      <a:fillRect/>
                    </a:stretch>
                  </pic:blipFill>
                  <pic:spPr>
                    <a:xfrm>
                      <a:off x="0" y="0"/>
                      <a:ext cx="1440000" cy="1291200"/>
                    </a:xfrm>
                    <a:prstGeom prst="rect"/>
                  </pic:spPr>
                </pic:pic>
              </a:graphicData>
            </a:graphic>
          </wp:inline>
        </w:drawing>
      </w:r>
    </w:p>
    <w:p/>
    <w:p/>
    <w:p>
      <w:pPr>
        <w:spacing w:after="120"/>
      </w:pPr>
      <w:r>
        <w:rPr>
          <w:rFonts w:ascii="Calibri" w:hAnsi="Calibri"/>
          <w:b/>
          <w:i w:val="0"/>
          <w:color w:val="003366"/>
          <w:sz w:val="56"/>
        </w:rPr>
        <w:t>PGS 15:2025</w:t>
      </w:r>
    </w:p>
    <w:p>
      <w:pPr>
        <w:spacing w:after="120"/>
      </w:pPr>
      <w:r>
        <w:rPr>
          <w:rFonts w:ascii="Calibri" w:hAnsi="Calibri"/>
          <w:b/>
          <w:i w:val="0"/>
          <w:color w:val="003366"/>
          <w:sz w:val="44"/>
        </w:rPr>
        <w:t>Compliance Rapport</w:t>
      </w:r>
    </w:p>
    <w:p/>
    <w:p>
      <w:pPr>
        <w:spacing w:after="120"/>
      </w:pPr>
      <w:r>
        <w:rPr>
          <w:rFonts w:ascii="Calibri" w:hAnsi="Calibri"/>
          <w:b w:val="0"/>
          <w:i w:val="0"/>
          <w:color w:val="374151"/>
          <w:sz w:val="24"/>
        </w:rPr>
        <w:t>Datum: 23-04-2026</w:t>
      </w:r>
    </w:p>
    <w:p>
      <w:pPr>
        <w:spacing w:after="120"/>
      </w:pPr>
      <w:r>
        <w:rPr>
          <w:rFonts w:ascii="Calibri" w:hAnsi="Calibri"/>
          <w:b w:val="0"/>
          <w:i w:val="0"/>
          <w:color w:val="374151"/>
          <w:sz w:val="24"/>
        </w:rPr>
        <w:t>Aantal stoffen: 5</w:t>
      </w:r>
    </w:p>
    <w:p>
      <w:pPr>
        <w:spacing w:after="120"/>
      </w:pPr>
      <w:r>
        <w:rPr>
          <w:rFonts w:ascii="Calibri" w:hAnsi="Calibri"/>
          <w:b w:val="0"/>
          <w:i w:val="0"/>
          <w:color w:val="374151"/>
          <w:sz w:val="24"/>
        </w:rPr>
        <w:t>Totaal opslag: 947.0 kg</w:t>
      </w:r>
    </w:p>
    <w:p>
      <w:pPr>
        <w:spacing w:after="120"/>
      </w:pPr>
      <w:r>
        <w:rPr>
          <w:rFonts w:ascii="Calibri" w:hAnsi="Calibri"/>
          <w:b w:val="0"/>
          <w:i w:val="0"/>
          <w:color w:val="3B82F6"/>
          <w:sz w:val="24"/>
        </w:rPr>
        <w:t>Veiligheidsniveau: C</w:t>
      </w:r>
    </w:p>
    <w:p/>
    <w:p/>
    <w:p>
      <w:pPr>
        <w:spacing w:after="120"/>
      </w:pPr>
      <w:r>
        <w:rPr>
          <w:rFonts w:ascii="Calibri" w:hAnsi="Calibri"/>
          <w:b w:val="0"/>
          <w:i/>
          <w:color w:val="374151"/>
          <w:sz w:val="20"/>
        </w:rPr>
        <w:t>Vertrouwelijk — Alleen voor intern gebruik</w:t>
      </w:r>
    </w:p>
    <w:p>
      <w:r>
        <w:br w:type="page"/>
      </w:r>
    </w:p>
    <w:p>
      <w:pPr>
        <w:pStyle w:val="Heading1"/>
      </w:pPr>
      <w:r>
        <w:t>1. Management Samenvatting</w:t>
      </w:r>
    </w:p>
    <w:p>
      <w:pPr>
        <w:spacing w:after="120"/>
      </w:pPr>
      <w:r>
        <w:rPr>
          <w:rFonts w:ascii="Calibri" w:hAnsi="Calibri"/>
          <w:b w:val="0"/>
          <w:i w:val="0"/>
          <w:sz w:val="22"/>
        </w:rPr>
        <w:t>Dit rapport presents de resultaten van de PGS 15:2025 compliance scan voor de opgegeven stoffen en opslaghoeveelheden. Het rapport bevat per product de verplichte opslageisen (maatregelen, doelstellingen, scenario's) en een stoffencombinatieanalyse.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Onderwerp</w:t>
            </w:r>
          </w:p>
        </w:tc>
        <w:tc>
          <w:tcPr>
            <w:tcW w:type="dxa" w:w="4703"/>
            <w:shd w:fill="003366"/>
          </w:tcPr>
          <w:p>
            <w:r>
              <w:rPr>
                <w:rFonts w:ascii="Calibri" w:hAnsi="Calibri"/>
                <w:b/>
                <w:color w:val="FFFFFF"/>
                <w:sz w:val="20"/>
              </w:rPr>
              <w:t>Bevinding</w:t>
            </w:r>
          </w:p>
        </w:tc>
      </w:tr>
      <w:tr>
        <w:tc>
          <w:tcPr>
            <w:tcW w:type="dxa" w:w="4703"/>
          </w:tcPr>
          <w:p>
            <w:r>
              <w:rPr>
                <w:rFonts w:ascii="Calibri" w:hAnsi="Calibri"/>
                <w:sz w:val="20"/>
              </w:rPr>
              <w:t>Totaal opgeslagen</w:t>
            </w:r>
          </w:p>
        </w:tc>
        <w:tc>
          <w:tcPr>
            <w:tcW w:type="dxa" w:w="4703"/>
          </w:tcPr>
          <w:p>
            <w:r>
              <w:rPr>
                <w:rFonts w:ascii="Calibri" w:hAnsi="Calibri"/>
                <w:b/>
                <w:sz w:val="20"/>
              </w:rPr>
              <w:t>947.0 kg</w:t>
            </w:r>
          </w:p>
        </w:tc>
      </w:tr>
      <w:tr>
        <w:tc>
          <w:tcPr>
            <w:tcW w:type="dxa" w:w="4703"/>
          </w:tcPr>
          <w:p>
            <w:r>
              <w:rPr>
                <w:rFonts w:ascii="Calibri" w:hAnsi="Calibri"/>
                <w:sz w:val="20"/>
              </w:rPr>
              <w:t>Geaggregeerd niveau</w:t>
            </w:r>
          </w:p>
        </w:tc>
        <w:tc>
          <w:tcPr>
            <w:tcW w:type="dxa" w:w="4703"/>
          </w:tcPr>
          <w:p>
            <w:r>
              <w:rPr>
                <w:rFonts w:ascii="Calibri" w:hAnsi="Calibri"/>
                <w:b/>
                <w:color w:val="3B82F6"/>
                <w:sz w:val="20"/>
              </w:rPr>
              <w:t>C</w:t>
            </w:r>
          </w:p>
        </w:tc>
      </w:tr>
      <w:tr>
        <w:tc>
          <w:tcPr>
            <w:tcW w:type="dxa" w:w="4703"/>
          </w:tcPr>
          <w:p>
            <w:r>
              <w:rPr>
                <w:rFonts w:ascii="Calibri" w:hAnsi="Calibri"/>
                <w:sz w:val="20"/>
              </w:rPr>
              <w:t>Catch-all (&gt;=1.000 kg)</w:t>
            </w:r>
          </w:p>
        </w:tc>
        <w:tc>
          <w:tcPr>
            <w:tcW w:type="dxa" w:w="4703"/>
          </w:tcPr>
          <w:p>
            <w:r>
              <w:rPr>
                <w:rFonts w:ascii="Calibri" w:hAnsi="Calibri"/>
                <w:b/>
                <w:color w:val="00A859"/>
                <w:sz w:val="20"/>
              </w:rPr>
              <w:t>Nee</w:t>
            </w:r>
          </w:p>
        </w:tc>
      </w:tr>
      <w:tr>
        <w:tc>
          <w:tcPr>
            <w:tcW w:type="dxa" w:w="4703"/>
          </w:tcPr>
          <w:p>
            <w:r>
              <w:rPr>
                <w:rFonts w:ascii="Calibri" w:hAnsi="Calibri"/>
                <w:sz w:val="20"/>
              </w:rPr>
              <w:t>Seveso III</w:t>
            </w:r>
          </w:p>
        </w:tc>
        <w:tc>
          <w:tcPr>
            <w:tcW w:type="dxa" w:w="4703"/>
          </w:tcPr>
          <w:p>
            <w:r>
              <w:rPr>
                <w:rFonts w:ascii="Calibri" w:hAnsi="Calibri"/>
                <w:b/>
                <w:color w:val="00A859"/>
                <w:sz w:val="20"/>
              </w:rPr>
              <w:t>Niet van toepassing (&lt;5.000 kg)</w:t>
            </w:r>
          </w:p>
        </w:tc>
      </w:tr>
      <w:tr>
        <w:tc>
          <w:tcPr>
            <w:tcW w:type="dxa" w:w="4703"/>
          </w:tcPr>
          <w:p>
            <w:r>
              <w:rPr>
                <w:rFonts w:ascii="Calibri" w:hAnsi="Calibri"/>
                <w:sz w:val="20"/>
              </w:rPr>
              <w:t>Bal Art. 3.27</w:t>
            </w:r>
          </w:p>
        </w:tc>
        <w:tc>
          <w:tcPr>
            <w:tcW w:type="dxa" w:w="4703"/>
          </w:tcPr>
          <w:p>
            <w:r>
              <w:rPr>
                <w:rFonts w:ascii="Calibri" w:hAnsi="Calibri"/>
                <w:b/>
                <w:color w:val="00A859"/>
                <w:sz w:val="20"/>
              </w:rPr>
              <w:t>Geen vergunningplicht (&lt;1.000 kg)</w:t>
            </w:r>
          </w:p>
        </w:tc>
      </w:tr>
    </w:tbl>
    <w:p/>
    <w:p>
      <w:pPr>
        <w:pStyle w:val="Heading1"/>
      </w:pPr>
      <w:r>
        <w:t>2. Per-product Analyse</w:t>
      </w:r>
    </w:p>
    <w:p>
      <w:pPr>
        <w:pStyle w:val="Heading2"/>
      </w:pPr>
      <w:r>
        <w:t>2.1 Sulfuric Acid</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7664-93-9</w:t>
            </w:r>
          </w:p>
        </w:tc>
      </w:tr>
      <w:tr>
        <w:tc>
          <w:tcPr>
            <w:tcW w:type="dxa" w:w="4703"/>
          </w:tcPr>
          <w:p>
            <w:r>
              <w:rPr>
                <w:rFonts w:ascii="Calibri" w:hAnsi="Calibri"/>
                <w:sz w:val="20"/>
              </w:rPr>
              <w:t>Hoeveelheid</w:t>
            </w:r>
          </w:p>
        </w:tc>
        <w:tc>
          <w:tcPr>
            <w:tcW w:type="dxa" w:w="4703"/>
          </w:tcPr>
          <w:p>
            <w:r>
              <w:rPr>
                <w:rFonts w:ascii="Calibri" w:hAnsi="Calibri"/>
                <w:sz w:val="20"/>
              </w:rPr>
              <w:t>25.0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8 / II</w:t>
            </w:r>
          </w:p>
        </w:tc>
      </w:tr>
      <w:tr>
        <w:tc>
          <w:tcPr>
            <w:tcW w:type="dxa" w:w="4703"/>
          </w:tcPr>
          <w:p>
            <w:r>
              <w:rPr>
                <w:rFonts w:ascii="Calibri" w:hAnsi="Calibri"/>
                <w:sz w:val="20"/>
              </w:rPr>
              <w:t>Ondergrens PGS 15</w:t>
            </w:r>
          </w:p>
        </w:tc>
        <w:tc>
          <w:tcPr>
            <w:tcW w:type="dxa" w:w="4703"/>
          </w:tcPr>
          <w:p>
            <w:r>
              <w:rPr>
                <w:rFonts w:ascii="Calibri" w:hAnsi="Calibri"/>
                <w:sz w:val="20"/>
              </w:rPr>
              <w:t>250 kg</w:t>
            </w:r>
          </w:p>
        </w:tc>
      </w:tr>
      <w:tr>
        <w:tc>
          <w:tcPr>
            <w:tcW w:type="dxa" w:w="4703"/>
          </w:tcPr>
          <w:p>
            <w:r>
              <w:rPr>
                <w:rFonts w:ascii="Calibri" w:hAnsi="Calibri"/>
                <w:sz w:val="20"/>
              </w:rPr>
              <w:t>H-zinnen</w:t>
            </w:r>
          </w:p>
        </w:tc>
        <w:tc>
          <w:tcPr>
            <w:tcW w:type="dxa" w:w="4703"/>
          </w:tcPr>
          <w:p>
            <w:r>
              <w:rPr>
                <w:rFonts w:ascii="Calibri" w:hAnsi="Calibri"/>
                <w:sz w:val="20"/>
              </w:rPr>
              <w:t>H314, H290, H318, H330, H370, H372, H402, H410, H303</w:t>
            </w:r>
          </w:p>
        </w:tc>
      </w:tr>
      <w:tr>
        <w:tc>
          <w:tcPr>
            <w:tcW w:type="dxa" w:w="4703"/>
          </w:tcPr>
          <w:p>
            <w:r>
              <w:rPr>
                <w:rFonts w:ascii="Calibri" w:hAnsi="Calibri"/>
                <w:sz w:val="20"/>
              </w:rPr>
              <w:t>CLP-classificatie</w:t>
            </w:r>
          </w:p>
        </w:tc>
        <w:tc>
          <w:tcPr>
            <w:tcW w:type="dxa" w:w="4703"/>
          </w:tcPr>
          <w:p>
            <w:r>
              <w:rPr>
                <w:rFonts w:ascii="Calibri" w:hAnsi="Calibri"/>
                <w:sz w:val="20"/>
              </w:rPr>
              <w:t>Corrosive | Acute Toxic | Health Hazard | Environmental Hazard — Danger — H314, H290, H318, H330, H370, H372, H402, H410, H303</w:t>
            </w:r>
          </w:p>
        </w:tc>
      </w:tr>
      <w:tr>
        <w:tc>
          <w:tcPr>
            <w:tcW w:type="dxa" w:w="4703"/>
          </w:tcPr>
          <w:p>
            <w:r>
              <w:rPr>
                <w:rFonts w:ascii="Calibri" w:hAnsi="Calibri"/>
                <w:sz w:val="20"/>
              </w:rPr>
              <w:t>Acute Toxiciteit</w:t>
            </w:r>
          </w:p>
        </w:tc>
        <w:tc>
          <w:tcPr>
            <w:tcW w:type="dxa" w:w="4703"/>
          </w:tcPr>
          <w:p>
            <w:r>
              <w:rPr>
                <w:rFonts w:ascii="Calibri" w:hAnsi="Calibri"/>
                <w:sz w:val="20"/>
              </w:rPr>
              <w:t>Cat. 1</w:t>
            </w:r>
          </w:p>
        </w:tc>
      </w:tr>
    </w:tbl>
    <w:p/>
    <w:p>
      <w:pPr>
        <w:pStyle w:val="Heading3"/>
      </w:pPr>
      <w:r>
        <w:t>2.1.1 PGS 15 Toepassing</w:t>
      </w:r>
    </w:p>
    <w:p>
      <w:pPr>
        <w:spacing w:after="120"/>
      </w:pPr>
      <w:r>
        <w:rPr>
          <w:rFonts w:ascii="Calibri" w:hAnsi="Calibri"/>
          <w:b w:val="0"/>
          <w:i w:val="0"/>
          <w:sz w:val="22"/>
        </w:rPr>
        <w:t>PGS 15:2025 is van toepassing via: CLP Acute Tox. 1 → Niveau C.</w:t>
      </w:r>
    </w:p>
    <w:p>
      <w:pPr>
        <w:spacing w:after="120"/>
      </w:pPr>
      <w:r>
        <w:rPr>
          <w:rFonts w:ascii="Calibri" w:hAnsi="Calibri"/>
          <w:b/>
          <w:i w:val="0"/>
          <w:color w:val="3B82F6"/>
          <w:sz w:val="22"/>
        </w:rPr>
        <w:t>Vereist veiligheidsniveau: C</w:t>
      </w:r>
    </w:p>
    <w:p>
      <w:pPr>
        <w:pStyle w:val="Heading3"/>
      </w:pPr>
      <w:r>
        <w:t>2.1.2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2.2 Benzene-13C6</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32488-44-1</w:t>
            </w:r>
          </w:p>
        </w:tc>
      </w:tr>
      <w:tr>
        <w:tc>
          <w:tcPr>
            <w:tcW w:type="dxa" w:w="4703"/>
          </w:tcPr>
          <w:p>
            <w:r>
              <w:rPr>
                <w:rFonts w:ascii="Calibri" w:hAnsi="Calibri"/>
                <w:sz w:val="20"/>
              </w:rPr>
              <w:t>Hoeveelheid</w:t>
            </w:r>
          </w:p>
        </w:tc>
        <w:tc>
          <w:tcPr>
            <w:tcW w:type="dxa" w:w="4703"/>
          </w:tcPr>
          <w:p>
            <w:r>
              <w:rPr>
                <w:rFonts w:ascii="Calibri" w:hAnsi="Calibri"/>
                <w:sz w:val="20"/>
              </w:rPr>
              <w:t>450.0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t>H225, H304, H315, H319, H340, H350, H372</w:t>
            </w:r>
          </w:p>
        </w:tc>
      </w:tr>
      <w:tr>
        <w:tc>
          <w:tcPr>
            <w:tcW w:type="dxa" w:w="4703"/>
          </w:tcPr>
          <w:p>
            <w:r>
              <w:rPr>
                <w:rFonts w:ascii="Calibri" w:hAnsi="Calibri"/>
                <w:sz w:val="20"/>
              </w:rPr>
              <w:t>CLP-classificatie</w:t>
            </w:r>
          </w:p>
        </w:tc>
        <w:tc>
          <w:tcPr>
            <w:tcW w:type="dxa" w:w="4703"/>
          </w:tcPr>
          <w:p>
            <w:r>
              <w:rPr>
                <w:rFonts w:ascii="Calibri" w:hAnsi="Calibri"/>
                <w:sz w:val="20"/>
              </w:rPr>
              <w:t>Flammable | Irritant | Health Hazard — Danger — H225, H304, H315, H319, H340, H350, H372</w:t>
            </w:r>
          </w:p>
        </w:tc>
      </w:tr>
      <w:tr>
        <w:tc>
          <w:tcPr>
            <w:tcW w:type="dxa" w:w="4703"/>
          </w:tcPr>
          <w:p>
            <w:r>
              <w:rPr>
                <w:rFonts w:ascii="Calibri" w:hAnsi="Calibri"/>
                <w:sz w:val="20"/>
              </w:rPr>
              <w:t>CMR</w:t>
            </w:r>
          </w:p>
        </w:tc>
        <w:tc>
          <w:tcPr>
            <w:tcW w:type="dxa" w:w="4703"/>
          </w:tcPr>
          <w:p>
            <w:r>
              <w:rPr>
                <w:rFonts w:ascii="Calibri" w:hAnsi="Calibri"/>
                <w:sz w:val="20"/>
              </w:rPr>
              <w:t>Ja — Carc. 1A</w:t>
            </w:r>
          </w:p>
        </w:tc>
      </w:tr>
    </w:tbl>
    <w:p/>
    <w:p>
      <w:pPr>
        <w:pStyle w:val="Heading3"/>
      </w:pPr>
      <w:r>
        <w:t>2.2.1 PGS 15 Toepassing</w:t>
      </w:r>
    </w:p>
    <w:p>
      <w:pPr>
        <w:spacing w:after="120"/>
      </w:pPr>
      <w:r>
        <w:rPr>
          <w:rFonts w:ascii="Calibri" w:hAnsi="Calibri"/>
          <w:b w:val="0"/>
          <w:i w:val="0"/>
          <w:sz w:val="22"/>
        </w:rPr>
        <w:t>PGS 15:2025 is van toepassing via: ADR → Niveau C.</w:t>
      </w:r>
    </w:p>
    <w:p>
      <w:pPr>
        <w:spacing w:after="120"/>
      </w:pPr>
      <w:r>
        <w:rPr>
          <w:rFonts w:ascii="Calibri" w:hAnsi="Calibri"/>
          <w:b/>
          <w:i w:val="0"/>
          <w:color w:val="3B82F6"/>
          <w:sz w:val="22"/>
        </w:rPr>
        <w:t>Vereist veiligheidsniveau: C</w:t>
      </w:r>
    </w:p>
    <w:p>
      <w:pPr>
        <w:pStyle w:val="Heading3"/>
      </w:pPr>
      <w:r>
        <w:t>2.2.2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2.3 Isopropanol</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67-63-0</w:t>
            </w:r>
          </w:p>
        </w:tc>
      </w:tr>
      <w:tr>
        <w:tc>
          <w:tcPr>
            <w:tcW w:type="dxa" w:w="4703"/>
          </w:tcPr>
          <w:p>
            <w:r>
              <w:rPr>
                <w:rFonts w:ascii="Calibri" w:hAnsi="Calibri"/>
                <w:sz w:val="20"/>
              </w:rPr>
              <w:t>Hoeveelheid</w:t>
            </w:r>
          </w:p>
        </w:tc>
        <w:tc>
          <w:tcPr>
            <w:tcW w:type="dxa" w:w="4703"/>
          </w:tcPr>
          <w:p>
            <w:r>
              <w:rPr>
                <w:rFonts w:ascii="Calibri" w:hAnsi="Calibri"/>
                <w:sz w:val="20"/>
              </w:rPr>
              <w:t>200.0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t>H225, H319, H336, H318, H373, H400, H410, H335, H361, H370, H372, H303, H305, H313</w:t>
            </w:r>
          </w:p>
        </w:tc>
      </w:tr>
      <w:tr>
        <w:tc>
          <w:tcPr>
            <w:tcW w:type="dxa" w:w="4703"/>
          </w:tcPr>
          <w:p>
            <w:r>
              <w:rPr>
                <w:rFonts w:ascii="Calibri" w:hAnsi="Calibri"/>
                <w:sz w:val="20"/>
              </w:rPr>
              <w:t>CLP-classificatie</w:t>
            </w:r>
          </w:p>
        </w:tc>
        <w:tc>
          <w:tcPr>
            <w:tcW w:type="dxa" w:w="4703"/>
          </w:tcPr>
          <w:p>
            <w:r>
              <w:rPr>
                <w:rFonts w:ascii="Calibri" w:hAnsi="Calibri"/>
                <w:sz w:val="20"/>
              </w:rPr>
              <w:t>Flammable | Irritant | Corrosive | Health Hazard | Environmental Hazard — Danger — H225, H319, H336, H318, H373, H400, H410, H335, H361, H370, H372, H303, H305, H313</w:t>
            </w:r>
          </w:p>
        </w:tc>
      </w:tr>
      <w:tr>
        <w:tc>
          <w:tcPr>
            <w:tcW w:type="dxa" w:w="4703"/>
          </w:tcPr>
          <w:p>
            <w:r>
              <w:rPr>
                <w:rFonts w:ascii="Calibri" w:hAnsi="Calibri"/>
                <w:sz w:val="20"/>
              </w:rPr>
              <w:t>CMR</w:t>
            </w:r>
          </w:p>
        </w:tc>
        <w:tc>
          <w:tcPr>
            <w:tcW w:type="dxa" w:w="4703"/>
          </w:tcPr>
          <w:p>
            <w:r>
              <w:rPr>
                <w:rFonts w:ascii="Calibri" w:hAnsi="Calibri"/>
                <w:sz w:val="20"/>
              </w:rPr>
              <w:t>Ja — Repr. 2</w:t>
            </w:r>
          </w:p>
        </w:tc>
      </w:tr>
      <w:tr>
        <w:tc>
          <w:tcPr>
            <w:tcW w:type="dxa" w:w="4703"/>
          </w:tcPr>
          <w:p>
            <w:r>
              <w:rPr>
                <w:rFonts w:ascii="Calibri" w:hAnsi="Calibri"/>
                <w:sz w:val="20"/>
              </w:rPr>
              <w:t>Acute Toxiciteit</w:t>
            </w:r>
          </w:p>
        </w:tc>
        <w:tc>
          <w:tcPr>
            <w:tcW w:type="dxa" w:w="4703"/>
          </w:tcPr>
          <w:p>
            <w:r>
              <w:rPr>
                <w:rFonts w:ascii="Calibri" w:hAnsi="Calibri"/>
                <w:sz w:val="20"/>
              </w:rPr>
              <w:t>Cat. 4</w:t>
            </w:r>
          </w:p>
        </w:tc>
      </w:tr>
    </w:tbl>
    <w:p/>
    <w:p>
      <w:pPr>
        <w:pStyle w:val="Heading3"/>
      </w:pPr>
      <w:r>
        <w:t>2.3.1 PGS 15 Toepassing</w:t>
      </w:r>
    </w:p>
    <w:p>
      <w:pPr>
        <w:spacing w:after="120"/>
      </w:pPr>
      <w:r>
        <w:rPr>
          <w:rFonts w:ascii="Calibri" w:hAnsi="Calibri"/>
          <w:b w:val="0"/>
          <w:i w:val="0"/>
          <w:sz w:val="22"/>
        </w:rPr>
        <w:t>PGS 15:2025 is van toepassing via: ADR → Niveau C.</w:t>
      </w:r>
    </w:p>
    <w:p>
      <w:pPr>
        <w:spacing w:after="120"/>
      </w:pPr>
      <w:r>
        <w:rPr>
          <w:rFonts w:ascii="Calibri" w:hAnsi="Calibri"/>
          <w:b/>
          <w:i w:val="0"/>
          <w:color w:val="3B82F6"/>
          <w:sz w:val="22"/>
        </w:rPr>
        <w:t>Vereist veiligheidsniveau: C</w:t>
      </w:r>
    </w:p>
    <w:p>
      <w:pPr>
        <w:pStyle w:val="Heading3"/>
      </w:pPr>
      <w:r>
        <w:t>2.3.2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2.4 Sodium Chlorate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7775-09-9</w:t>
            </w:r>
          </w:p>
        </w:tc>
      </w:tr>
      <w:tr>
        <w:tc>
          <w:tcPr>
            <w:tcW w:type="dxa" w:w="4703"/>
          </w:tcPr>
          <w:p>
            <w:r>
              <w:rPr>
                <w:rFonts w:ascii="Calibri" w:hAnsi="Calibri"/>
                <w:sz w:val="20"/>
              </w:rPr>
              <w:t>Hoeveelheid</w:t>
            </w:r>
          </w:p>
        </w:tc>
        <w:tc>
          <w:tcPr>
            <w:tcW w:type="dxa" w:w="4703"/>
          </w:tcPr>
          <w:p>
            <w:r>
              <w:rPr>
                <w:rFonts w:ascii="Calibri" w:hAnsi="Calibri"/>
                <w:sz w:val="20"/>
              </w:rPr>
              <w:t>250.0 kg</w:t>
            </w:r>
          </w:p>
        </w:tc>
      </w:tr>
      <w:tr>
        <w:tc>
          <w:tcPr>
            <w:tcW w:type="dxa" w:w="4703"/>
          </w:tcPr>
          <w:p>
            <w:r>
              <w:rPr>
                <w:rFonts w:ascii="Calibri" w:hAnsi="Calibri"/>
                <w:sz w:val="20"/>
              </w:rPr>
              <w:t>Vorm</w:t>
            </w:r>
          </w:p>
        </w:tc>
        <w:tc>
          <w:tcPr>
            <w:tcW w:type="dxa" w:w="4703"/>
          </w:tcPr>
          <w:p>
            <w:r>
              <w:rPr>
                <w:rFonts w:ascii="Calibri" w:hAnsi="Calibri"/>
                <w:sz w:val="20"/>
              </w:rPr>
              <w:t>vast</w:t>
            </w:r>
          </w:p>
        </w:tc>
      </w:tr>
      <w:tr>
        <w:tc>
          <w:tcPr>
            <w:tcW w:type="dxa" w:w="4703"/>
          </w:tcPr>
          <w:p>
            <w:r>
              <w:rPr>
                <w:rFonts w:ascii="Calibri" w:hAnsi="Calibri"/>
                <w:sz w:val="20"/>
              </w:rPr>
              <w:t>ADR-klasse / VG</w:t>
            </w:r>
          </w:p>
        </w:tc>
        <w:tc>
          <w:tcPr>
            <w:tcW w:type="dxa" w:w="4703"/>
          </w:tcPr>
          <w:p>
            <w:r>
              <w:rPr>
                <w:rFonts w:ascii="Calibri" w:hAnsi="Calibri"/>
                <w:sz w:val="20"/>
              </w:rPr>
              <w:t>5.1 / II</w:t>
            </w:r>
          </w:p>
        </w:tc>
      </w:tr>
      <w:tr>
        <w:tc>
          <w:tcPr>
            <w:tcW w:type="dxa" w:w="4703"/>
          </w:tcPr>
          <w:p>
            <w:r>
              <w:rPr>
                <w:rFonts w:ascii="Calibri" w:hAnsi="Calibri"/>
                <w:sz w:val="20"/>
              </w:rPr>
              <w:t>Ondergrens PGS 15</w:t>
            </w:r>
          </w:p>
        </w:tc>
        <w:tc>
          <w:tcPr>
            <w:tcW w:type="dxa" w:w="4703"/>
          </w:tcPr>
          <w:p>
            <w:r>
              <w:rPr>
                <w:rFonts w:ascii="Calibri" w:hAnsi="Calibri"/>
                <w:sz w:val="20"/>
              </w:rPr>
              <w:t>50 kg</w:t>
            </w:r>
          </w:p>
        </w:tc>
      </w:tr>
      <w:tr>
        <w:tc>
          <w:tcPr>
            <w:tcW w:type="dxa" w:w="4703"/>
          </w:tcPr>
          <w:p>
            <w:r>
              <w:rPr>
                <w:rFonts w:ascii="Calibri" w:hAnsi="Calibri"/>
                <w:sz w:val="20"/>
              </w:rPr>
              <w:t>H-zinnen</w:t>
            </w:r>
          </w:p>
        </w:tc>
        <w:tc>
          <w:tcPr>
            <w:tcW w:type="dxa" w:w="4703"/>
          </w:tcPr>
          <w:p>
            <w:r>
              <w:rPr>
                <w:rFonts w:ascii="Calibri" w:hAnsi="Calibri"/>
                <w:sz w:val="20"/>
              </w:rPr>
              <w:t>H271, H301, H302, H411, H272, H332</w:t>
            </w:r>
          </w:p>
        </w:tc>
      </w:tr>
      <w:tr>
        <w:tc>
          <w:tcPr>
            <w:tcW w:type="dxa" w:w="4703"/>
          </w:tcPr>
          <w:p>
            <w:r>
              <w:rPr>
                <w:rFonts w:ascii="Calibri" w:hAnsi="Calibri"/>
                <w:sz w:val="20"/>
              </w:rPr>
              <w:t>CLP-classificatie</w:t>
            </w:r>
          </w:p>
        </w:tc>
        <w:tc>
          <w:tcPr>
            <w:tcW w:type="dxa" w:w="4703"/>
          </w:tcPr>
          <w:p>
            <w:r>
              <w:rPr>
                <w:rFonts w:ascii="Calibri" w:hAnsi="Calibri"/>
                <w:sz w:val="20"/>
              </w:rPr>
              <w:t>Oxidizer | Acute Toxic | Irritant | Environmental Hazard — Danger — H271, H301, H302, H411, H272, H332</w:t>
            </w:r>
          </w:p>
        </w:tc>
      </w:tr>
      <w:tr>
        <w:tc>
          <w:tcPr>
            <w:tcW w:type="dxa" w:w="4703"/>
          </w:tcPr>
          <w:p>
            <w:r>
              <w:rPr>
                <w:rFonts w:ascii="Calibri" w:hAnsi="Calibri"/>
                <w:sz w:val="20"/>
              </w:rPr>
              <w:t>Acute Toxiciteit</w:t>
            </w:r>
          </w:p>
        </w:tc>
        <w:tc>
          <w:tcPr>
            <w:tcW w:type="dxa" w:w="4703"/>
          </w:tcPr>
          <w:p>
            <w:r>
              <w:rPr>
                <w:rFonts w:ascii="Calibri" w:hAnsi="Calibri"/>
                <w:sz w:val="20"/>
              </w:rPr>
              <w:t>Cat. 2</w:t>
            </w:r>
          </w:p>
        </w:tc>
      </w:tr>
    </w:tbl>
    <w:p/>
    <w:p>
      <w:pPr>
        <w:pStyle w:val="Heading3"/>
      </w:pPr>
      <w:r>
        <w:t>2.4.1 PGS 15 Toepassing</w:t>
      </w:r>
    </w:p>
    <w:p>
      <w:pPr>
        <w:spacing w:after="120"/>
      </w:pPr>
      <w:r>
        <w:rPr>
          <w:rFonts w:ascii="Calibri" w:hAnsi="Calibri"/>
          <w:b w:val="0"/>
          <w:i w:val="0"/>
          <w:sz w:val="22"/>
        </w:rPr>
        <w:t>PGS 15:2025 is van toepassing via: ADR → Niveau C, CLP Acute Tox. 2/3 → Niveau C.</w:t>
      </w:r>
    </w:p>
    <w:p>
      <w:pPr>
        <w:spacing w:after="120"/>
      </w:pPr>
      <w:r>
        <w:rPr>
          <w:rFonts w:ascii="Calibri" w:hAnsi="Calibri"/>
          <w:b/>
          <w:i w:val="0"/>
          <w:color w:val="3B82F6"/>
          <w:sz w:val="22"/>
        </w:rPr>
        <w:t>Vereist veiligheidsniveau: C</w:t>
      </w:r>
    </w:p>
    <w:p>
      <w:pPr>
        <w:pStyle w:val="Heading3"/>
      </w:pPr>
      <w:r>
        <w:t>2.4.2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2.5 Zwavelzuur</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r>
          </w:p>
        </w:tc>
      </w:tr>
      <w:tr>
        <w:tc>
          <w:tcPr>
            <w:tcW w:type="dxa" w:w="4703"/>
          </w:tcPr>
          <w:p>
            <w:r>
              <w:rPr>
                <w:rFonts w:ascii="Calibri" w:hAnsi="Calibri"/>
                <w:sz w:val="20"/>
              </w:rPr>
              <w:t>Hoeveelheid</w:t>
            </w:r>
          </w:p>
        </w:tc>
        <w:tc>
          <w:tcPr>
            <w:tcW w:type="dxa" w:w="4703"/>
          </w:tcPr>
          <w:p>
            <w:r>
              <w:rPr>
                <w:rFonts w:ascii="Calibri" w:hAnsi="Calibri"/>
                <w:sz w:val="20"/>
              </w:rPr>
              <w:t>22.0 kg</w:t>
            </w:r>
          </w:p>
        </w:tc>
      </w:tr>
      <w:tr>
        <w:tc>
          <w:tcPr>
            <w:tcW w:type="dxa" w:w="4703"/>
          </w:tcPr>
          <w:p>
            <w:r>
              <w:rPr>
                <w:rFonts w:ascii="Calibri" w:hAnsi="Calibri"/>
                <w:sz w:val="20"/>
              </w:rPr>
              <w:t>Vorm</w:t>
            </w:r>
          </w:p>
        </w:tc>
        <w:tc>
          <w:tcPr>
            <w:tcW w:type="dxa" w:w="4703"/>
          </w:tcPr>
          <w:p>
            <w:r>
              <w:rPr>
                <w:rFonts w:ascii="Calibri" w:hAnsi="Calibri"/>
                <w:sz w:val="20"/>
              </w:rPr>
              <w:t>vast</w:t>
            </w:r>
          </w:p>
        </w:tc>
      </w:tr>
      <w:tr>
        <w:tc>
          <w:tcPr>
            <w:tcW w:type="dxa" w:w="4703"/>
          </w:tcPr>
          <w:p>
            <w:r>
              <w:rPr>
                <w:rFonts w:ascii="Calibri" w:hAnsi="Calibri"/>
                <w:sz w:val="20"/>
              </w:rPr>
              <w:t>ADR-klasse / VG</w:t>
            </w:r>
          </w:p>
        </w:tc>
        <w:tc>
          <w:tcPr>
            <w:tcW w:type="dxa" w:w="4703"/>
          </w:tcPr>
          <w:p>
            <w:r>
              <w:rPr>
                <w:rFonts w:ascii="Calibri" w:hAnsi="Calibri"/>
                <w:sz w:val="20"/>
              </w:rPr>
              <w:t xml:space="preserve"> / II</w:t>
            </w:r>
          </w:p>
        </w:tc>
      </w:tr>
      <w:tr>
        <w:tc>
          <w:tcPr>
            <w:tcW w:type="dxa" w:w="4703"/>
          </w:tcPr>
          <w:p>
            <w:r>
              <w:rPr>
                <w:rFonts w:ascii="Calibri" w:hAnsi="Calibri"/>
                <w:sz w:val="20"/>
              </w:rPr>
              <w:t>Ondergrens PGS 15</w:t>
            </w:r>
          </w:p>
        </w:tc>
        <w:tc>
          <w:tcPr>
            <w:tcW w:type="dxa" w:w="4703"/>
          </w:tcPr>
          <w:p>
            <w:r>
              <w:rPr>
                <w:rFonts w:ascii="Calibri" w:hAnsi="Calibri"/>
                <w:sz w:val="20"/>
              </w:rPr>
              <w:t>N.v.t.</w:t>
            </w:r>
          </w:p>
        </w:tc>
      </w:tr>
      <w:tr>
        <w:tc>
          <w:tcPr>
            <w:tcW w:type="dxa" w:w="4703"/>
          </w:tcPr>
          <w:p>
            <w:r>
              <w:rPr>
                <w:rFonts w:ascii="Calibri" w:hAnsi="Calibri"/>
                <w:sz w:val="20"/>
              </w:rPr>
              <w:t>H-zinnen</w:t>
            </w:r>
          </w:p>
        </w:tc>
        <w:tc>
          <w:tcPr>
            <w:tcW w:type="dxa" w:w="4703"/>
          </w:tcPr>
          <w:p>
            <w:r>
              <w:rPr>
                <w:rFonts w:ascii="Calibri" w:hAnsi="Calibri"/>
                <w:sz w:val="20"/>
              </w:rPr>
            </w:r>
          </w:p>
        </w:tc>
      </w:tr>
      <w:tr>
        <w:tc>
          <w:tcPr>
            <w:tcW w:type="dxa" w:w="4703"/>
          </w:tcPr>
          <w:p>
            <w:r>
              <w:rPr>
                <w:rFonts w:ascii="Calibri" w:hAnsi="Calibri"/>
                <w:sz w:val="20"/>
              </w:rPr>
              <w:t>CLP-classificatie</w:t>
            </w:r>
          </w:p>
        </w:tc>
        <w:tc>
          <w:tcPr>
            <w:tcW w:type="dxa" w:w="4703"/>
          </w:tcPr>
          <w:p>
            <w:r>
              <w:rPr>
                <w:rFonts w:ascii="Calibri" w:hAnsi="Calibri"/>
                <w:sz w:val="20"/>
              </w:rPr>
            </w:r>
          </w:p>
        </w:tc>
      </w:tr>
    </w:tbl>
    <w:p/>
    <w:p>
      <w:pPr>
        <w:spacing w:after="120"/>
      </w:pPr>
      <w:r>
        <w:rPr>
          <w:rFonts w:ascii="Calibri" w:hAnsi="Calibri"/>
          <w:b w:val="0"/>
          <w:i/>
          <w:color w:val="374151"/>
          <w:sz w:val="22"/>
        </w:rPr>
        <w:t>Zwavelzuur valt buiten de werkingssfeer van PGS 15:2025. Algemene ARBO-wetgeving blijft van toepassing.</w:t>
      </w:r>
    </w:p>
    <w:p/>
    <w:p>
      <w:pPr>
        <w:pStyle w:val="Heading1"/>
      </w:pPr>
      <w:r>
        <w:t>3. Stoffencombinatieanalyse</w:t>
      </w:r>
    </w:p>
    <w:p>
      <w:pPr>
        <w:pStyle w:val="Heading2"/>
      </w:pPr>
      <w:r>
        <w:t>3.1 Onverenigbare Combinaties (Tabel 8)</w:t>
      </w:r>
    </w:p>
    <w:p>
      <w:pPr>
        <w:spacing w:after="120"/>
      </w:pPr>
      <w:r>
        <w:rPr>
          <w:rFonts w:ascii="Calibri" w:hAnsi="Calibri"/>
          <w:b/>
          <w:i w:val="0"/>
          <w:color w:val="EF4444"/>
          <w:sz w:val="22"/>
        </w:rPr>
        <w:t>⚠ Sulfuric Acid + Sodium Chlorate</w:t>
      </w:r>
    </w:p>
    <w:p>
      <w:pPr>
        <w:spacing w:after="120"/>
      </w:pPr>
      <w:r>
        <w:rPr>
          <w:rFonts w:ascii="Calibri" w:hAnsi="Calibri"/>
          <w:b w:val="0"/>
          <w:i w:val="0"/>
          <w:sz w:val="20"/>
        </w:rPr>
        <w:t>Corrosieve stoffen + Brandbevorderende stoffen vormen een onverenigbare combinatie</w:t>
      </w:r>
    </w:p>
    <w:p>
      <w:pPr>
        <w:spacing w:after="120"/>
      </w:pPr>
      <w:r>
        <w:rPr>
          <w:rFonts w:ascii="Calibri" w:hAnsi="Calibri"/>
          <w:b/>
          <w:i w:val="0"/>
          <w:color w:val="EF4444"/>
          <w:sz w:val="22"/>
        </w:rPr>
        <w:t>⚠ Benzene-13C6 + Sodium Chlorate</w:t>
      </w:r>
    </w:p>
    <w:p>
      <w:pPr>
        <w:spacing w:after="120"/>
      </w:pPr>
      <w:r>
        <w:rPr>
          <w:rFonts w:ascii="Calibri" w:hAnsi="Calibri"/>
          <w:b w:val="0"/>
          <w:i w:val="0"/>
          <w:sz w:val="20"/>
        </w:rPr>
        <w:t>Ontvlambare vloeistoffen + Brandbevorderende stoffen vormen een onverenigbare combinatie</w:t>
      </w:r>
    </w:p>
    <w:p>
      <w:pPr>
        <w:spacing w:after="120"/>
      </w:pPr>
      <w:r>
        <w:rPr>
          <w:rFonts w:ascii="Calibri" w:hAnsi="Calibri"/>
          <w:b/>
          <w:i w:val="0"/>
          <w:color w:val="EF4444"/>
          <w:sz w:val="22"/>
        </w:rPr>
        <w:t>⚠ Isopropanol + Sodium Chlorate</w:t>
      </w:r>
    </w:p>
    <w:p>
      <w:pPr>
        <w:spacing w:after="120"/>
      </w:pPr>
      <w:r>
        <w:rPr>
          <w:rFonts w:ascii="Calibri" w:hAnsi="Calibri"/>
          <w:b w:val="0"/>
          <w:i w:val="0"/>
          <w:sz w:val="20"/>
        </w:rPr>
        <w:t>Ontvlambare vloeistoffen + Brandbevorderende stoffen vormen een onverenigbare combinatie</w:t>
      </w:r>
    </w:p>
    <w:p/>
    <w:p>
      <w:pPr>
        <w:spacing w:after="120"/>
      </w:pPr>
      <w:r>
        <w:rPr>
          <w:rFonts w:ascii="Calibri" w:hAnsi="Calibri"/>
          <w:b w:val="0"/>
          <w:i w:val="0"/>
          <w:sz w:val="20"/>
        </w:rPr>
        <w:t>SG1: Ontvlambare vloeistoffen — Benzene-13C6, Isopropanol</w:t>
      </w:r>
    </w:p>
    <w:p>
      <w:pPr>
        <w:spacing w:after="120"/>
      </w:pPr>
      <w:r>
        <w:rPr>
          <w:rFonts w:ascii="Calibri" w:hAnsi="Calibri"/>
          <w:b w:val="0"/>
          <w:i w:val="0"/>
          <w:sz w:val="20"/>
        </w:rPr>
        <w:t>SG2: Brandbevorderende stoffen — Sodium Chlorate</w:t>
      </w:r>
    </w:p>
    <w:p>
      <w:pPr>
        <w:spacing w:after="120"/>
      </w:pPr>
      <w:r>
        <w:rPr>
          <w:rFonts w:ascii="Calibri" w:hAnsi="Calibri"/>
          <w:b w:val="0"/>
          <w:i w:val="0"/>
          <w:sz w:val="20"/>
        </w:rPr>
        <w:t>SG5: Corrosieve stoffen — Sulfuric Acid</w:t>
      </w:r>
    </w:p>
    <w:p>
      <w:pPr>
        <w:pStyle w:val="Heading2"/>
      </w:pPr>
      <w:r>
        <w:t>3.2 Aggregatie-effecten</w:t>
      </w:r>
    </w:p>
    <w:p>
      <w:pPr>
        <w:spacing w:after="120"/>
      </w:pPr>
      <w:r>
        <w:rPr>
          <w:rFonts w:ascii="Calibri" w:hAnsi="Calibri"/>
          <w:b/>
          <w:i w:val="0"/>
          <w:sz w:val="20"/>
        </w:rPr>
        <w:t>ADR klasse 3: 2 stof(fen), 650.0 kg totaal, Niveau C</w:t>
      </w:r>
    </w:p>
    <w:p>
      <w:pPr>
        <w:spacing w:after="120"/>
      </w:pPr>
      <w:r>
        <w:rPr>
          <w:rFonts w:ascii="Calibri" w:hAnsi="Calibri"/>
          <w:b w:val="0"/>
          <w:i w:val="0"/>
          <w:color w:val="374151"/>
          <w:sz w:val="18"/>
        </w:rPr>
        <w:t>Stoffen: Benzene-13C6, Isopropanol</w:t>
      </w:r>
    </w:p>
    <w:p>
      <w:pPr>
        <w:spacing w:after="120"/>
      </w:pPr>
      <w:r>
        <w:rPr>
          <w:rFonts w:ascii="Calibri" w:hAnsi="Calibri"/>
          <w:b/>
          <w:i w:val="0"/>
          <w:sz w:val="20"/>
        </w:rPr>
        <w:t>ADR klasse 8: 1 stof(fen), 25.0 kg totaal, Niveau Buiten scope</w:t>
      </w:r>
    </w:p>
    <w:p>
      <w:pPr>
        <w:spacing w:after="120"/>
      </w:pPr>
      <w:r>
        <w:rPr>
          <w:rFonts w:ascii="Calibri" w:hAnsi="Calibri"/>
          <w:b w:val="0"/>
          <w:i w:val="0"/>
          <w:color w:val="374151"/>
          <w:sz w:val="18"/>
        </w:rPr>
        <w:t>Stoffen: Sulfuric Acid</w:t>
      </w:r>
    </w:p>
    <w:p>
      <w:pPr>
        <w:spacing w:after="120"/>
      </w:pPr>
      <w:r>
        <w:rPr>
          <w:rFonts w:ascii="Calibri" w:hAnsi="Calibri"/>
          <w:b/>
          <w:i w:val="0"/>
          <w:sz w:val="20"/>
        </w:rPr>
        <w:t>ADR klasse 5.1: 1 stof(fen), 250.0 kg totaal, Niveau C</w:t>
      </w:r>
    </w:p>
    <w:p>
      <w:pPr>
        <w:spacing w:after="120"/>
      </w:pPr>
      <w:r>
        <w:rPr>
          <w:rFonts w:ascii="Calibri" w:hAnsi="Calibri"/>
          <w:b w:val="0"/>
          <w:i w:val="0"/>
          <w:color w:val="374151"/>
          <w:sz w:val="18"/>
        </w:rPr>
        <w:t>Stoffen: Sodium Chlorate</w:t>
      </w:r>
    </w:p>
    <w:p>
      <w:pPr>
        <w:pStyle w:val="Heading2"/>
      </w:pPr>
      <w:r>
        <w:t>3.3 Synergie-effecten</w:t>
      </w:r>
    </w:p>
    <w:p>
      <w:pPr>
        <w:spacing w:after="120"/>
      </w:pPr>
      <w:r>
        <w:rPr>
          <w:rFonts w:ascii="Calibri" w:hAnsi="Calibri"/>
          <w:b/>
          <w:i w:val="0"/>
          <w:color w:val="EF4444"/>
          <w:sz w:val="22"/>
        </w:rPr>
        <w:t>☢️ CMR + Brandbaar</w:t>
      </w:r>
    </w:p>
    <w:p>
      <w:pPr>
        <w:spacing w:after="120"/>
      </w:pPr>
      <w:r>
        <w:rPr>
          <w:rFonts w:ascii="Calibri" w:hAnsi="Calibri"/>
          <w:b w:val="0"/>
          <w:i w:val="0"/>
          <w:sz w:val="20"/>
        </w:rPr>
        <w:t>CMR-stoffen (Benzene-13C6, Isopropanol) in combinatie met brandbare stoffen (Benzene-13C6, Isopropanol, Sodium Chlorate) vormen een verhoogd risico. Bij brand kunnen CMR-stoffen vrijkomen als giftige rookgassen. Extra aandacht voor: rook- en warmteafvoer, branddetectie, en evacuatieprocedure rekening houdend met giftige rook.</w:t>
      </w:r>
    </w:p>
    <w:p/>
    <w:p>
      <w:pPr>
        <w:spacing w:after="120"/>
      </w:pPr>
      <w:r>
        <w:rPr>
          <w:rFonts w:ascii="Calibri" w:hAnsi="Calibri"/>
          <w:b/>
          <w:i w:val="0"/>
          <w:color w:val="EF4444"/>
          <w:sz w:val="22"/>
        </w:rPr>
        <w:t>☠️ CMR + Corrosief</w:t>
      </w:r>
    </w:p>
    <w:p>
      <w:pPr>
        <w:spacing w:after="120"/>
      </w:pPr>
      <w:r>
        <w:rPr>
          <w:rFonts w:ascii="Calibri" w:hAnsi="Calibri"/>
          <w:b w:val="0"/>
          <w:i w:val="0"/>
          <w:sz w:val="20"/>
        </w:rPr>
        <w:t>CMR-stoffen (Benzene-13C6, Isopropanol) in combinatie met corrosieve stoffen (Sulfuric Acid) kunnen bij menging giftige gassen vormen. Zorg voor strikte scheiding en adequate ventilatie. Denk aan bijv. zuur + cyaanide → waterstofcyaanidegas.</w:t>
      </w:r>
    </w:p>
    <w:p/>
    <w:p>
      <w:pPr>
        <w:spacing w:after="120"/>
      </w:pPr>
      <w:r>
        <w:rPr>
          <w:rFonts w:ascii="Calibri" w:hAnsi="Calibri"/>
          <w:b/>
          <w:i w:val="0"/>
          <w:color w:val="F59E0B"/>
          <w:sz w:val="22"/>
        </w:rPr>
        <w:t>💨 Acute Tox + Brandbaar</w:t>
      </w:r>
    </w:p>
    <w:p>
      <w:pPr>
        <w:spacing w:after="120"/>
      </w:pPr>
      <w:r>
        <w:rPr>
          <w:rFonts w:ascii="Calibri" w:hAnsi="Calibri"/>
          <w:b w:val="0"/>
          <w:i w:val="0"/>
          <w:sz w:val="20"/>
        </w:rPr>
        <w:t>Stoffen met acute toxiciteit (Sulfuric Acid, Isopropanol, Sodium Chlorate) in combinatie met brandbare stoffen (Benzene-13C6, Isopropanol, Sodium Chlorate) kunnen bij brand giftige rookgassen verspreiden. Extra eisen: uitgebreider noodplan, hulpdiensten informeren over giftige rook, en evacuatieroute buiten de rookverspreiding.</w:t>
      </w:r>
    </w:p>
    <w:p/>
    <w:p>
      <w:pPr>
        <w:spacing w:after="120"/>
      </w:pPr>
      <w:r>
        <w:rPr>
          <w:rFonts w:ascii="Calibri" w:hAnsi="Calibri"/>
          <w:b/>
          <w:i w:val="0"/>
          <w:color w:val="F59E0B"/>
          <w:sz w:val="22"/>
        </w:rPr>
        <w:t>⚠️ Cumulatieve Acute Toxiciteit</w:t>
      </w:r>
    </w:p>
    <w:p>
      <w:pPr>
        <w:spacing w:after="120"/>
      </w:pPr>
      <w:r>
        <w:rPr>
          <w:rFonts w:ascii="Calibri" w:hAnsi="Calibri"/>
          <w:b w:val="0"/>
          <w:i w:val="0"/>
          <w:sz w:val="20"/>
        </w:rPr>
        <w:t>Meerdere acuut toxische stoffen: Sulfuric Acid (Cat. 1), Isopropanol (Cat. 4), Sodium Chlorate (Cat. 2). PGS 15 hanteert een cumulatiebeginsel: stoffen met Acute Tox. Cat. 1-3 worden gezamenlijk opgeteld bij de CLP-route. De gecombineerde hoeveelheid bepaalt het vereiste veiligheidsniveau.</w:t>
      </w:r>
    </w:p>
    <w:p/>
    <w:p/>
    <w:p>
      <w:pPr>
        <w:spacing w:after="120"/>
      </w:pPr>
      <w:r>
        <w:rPr>
          <w:rFonts w:ascii="Calibri" w:hAnsi="Calibri"/>
          <w:b/>
          <w:i w:val="0"/>
          <w:sz w:val="22"/>
        </w:rPr>
        <w:t>Extra eisen door combinatie:</w:t>
      </w:r>
    </w:p>
    <w:p>
      <w:pPr>
        <w:spacing w:after="120"/>
      </w:pPr>
      <w:r>
        <w:rPr>
          <w:rFonts w:ascii="Calibri" w:hAnsi="Calibri"/>
          <w:b w:val="0"/>
          <w:i w:val="0"/>
          <w:sz w:val="20"/>
        </w:rPr>
        <w:t>• CMR-stoffen vereisen extra labelvoorschriften en registratie (ARBO-catalogus)</w:t>
      </w:r>
    </w:p>
    <w:p>
      <w:pPr>
        <w:spacing w:after="120"/>
      </w:pPr>
      <w:r>
        <w:rPr>
          <w:rFonts w:ascii="Calibri" w:hAnsi="Calibri"/>
          <w:b w:val="0"/>
          <w:i w:val="0"/>
          <w:sz w:val="20"/>
        </w:rPr>
        <w:t>• Acuut toxische stoffen vereisen nooddouche/oogspoeling binnen 10 seconden (M115)</w:t>
      </w:r>
    </w:p>
    <w:p>
      <w:pPr>
        <w:spacing w:after="120"/>
      </w:pPr>
      <w:r>
        <w:rPr>
          <w:rFonts w:ascii="Calibri" w:hAnsi="Calibri"/>
          <w:b w:val="0"/>
          <w:i w:val="0"/>
          <w:sz w:val="20"/>
        </w:rPr>
        <w:t>• Brandbare + corrosieve stoffen: specifieke blusmiddelen vereist (geen water bij bepaalde reacties)</w:t>
      </w:r>
    </w:p>
    <w:p>
      <w:pPr>
        <w:pStyle w:val="Heading2"/>
      </w:pPr>
      <w:r>
        <w:t>3.5 Samenvatting Verplichte Maatregelen</w:t>
      </w:r>
    </w:p>
    <w:p>
      <w:pPr>
        <w:spacing w:after="120"/>
      </w:pPr>
      <w:r>
        <w:rPr>
          <w:rFonts w:ascii="Calibri" w:hAnsi="Calibri"/>
          <w:b w:val="0"/>
          <w:i w:val="0"/>
          <w:sz w:val="22"/>
        </w:rPr>
        <w:t>Totaal 42 maatregelen voor het samenstel (niveau C).</w:t>
      </w:r>
    </w:p>
    <w:p>
      <w:pPr>
        <w:spacing w:after="120"/>
      </w:pPr>
      <w:r>
        <w:rPr>
          <w:rFonts w:ascii="Calibri" w:hAnsi="Calibri"/>
          <w:b/>
          <w:i w:val="0"/>
          <w:color w:val="00A859"/>
          <w:sz w:val="20"/>
        </w:rPr>
        <w:t>Basis: 28 maatregelen</w:t>
      </w:r>
    </w:p>
    <w:p>
      <w:pPr>
        <w:spacing w:after="120"/>
      </w:pPr>
      <w:r>
        <w:rPr>
          <w:rFonts w:ascii="Calibri" w:hAnsi="Calibri"/>
          <w:b/>
          <w:i w:val="0"/>
          <w:color w:val="3B82F6"/>
          <w:sz w:val="20"/>
        </w:rPr>
        <w:t>C: 14 maatregelen</w:t>
      </w:r>
    </w:p>
    <w:p/>
    <w:tbl>
      <w:tblPr>
        <w:tblStyle w:val="TableGrid"/>
        <w:tblW w:type="auto" w:w="0"/>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18"/>
              </w:rPr>
              <w:t>Code</w:t>
            </w:r>
          </w:p>
        </w:tc>
        <w:tc>
          <w:tcPr>
            <w:tcW w:type="dxa" w:w="3135"/>
            <w:shd w:fill="003366"/>
          </w:tcPr>
          <w:p>
            <w:r>
              <w:rPr>
                <w:rFonts w:ascii="Calibri" w:hAnsi="Calibri"/>
                <w:b/>
                <w:color w:val="FFFFFF"/>
                <w:sz w:val="18"/>
              </w:rPr>
              <w:t>Maatregel</w:t>
            </w:r>
          </w:p>
        </w:tc>
        <w:tc>
          <w:tcPr>
            <w:tcW w:type="dxa" w:w="3135"/>
            <w:shd w:fill="003366"/>
          </w:tcPr>
          <w:p>
            <w:r>
              <w:rPr>
                <w:rFonts w:ascii="Calibri" w:hAnsi="Calibri"/>
                <w:b/>
                <w:color w:val="FFFFFF"/>
                <w:sz w:val="18"/>
              </w:rPr>
              <w:t>Niveau</w:t>
            </w:r>
          </w:p>
        </w:tc>
      </w:tr>
      <w:tr>
        <w:tc>
          <w:tcPr>
            <w:tcW w:type="dxa" w:w="3135"/>
          </w:tcPr>
          <w:p>
            <w:r>
              <w:rPr>
                <w:rFonts w:ascii="Calibri" w:hAnsi="Calibri"/>
                <w:sz w:val="18"/>
              </w:rPr>
              <w:t>MW1</w:t>
            </w:r>
          </w:p>
        </w:tc>
        <w:tc>
          <w:tcPr>
            <w:tcW w:type="dxa" w:w="3135"/>
          </w:tcPr>
          <w:p>
            <w:r>
              <w:rPr>
                <w:rFonts w:ascii="Calibri" w:hAnsi="Calibri"/>
                <w:sz w:val="18"/>
              </w:rPr>
              <w:t>Zorgplicht beheerder</w:t>
            </w:r>
          </w:p>
        </w:tc>
        <w:tc>
          <w:tcPr>
            <w:tcW w:type="dxa" w:w="3135"/>
          </w:tcPr>
          <w:p>
            <w:r>
              <w:rPr>
                <w:rFonts w:ascii="Calibri" w:hAnsi="Calibri"/>
                <w:sz w:val="18"/>
              </w:rPr>
              <w:t>Basis</w:t>
            </w:r>
          </w:p>
        </w:tc>
      </w:tr>
      <w:tr>
        <w:tc>
          <w:tcPr>
            <w:tcW w:type="dxa" w:w="3135"/>
          </w:tcPr>
          <w:p>
            <w:r>
              <w:rPr>
                <w:rFonts w:ascii="Calibri" w:hAnsi="Calibri"/>
                <w:sz w:val="18"/>
              </w:rPr>
              <w:t>M2</w:t>
            </w:r>
          </w:p>
        </w:tc>
        <w:tc>
          <w:tcPr>
            <w:tcW w:type="dxa" w:w="3135"/>
          </w:tcPr>
          <w:p>
            <w:r>
              <w:rPr>
                <w:rFonts w:ascii="Calibri" w:hAnsi="Calibri"/>
                <w:sz w:val="18"/>
              </w:rPr>
              <w:t>Opslaan in opslagvoorziening</w:t>
            </w:r>
          </w:p>
        </w:tc>
        <w:tc>
          <w:tcPr>
            <w:tcW w:type="dxa" w:w="3135"/>
          </w:tcPr>
          <w:p>
            <w:r>
              <w:rPr>
                <w:rFonts w:ascii="Calibri" w:hAnsi="Calibri"/>
                <w:sz w:val="18"/>
              </w:rPr>
              <w:t>Basis</w:t>
            </w:r>
          </w:p>
        </w:tc>
      </w:tr>
      <w:tr>
        <w:tc>
          <w:tcPr>
            <w:tcW w:type="dxa" w:w="3135"/>
          </w:tcPr>
          <w:p>
            <w:r>
              <w:rPr>
                <w:rFonts w:ascii="Calibri" w:hAnsi="Calibri"/>
                <w:sz w:val="18"/>
              </w:rPr>
              <w:t>M3</w:t>
            </w:r>
          </w:p>
        </w:tc>
        <w:tc>
          <w:tcPr>
            <w:tcW w:type="dxa" w:w="3135"/>
          </w:tcPr>
          <w:p>
            <w:r>
              <w:rPr>
                <w:rFonts w:ascii="Calibri" w:hAnsi="Calibri"/>
                <w:sz w:val="18"/>
              </w:rPr>
              <w:t>Vereist veiligheidsniveau</w:t>
            </w:r>
          </w:p>
        </w:tc>
        <w:tc>
          <w:tcPr>
            <w:tcW w:type="dxa" w:w="3135"/>
          </w:tcPr>
          <w:p>
            <w:r>
              <w:rPr>
                <w:rFonts w:ascii="Calibri" w:hAnsi="Calibri"/>
                <w:sz w:val="18"/>
              </w:rPr>
              <w:t>Basis</w:t>
            </w:r>
          </w:p>
        </w:tc>
      </w:tr>
      <w:tr>
        <w:tc>
          <w:tcPr>
            <w:tcW w:type="dxa" w:w="3135"/>
          </w:tcPr>
          <w:p>
            <w:r>
              <w:rPr>
                <w:rFonts w:ascii="Calibri" w:hAnsi="Calibri"/>
                <w:sz w:val="18"/>
              </w:rPr>
              <w:t>M14</w:t>
            </w:r>
          </w:p>
        </w:tc>
        <w:tc>
          <w:tcPr>
            <w:tcW w:type="dxa" w:w="3135"/>
          </w:tcPr>
          <w:p>
            <w:r>
              <w:rPr>
                <w:rFonts w:ascii="Calibri" w:hAnsi="Calibri"/>
                <w:sz w:val="18"/>
              </w:rPr>
              <w:t>Werkvoorraad</w:t>
            </w:r>
          </w:p>
        </w:tc>
        <w:tc>
          <w:tcPr>
            <w:tcW w:type="dxa" w:w="3135"/>
          </w:tcPr>
          <w:p>
            <w:r>
              <w:rPr>
                <w:rFonts w:ascii="Calibri" w:hAnsi="Calibri"/>
                <w:sz w:val="18"/>
              </w:rPr>
              <w:t>Basis</w:t>
            </w:r>
          </w:p>
        </w:tc>
      </w:tr>
      <w:tr>
        <w:tc>
          <w:tcPr>
            <w:tcW w:type="dxa" w:w="3135"/>
          </w:tcPr>
          <w:p>
            <w:r>
              <w:rPr>
                <w:rFonts w:ascii="Calibri" w:hAnsi="Calibri"/>
                <w:sz w:val="18"/>
              </w:rPr>
              <w:t>M20</w:t>
            </w:r>
          </w:p>
        </w:tc>
        <w:tc>
          <w:tcPr>
            <w:tcW w:type="dxa" w:w="3135"/>
          </w:tcPr>
          <w:p>
            <w:r>
              <w:rPr>
                <w:rFonts w:ascii="Calibri" w:hAnsi="Calibri"/>
                <w:sz w:val="18"/>
              </w:rPr>
              <w:t>Lege/onreinigde verpakkingen</w:t>
            </w:r>
          </w:p>
        </w:tc>
        <w:tc>
          <w:tcPr>
            <w:tcW w:type="dxa" w:w="3135"/>
          </w:tcPr>
          <w:p>
            <w:r>
              <w:rPr>
                <w:rFonts w:ascii="Calibri" w:hAnsi="Calibri"/>
                <w:sz w:val="18"/>
              </w:rPr>
              <w:t>Basis</w:t>
            </w:r>
          </w:p>
        </w:tc>
      </w:tr>
      <w:tr>
        <w:tc>
          <w:tcPr>
            <w:tcW w:type="dxa" w:w="3135"/>
          </w:tcPr>
          <w:p>
            <w:r>
              <w:rPr>
                <w:rFonts w:ascii="Calibri" w:hAnsi="Calibri"/>
                <w:sz w:val="18"/>
              </w:rPr>
              <w:t>M30</w:t>
            </w:r>
          </w:p>
        </w:tc>
        <w:tc>
          <w:tcPr>
            <w:tcW w:type="dxa" w:w="3135"/>
          </w:tcPr>
          <w:p>
            <w:r>
              <w:rPr>
                <w:rFonts w:ascii="Calibri" w:hAnsi="Calibri"/>
                <w:sz w:val="18"/>
              </w:rPr>
              <w:t>Opvangvoorziening (110%/10%)</w:t>
            </w:r>
          </w:p>
        </w:tc>
        <w:tc>
          <w:tcPr>
            <w:tcW w:type="dxa" w:w="3135"/>
          </w:tcPr>
          <w:p>
            <w:r>
              <w:rPr>
                <w:rFonts w:ascii="Calibri" w:hAnsi="Calibri"/>
                <w:sz w:val="18"/>
              </w:rPr>
              <w:t>Basis</w:t>
            </w:r>
          </w:p>
        </w:tc>
      </w:tr>
      <w:tr>
        <w:tc>
          <w:tcPr>
            <w:tcW w:type="dxa" w:w="3135"/>
          </w:tcPr>
          <w:p>
            <w:r>
              <w:rPr>
                <w:rFonts w:ascii="Calibri" w:hAnsi="Calibri"/>
                <w:sz w:val="18"/>
              </w:rPr>
              <w:t>M35</w:t>
            </w:r>
          </w:p>
        </w:tc>
        <w:tc>
          <w:tcPr>
            <w:tcW w:type="dxa" w:w="3135"/>
          </w:tcPr>
          <w:p>
            <w:r>
              <w:rPr>
                <w:rFonts w:ascii="Calibri" w:hAnsi="Calibri"/>
                <w:sz w:val="18"/>
              </w:rPr>
              <w:t>Onverenigbare combinaties scheiden</w:t>
            </w:r>
          </w:p>
        </w:tc>
        <w:tc>
          <w:tcPr>
            <w:tcW w:type="dxa" w:w="3135"/>
          </w:tcPr>
          <w:p>
            <w:r>
              <w:rPr>
                <w:rFonts w:ascii="Calibri" w:hAnsi="Calibri"/>
                <w:sz w:val="18"/>
              </w:rPr>
              <w:t>Basis</w:t>
            </w:r>
          </w:p>
        </w:tc>
      </w:tr>
      <w:tr>
        <w:tc>
          <w:tcPr>
            <w:tcW w:type="dxa" w:w="3135"/>
          </w:tcPr>
          <w:p>
            <w:r>
              <w:rPr>
                <w:rFonts w:ascii="Calibri" w:hAnsi="Calibri"/>
                <w:sz w:val="18"/>
              </w:rPr>
              <w:t>M48</w:t>
            </w:r>
          </w:p>
        </w:tc>
        <w:tc>
          <w:tcPr>
            <w:tcW w:type="dxa" w:w="3135"/>
          </w:tcPr>
          <w:p>
            <w:r>
              <w:rPr>
                <w:rFonts w:ascii="Calibri" w:hAnsi="Calibri"/>
                <w:sz w:val="18"/>
              </w:rPr>
              <w:t>Geschikte verpakking</w:t>
            </w:r>
          </w:p>
        </w:tc>
        <w:tc>
          <w:tcPr>
            <w:tcW w:type="dxa" w:w="3135"/>
          </w:tcPr>
          <w:p>
            <w:r>
              <w:rPr>
                <w:rFonts w:ascii="Calibri" w:hAnsi="Calibri"/>
                <w:sz w:val="18"/>
              </w:rPr>
              <w:t>Basis</w:t>
            </w:r>
          </w:p>
        </w:tc>
      </w:tr>
      <w:tr>
        <w:tc>
          <w:tcPr>
            <w:tcW w:type="dxa" w:w="3135"/>
          </w:tcPr>
          <w:p>
            <w:r>
              <w:rPr>
                <w:rFonts w:ascii="Calibri" w:hAnsi="Calibri"/>
                <w:sz w:val="18"/>
              </w:rPr>
              <w:t>M68</w:t>
            </w:r>
          </w:p>
        </w:tc>
        <w:tc>
          <w:tcPr>
            <w:tcW w:type="dxa" w:w="3135"/>
          </w:tcPr>
          <w:p>
            <w:r>
              <w:rPr>
                <w:rFonts w:ascii="Calibri" w:hAnsi="Calibri"/>
                <w:sz w:val="18"/>
              </w:rPr>
              <w:t>Eisen machines/installaties</w:t>
            </w:r>
          </w:p>
        </w:tc>
        <w:tc>
          <w:tcPr>
            <w:tcW w:type="dxa" w:w="3135"/>
          </w:tcPr>
          <w:p>
            <w:r>
              <w:rPr>
                <w:rFonts w:ascii="Calibri" w:hAnsi="Calibri"/>
                <w:sz w:val="18"/>
              </w:rPr>
              <w:t>Basis</w:t>
            </w:r>
          </w:p>
        </w:tc>
      </w:tr>
      <w:tr>
        <w:tc>
          <w:tcPr>
            <w:tcW w:type="dxa" w:w="3135"/>
          </w:tcPr>
          <w:p>
            <w:r>
              <w:rPr>
                <w:rFonts w:ascii="Calibri" w:hAnsi="Calibri"/>
                <w:sz w:val="18"/>
              </w:rPr>
              <w:t>M85</w:t>
            </w:r>
          </w:p>
        </w:tc>
        <w:tc>
          <w:tcPr>
            <w:tcW w:type="dxa" w:w="3135"/>
          </w:tcPr>
          <w:p>
            <w:r>
              <w:rPr>
                <w:rFonts w:ascii="Calibri" w:hAnsi="Calibri"/>
                <w:sz w:val="18"/>
              </w:rPr>
              <w:t>Deskundig personeel (≥2.500 kg)</w:t>
            </w:r>
          </w:p>
        </w:tc>
        <w:tc>
          <w:tcPr>
            <w:tcW w:type="dxa" w:w="3135"/>
          </w:tcPr>
          <w:p>
            <w:r>
              <w:rPr>
                <w:rFonts w:ascii="Calibri" w:hAnsi="Calibri"/>
                <w:sz w:val="18"/>
              </w:rPr>
              <w:t>Basis</w:t>
            </w:r>
          </w:p>
        </w:tc>
      </w:tr>
      <w:tr>
        <w:tc>
          <w:tcPr>
            <w:tcW w:type="dxa" w:w="3135"/>
          </w:tcPr>
          <w:p>
            <w:r>
              <w:rPr>
                <w:rFonts w:ascii="Calibri" w:hAnsi="Calibri"/>
                <w:sz w:val="18"/>
              </w:rPr>
              <w:t>M86</w:t>
            </w:r>
          </w:p>
        </w:tc>
        <w:tc>
          <w:tcPr>
            <w:tcW w:type="dxa" w:w="3135"/>
          </w:tcPr>
          <w:p>
            <w:r>
              <w:rPr>
                <w:rFonts w:ascii="Calibri" w:hAnsi="Calibri"/>
                <w:sz w:val="18"/>
              </w:rPr>
              <w:t>Instructie medewerkers</w:t>
            </w:r>
          </w:p>
        </w:tc>
        <w:tc>
          <w:tcPr>
            <w:tcW w:type="dxa" w:w="3135"/>
          </w:tcPr>
          <w:p>
            <w:r>
              <w:rPr>
                <w:rFonts w:ascii="Calibri" w:hAnsi="Calibri"/>
                <w:sz w:val="18"/>
              </w:rPr>
              <w:t>Basis</w:t>
            </w:r>
          </w:p>
        </w:tc>
      </w:tr>
      <w:tr>
        <w:tc>
          <w:tcPr>
            <w:tcW w:type="dxa" w:w="3135"/>
          </w:tcPr>
          <w:p>
            <w:r>
              <w:rPr>
                <w:rFonts w:ascii="Calibri" w:hAnsi="Calibri"/>
                <w:sz w:val="18"/>
              </w:rPr>
              <w:t>M87</w:t>
            </w:r>
          </w:p>
        </w:tc>
        <w:tc>
          <w:tcPr>
            <w:tcW w:type="dxa" w:w="3135"/>
          </w:tcPr>
          <w:p>
            <w:r>
              <w:rPr>
                <w:rFonts w:ascii="Calibri" w:hAnsi="Calibri"/>
                <w:sz w:val="18"/>
              </w:rPr>
              <w:t>Opleiding bestuurders</w:t>
            </w:r>
          </w:p>
        </w:tc>
        <w:tc>
          <w:tcPr>
            <w:tcW w:type="dxa" w:w="3135"/>
          </w:tcPr>
          <w:p>
            <w:r>
              <w:rPr>
                <w:rFonts w:ascii="Calibri" w:hAnsi="Calibri"/>
                <w:sz w:val="18"/>
              </w:rPr>
              <w:t>Basis</w:t>
            </w:r>
          </w:p>
        </w:tc>
      </w:tr>
      <w:tr>
        <w:tc>
          <w:tcPr>
            <w:tcW w:type="dxa" w:w="3135"/>
          </w:tcPr>
          <w:p>
            <w:r>
              <w:rPr>
                <w:rFonts w:ascii="Calibri" w:hAnsi="Calibri"/>
                <w:sz w:val="18"/>
              </w:rPr>
              <w:t>M88</w:t>
            </w:r>
          </w:p>
        </w:tc>
        <w:tc>
          <w:tcPr>
            <w:tcW w:type="dxa" w:w="3135"/>
          </w:tcPr>
          <w:p>
            <w:r>
              <w:rPr>
                <w:rFonts w:ascii="Calibri" w:hAnsi="Calibri"/>
                <w:sz w:val="18"/>
              </w:rPr>
              <w:t>Niet toegankelijk onbevoegden</w:t>
            </w:r>
          </w:p>
        </w:tc>
        <w:tc>
          <w:tcPr>
            <w:tcW w:type="dxa" w:w="3135"/>
          </w:tcPr>
          <w:p>
            <w:r>
              <w:rPr>
                <w:rFonts w:ascii="Calibri" w:hAnsi="Calibri"/>
                <w:sz w:val="18"/>
              </w:rPr>
              <w:t>Basis</w:t>
            </w:r>
          </w:p>
        </w:tc>
      </w:tr>
      <w:tr>
        <w:tc>
          <w:tcPr>
            <w:tcW w:type="dxa" w:w="3135"/>
          </w:tcPr>
          <w:p>
            <w:r>
              <w:rPr>
                <w:rFonts w:ascii="Calibri" w:hAnsi="Calibri"/>
                <w:sz w:val="18"/>
              </w:rPr>
              <w:t>M89</w:t>
            </w:r>
          </w:p>
        </w:tc>
        <w:tc>
          <w:tcPr>
            <w:tcW w:type="dxa" w:w="3135"/>
          </w:tcPr>
          <w:p>
            <w:r>
              <w:rPr>
                <w:rFonts w:ascii="Calibri" w:hAnsi="Calibri"/>
                <w:sz w:val="18"/>
              </w:rPr>
              <w:t>Failsafe/behoud functie</w:t>
            </w:r>
          </w:p>
        </w:tc>
        <w:tc>
          <w:tcPr>
            <w:tcW w:type="dxa" w:w="3135"/>
          </w:tcPr>
          <w:p>
            <w:r>
              <w:rPr>
                <w:rFonts w:ascii="Calibri" w:hAnsi="Calibri"/>
                <w:sz w:val="18"/>
              </w:rPr>
              <w:t>Basis</w:t>
            </w:r>
          </w:p>
        </w:tc>
      </w:tr>
      <w:tr>
        <w:tc>
          <w:tcPr>
            <w:tcW w:type="dxa" w:w="3135"/>
          </w:tcPr>
          <w:p>
            <w:r>
              <w:rPr>
                <w:rFonts w:ascii="Calibri" w:hAnsi="Calibri"/>
                <w:sz w:val="18"/>
              </w:rPr>
              <w:t>M95</w:t>
            </w:r>
          </w:p>
        </w:tc>
        <w:tc>
          <w:tcPr>
            <w:tcW w:type="dxa" w:w="3135"/>
          </w:tcPr>
          <w:p>
            <w:r>
              <w:rPr>
                <w:rFonts w:ascii="Calibri" w:hAnsi="Calibri"/>
                <w:sz w:val="18"/>
              </w:rPr>
              <w:t>Draagbaar blustoestel</w:t>
            </w:r>
          </w:p>
        </w:tc>
        <w:tc>
          <w:tcPr>
            <w:tcW w:type="dxa" w:w="3135"/>
          </w:tcPr>
          <w:p>
            <w:r>
              <w:rPr>
                <w:rFonts w:ascii="Calibri" w:hAnsi="Calibri"/>
                <w:sz w:val="18"/>
              </w:rPr>
              <w:t>Basis</w:t>
            </w:r>
          </w:p>
        </w:tc>
      </w:tr>
      <w:tr>
        <w:tc>
          <w:tcPr>
            <w:tcW w:type="dxa" w:w="3135"/>
          </w:tcPr>
          <w:p>
            <w:r>
              <w:rPr>
                <w:rFonts w:ascii="Calibri" w:hAnsi="Calibri"/>
                <w:sz w:val="18"/>
              </w:rPr>
              <w:t>M109</w:t>
            </w:r>
          </w:p>
        </w:tc>
        <w:tc>
          <w:tcPr>
            <w:tcW w:type="dxa" w:w="3135"/>
          </w:tcPr>
          <w:p>
            <w:r>
              <w:rPr>
                <w:rFonts w:ascii="Calibri" w:hAnsi="Calibri"/>
                <w:sz w:val="18"/>
              </w:rPr>
              <w:t>Bereikbaarheid</w:t>
            </w:r>
          </w:p>
        </w:tc>
        <w:tc>
          <w:tcPr>
            <w:tcW w:type="dxa" w:w="3135"/>
          </w:tcPr>
          <w:p>
            <w:r>
              <w:rPr>
                <w:rFonts w:ascii="Calibri" w:hAnsi="Calibri"/>
                <w:sz w:val="18"/>
              </w:rPr>
              <w:t>Basis</w:t>
            </w:r>
          </w:p>
        </w:tc>
      </w:tr>
      <w:tr>
        <w:tc>
          <w:tcPr>
            <w:tcW w:type="dxa" w:w="3135"/>
          </w:tcPr>
          <w:p>
            <w:r>
              <w:rPr>
                <w:rFonts w:ascii="Calibri" w:hAnsi="Calibri"/>
                <w:sz w:val="18"/>
              </w:rPr>
              <w:t>M111</w:t>
            </w:r>
          </w:p>
        </w:tc>
        <w:tc>
          <w:tcPr>
            <w:tcW w:type="dxa" w:w="3135"/>
          </w:tcPr>
          <w:p>
            <w:r>
              <w:rPr>
                <w:rFonts w:ascii="Calibri" w:hAnsi="Calibri"/>
                <w:sz w:val="18"/>
              </w:rPr>
              <w:t>Vrijkomen dampen</w:t>
            </w:r>
          </w:p>
        </w:tc>
        <w:tc>
          <w:tcPr>
            <w:tcW w:type="dxa" w:w="3135"/>
          </w:tcPr>
          <w:p>
            <w:r>
              <w:rPr>
                <w:rFonts w:ascii="Calibri" w:hAnsi="Calibri"/>
                <w:sz w:val="18"/>
              </w:rPr>
              <w:t>Basis</w:t>
            </w:r>
          </w:p>
        </w:tc>
      </w:tr>
      <w:tr>
        <w:tc>
          <w:tcPr>
            <w:tcW w:type="dxa" w:w="3135"/>
          </w:tcPr>
          <w:p>
            <w:r>
              <w:rPr>
                <w:rFonts w:ascii="Calibri" w:hAnsi="Calibri"/>
                <w:sz w:val="18"/>
              </w:rPr>
              <w:t>M119</w:t>
            </w:r>
          </w:p>
        </w:tc>
        <w:tc>
          <w:tcPr>
            <w:tcW w:type="dxa" w:w="3135"/>
          </w:tcPr>
          <w:p>
            <w:r>
              <w:rPr>
                <w:rFonts w:ascii="Calibri" w:hAnsi="Calibri"/>
                <w:sz w:val="18"/>
              </w:rPr>
              <w:t>Opruimen gemorste stoffen</w:t>
            </w:r>
          </w:p>
        </w:tc>
        <w:tc>
          <w:tcPr>
            <w:tcW w:type="dxa" w:w="3135"/>
          </w:tcPr>
          <w:p>
            <w:r>
              <w:rPr>
                <w:rFonts w:ascii="Calibri" w:hAnsi="Calibri"/>
                <w:sz w:val="18"/>
              </w:rPr>
              <w:t>Basis</w:t>
            </w:r>
          </w:p>
        </w:tc>
      </w:tr>
      <w:tr>
        <w:tc>
          <w:tcPr>
            <w:tcW w:type="dxa" w:w="3135"/>
          </w:tcPr>
          <w:p>
            <w:r>
              <w:rPr>
                <w:rFonts w:ascii="Calibri" w:hAnsi="Calibri"/>
                <w:sz w:val="18"/>
              </w:rPr>
              <w:t>M120</w:t>
            </w:r>
          </w:p>
        </w:tc>
        <w:tc>
          <w:tcPr>
            <w:tcW w:type="dxa" w:w="3135"/>
          </w:tcPr>
          <w:p>
            <w:r>
              <w:rPr>
                <w:rFonts w:ascii="Calibri" w:hAnsi="Calibri"/>
                <w:sz w:val="18"/>
              </w:rPr>
              <w:t>Lekkage-instructie</w:t>
            </w:r>
          </w:p>
        </w:tc>
        <w:tc>
          <w:tcPr>
            <w:tcW w:type="dxa" w:w="3135"/>
          </w:tcPr>
          <w:p>
            <w:r>
              <w:rPr>
                <w:rFonts w:ascii="Calibri" w:hAnsi="Calibri"/>
                <w:sz w:val="18"/>
              </w:rPr>
              <w:t>Basis</w:t>
            </w:r>
          </w:p>
        </w:tc>
      </w:tr>
      <w:tr>
        <w:tc>
          <w:tcPr>
            <w:tcW w:type="dxa" w:w="3135"/>
          </w:tcPr>
          <w:p>
            <w:r>
              <w:rPr>
                <w:rFonts w:ascii="Calibri" w:hAnsi="Calibri"/>
                <w:sz w:val="18"/>
              </w:rPr>
              <w:t>M121</w:t>
            </w:r>
          </w:p>
        </w:tc>
        <w:tc>
          <w:tcPr>
            <w:tcW w:type="dxa" w:w="3135"/>
          </w:tcPr>
          <w:p>
            <w:r>
              <w:rPr>
                <w:rFonts w:ascii="Calibri" w:hAnsi="Calibri"/>
                <w:sz w:val="18"/>
              </w:rPr>
              <w:t>Calamiteiteninstructie</w:t>
            </w:r>
          </w:p>
        </w:tc>
        <w:tc>
          <w:tcPr>
            <w:tcW w:type="dxa" w:w="3135"/>
          </w:tcPr>
          <w:p>
            <w:r>
              <w:rPr>
                <w:rFonts w:ascii="Calibri" w:hAnsi="Calibri"/>
                <w:sz w:val="18"/>
              </w:rPr>
              <w:t>Basis</w:t>
            </w:r>
          </w:p>
        </w:tc>
      </w:tr>
      <w:tr>
        <w:tc>
          <w:tcPr>
            <w:tcW w:type="dxa" w:w="3135"/>
          </w:tcPr>
          <w:p>
            <w:r>
              <w:rPr>
                <w:rFonts w:ascii="Calibri" w:hAnsi="Calibri"/>
                <w:sz w:val="18"/>
              </w:rPr>
              <w:t>M130</w:t>
            </w:r>
          </w:p>
        </w:tc>
        <w:tc>
          <w:tcPr>
            <w:tcW w:type="dxa" w:w="3135"/>
          </w:tcPr>
          <w:p>
            <w:r>
              <w:rPr>
                <w:rFonts w:ascii="Calibri" w:hAnsi="Calibri"/>
                <w:sz w:val="18"/>
              </w:rPr>
              <w:t>Niet in vluchtroute</w:t>
            </w:r>
          </w:p>
        </w:tc>
        <w:tc>
          <w:tcPr>
            <w:tcW w:type="dxa" w:w="3135"/>
          </w:tcPr>
          <w:p>
            <w:r>
              <w:rPr>
                <w:rFonts w:ascii="Calibri" w:hAnsi="Calibri"/>
                <w:sz w:val="18"/>
              </w:rPr>
              <w:t>Basis</w:t>
            </w:r>
          </w:p>
        </w:tc>
      </w:tr>
      <w:tr>
        <w:tc>
          <w:tcPr>
            <w:tcW w:type="dxa" w:w="3135"/>
          </w:tcPr>
          <w:p>
            <w:r>
              <w:rPr>
                <w:rFonts w:ascii="Calibri" w:hAnsi="Calibri"/>
                <w:sz w:val="18"/>
              </w:rPr>
              <w:t>M131</w:t>
            </w:r>
          </w:p>
        </w:tc>
        <w:tc>
          <w:tcPr>
            <w:tcW w:type="dxa" w:w="3135"/>
          </w:tcPr>
          <w:p>
            <w:r>
              <w:rPr>
                <w:rFonts w:ascii="Calibri" w:hAnsi="Calibri"/>
                <w:sz w:val="18"/>
              </w:rPr>
              <w:t>Twee vluchtroutes</w:t>
            </w:r>
          </w:p>
        </w:tc>
        <w:tc>
          <w:tcPr>
            <w:tcW w:type="dxa" w:w="3135"/>
          </w:tcPr>
          <w:p>
            <w:r>
              <w:rPr>
                <w:rFonts w:ascii="Calibri" w:hAnsi="Calibri"/>
                <w:sz w:val="18"/>
              </w:rPr>
              <w:t>Basis</w:t>
            </w:r>
          </w:p>
        </w:tc>
      </w:tr>
      <w:tr>
        <w:tc>
          <w:tcPr>
            <w:tcW w:type="dxa" w:w="3135"/>
          </w:tcPr>
          <w:p>
            <w:r>
              <w:rPr>
                <w:rFonts w:ascii="Calibri" w:hAnsi="Calibri"/>
                <w:sz w:val="18"/>
              </w:rPr>
              <w:t>M132</w:t>
            </w:r>
          </w:p>
        </w:tc>
        <w:tc>
          <w:tcPr>
            <w:tcW w:type="dxa" w:w="3135"/>
          </w:tcPr>
          <w:p>
            <w:r>
              <w:rPr>
                <w:rFonts w:ascii="Calibri" w:hAnsi="Calibri"/>
                <w:sz w:val="18"/>
              </w:rPr>
              <w:t>Toegangsdeur zonder sleutel</w:t>
            </w:r>
          </w:p>
        </w:tc>
        <w:tc>
          <w:tcPr>
            <w:tcW w:type="dxa" w:w="3135"/>
          </w:tcPr>
          <w:p>
            <w:r>
              <w:rPr>
                <w:rFonts w:ascii="Calibri" w:hAnsi="Calibri"/>
                <w:sz w:val="18"/>
              </w:rPr>
              <w:t>Basis</w:t>
            </w:r>
          </w:p>
        </w:tc>
      </w:tr>
      <w:tr>
        <w:tc>
          <w:tcPr>
            <w:tcW w:type="dxa" w:w="3135"/>
          </w:tcPr>
          <w:p>
            <w:r>
              <w:rPr>
                <w:rFonts w:ascii="Calibri" w:hAnsi="Calibri"/>
                <w:sz w:val="18"/>
              </w:rPr>
              <w:t>M133</w:t>
            </w:r>
          </w:p>
        </w:tc>
        <w:tc>
          <w:tcPr>
            <w:tcW w:type="dxa" w:w="3135"/>
          </w:tcPr>
          <w:p>
            <w:r>
              <w:rPr>
                <w:rFonts w:ascii="Calibri" w:hAnsi="Calibri"/>
                <w:sz w:val="18"/>
              </w:rPr>
              <w:t>Noodverlichting</w:t>
            </w:r>
          </w:p>
        </w:tc>
        <w:tc>
          <w:tcPr>
            <w:tcW w:type="dxa" w:w="3135"/>
          </w:tcPr>
          <w:p>
            <w:r>
              <w:rPr>
                <w:rFonts w:ascii="Calibri" w:hAnsi="Calibri"/>
                <w:sz w:val="18"/>
              </w:rPr>
              <w:t>Basis</w:t>
            </w:r>
          </w:p>
        </w:tc>
      </w:tr>
      <w:tr>
        <w:tc>
          <w:tcPr>
            <w:tcW w:type="dxa" w:w="3135"/>
          </w:tcPr>
          <w:p>
            <w:r>
              <w:rPr>
                <w:rFonts w:ascii="Calibri" w:hAnsi="Calibri"/>
                <w:sz w:val="18"/>
              </w:rPr>
              <w:t>M134</w:t>
            </w:r>
          </w:p>
        </w:tc>
        <w:tc>
          <w:tcPr>
            <w:tcW w:type="dxa" w:w="3135"/>
          </w:tcPr>
          <w:p>
            <w:r>
              <w:rPr>
                <w:rFonts w:ascii="Calibri" w:hAnsi="Calibri"/>
                <w:sz w:val="18"/>
              </w:rPr>
              <w:t>Rook-/vuurverbod</w:t>
            </w:r>
          </w:p>
        </w:tc>
        <w:tc>
          <w:tcPr>
            <w:tcW w:type="dxa" w:w="3135"/>
          </w:tcPr>
          <w:p>
            <w:r>
              <w:rPr>
                <w:rFonts w:ascii="Calibri" w:hAnsi="Calibri"/>
                <w:sz w:val="18"/>
              </w:rPr>
              <w:t>Basis</w:t>
            </w:r>
          </w:p>
        </w:tc>
      </w:tr>
      <w:tr>
        <w:tc>
          <w:tcPr>
            <w:tcW w:type="dxa" w:w="3135"/>
          </w:tcPr>
          <w:p>
            <w:r>
              <w:rPr>
                <w:rFonts w:ascii="Calibri" w:hAnsi="Calibri"/>
                <w:sz w:val="18"/>
              </w:rPr>
              <w:t>M135</w:t>
            </w:r>
          </w:p>
        </w:tc>
        <w:tc>
          <w:tcPr>
            <w:tcW w:type="dxa" w:w="3135"/>
          </w:tcPr>
          <w:p>
            <w:r>
              <w:rPr>
                <w:rFonts w:ascii="Calibri" w:hAnsi="Calibri"/>
                <w:sz w:val="18"/>
              </w:rPr>
              <w:t>Veiligheidssignalering</w:t>
            </w:r>
          </w:p>
        </w:tc>
        <w:tc>
          <w:tcPr>
            <w:tcW w:type="dxa" w:w="3135"/>
          </w:tcPr>
          <w:p>
            <w:r>
              <w:rPr>
                <w:rFonts w:ascii="Calibri" w:hAnsi="Calibri"/>
                <w:sz w:val="18"/>
              </w:rPr>
              <w:t>Basis</w:t>
            </w:r>
          </w:p>
        </w:tc>
      </w:tr>
      <w:tr>
        <w:tc>
          <w:tcPr>
            <w:tcW w:type="dxa" w:w="3135"/>
          </w:tcPr>
          <w:p>
            <w:r>
              <w:rPr>
                <w:rFonts w:ascii="Calibri" w:hAnsi="Calibri"/>
                <w:sz w:val="18"/>
              </w:rPr>
              <w:t>M136</w:t>
            </w:r>
          </w:p>
        </w:tc>
        <w:tc>
          <w:tcPr>
            <w:tcW w:type="dxa" w:w="3135"/>
          </w:tcPr>
          <w:p>
            <w:r>
              <w:rPr>
                <w:rFonts w:ascii="Calibri" w:hAnsi="Calibri"/>
                <w:sz w:val="18"/>
              </w:rPr>
              <w:t>Etiketten gevaarsaspecten</w:t>
            </w:r>
          </w:p>
        </w:tc>
        <w:tc>
          <w:tcPr>
            <w:tcW w:type="dxa" w:w="3135"/>
          </w:tcPr>
          <w:p>
            <w:r>
              <w:rPr>
                <w:rFonts w:ascii="Calibri" w:hAnsi="Calibri"/>
                <w:sz w:val="18"/>
              </w:rPr>
              <w:t>Basis</w:t>
            </w:r>
          </w:p>
        </w:tc>
      </w:tr>
      <w:tr>
        <w:tc>
          <w:tcPr>
            <w:tcW w:type="dxa" w:w="3135"/>
          </w:tcPr>
          <w:p>
            <w:r>
              <w:rPr>
                <w:rFonts w:ascii="Calibri" w:hAnsi="Calibri"/>
                <w:sz w:val="18"/>
              </w:rPr>
              <w:t>M137</w:t>
            </w:r>
          </w:p>
        </w:tc>
        <w:tc>
          <w:tcPr>
            <w:tcW w:type="dxa" w:w="3135"/>
          </w:tcPr>
          <w:p>
            <w:r>
              <w:rPr>
                <w:rFonts w:ascii="Calibri" w:hAnsi="Calibri"/>
                <w:sz w:val="18"/>
              </w:rPr>
              <w:t>Veiligheidsinformatiebladen (VIB)</w:t>
            </w:r>
          </w:p>
        </w:tc>
        <w:tc>
          <w:tcPr>
            <w:tcW w:type="dxa" w:w="3135"/>
          </w:tcPr>
          <w:p>
            <w:r>
              <w:rPr>
                <w:rFonts w:ascii="Calibri" w:hAnsi="Calibri"/>
                <w:sz w:val="18"/>
              </w:rPr>
              <w:t>Basis</w:t>
            </w:r>
          </w:p>
        </w:tc>
      </w:tr>
      <w:tr>
        <w:tc>
          <w:tcPr>
            <w:tcW w:type="dxa" w:w="3135"/>
          </w:tcPr>
          <w:p>
            <w:r>
              <w:rPr>
                <w:rFonts w:ascii="Calibri" w:hAnsi="Calibri"/>
                <w:sz w:val="18"/>
              </w:rPr>
              <w:t>M21</w:t>
            </w:r>
          </w:p>
        </w:tc>
        <w:tc>
          <w:tcPr>
            <w:tcW w:type="dxa" w:w="3135"/>
          </w:tcPr>
          <w:p>
            <w:r>
              <w:rPr>
                <w:rFonts w:ascii="Calibri" w:hAnsi="Calibri"/>
                <w:sz w:val="18"/>
              </w:rPr>
              <w:t>WBDBO constructie (60/90 min)</w:t>
            </w:r>
          </w:p>
        </w:tc>
        <w:tc>
          <w:tcPr>
            <w:tcW w:type="dxa" w:w="3135"/>
          </w:tcPr>
          <w:p>
            <w:r>
              <w:rPr>
                <w:rFonts w:ascii="Calibri" w:hAnsi="Calibri"/>
                <w:sz w:val="18"/>
              </w:rPr>
              <w:t>C</w:t>
            </w:r>
          </w:p>
        </w:tc>
      </w:tr>
      <w:tr>
        <w:tc>
          <w:tcPr>
            <w:tcW w:type="dxa" w:w="3135"/>
          </w:tcPr>
          <w:p>
            <w:r>
              <w:rPr>
                <w:rFonts w:ascii="Calibri" w:hAnsi="Calibri"/>
                <w:sz w:val="18"/>
              </w:rPr>
              <w:t>M23</w:t>
            </w:r>
          </w:p>
        </w:tc>
        <w:tc>
          <w:tcPr>
            <w:tcW w:type="dxa" w:w="3135"/>
          </w:tcPr>
          <w:p>
            <w:r>
              <w:rPr>
                <w:rFonts w:ascii="Calibri" w:hAnsi="Calibri"/>
                <w:sz w:val="18"/>
              </w:rPr>
              <w:t>Escalatie voorkomen naastgelegen</w:t>
            </w:r>
          </w:p>
        </w:tc>
        <w:tc>
          <w:tcPr>
            <w:tcW w:type="dxa" w:w="3135"/>
          </w:tcPr>
          <w:p>
            <w:r>
              <w:rPr>
                <w:rFonts w:ascii="Calibri" w:hAnsi="Calibri"/>
                <w:sz w:val="18"/>
              </w:rPr>
              <w:t>C</w:t>
            </w:r>
          </w:p>
        </w:tc>
      </w:tr>
      <w:tr>
        <w:tc>
          <w:tcPr>
            <w:tcW w:type="dxa" w:w="3135"/>
          </w:tcPr>
          <w:p>
            <w:r>
              <w:rPr>
                <w:rFonts w:ascii="Calibri" w:hAnsi="Calibri"/>
                <w:sz w:val="18"/>
              </w:rPr>
              <w:t>M29</w:t>
            </w:r>
          </w:p>
        </w:tc>
        <w:tc>
          <w:tcPr>
            <w:tcW w:type="dxa" w:w="3135"/>
          </w:tcPr>
          <w:p>
            <w:r>
              <w:rPr>
                <w:rFonts w:ascii="Calibri" w:hAnsi="Calibri"/>
                <w:sz w:val="18"/>
              </w:rPr>
              <w:t>Verspreiding voorkomen (geen riool)</w:t>
            </w:r>
          </w:p>
        </w:tc>
        <w:tc>
          <w:tcPr>
            <w:tcW w:type="dxa" w:w="3135"/>
          </w:tcPr>
          <w:p>
            <w:r>
              <w:rPr>
                <w:rFonts w:ascii="Calibri" w:hAnsi="Calibri"/>
                <w:sz w:val="18"/>
              </w:rPr>
              <w:t>C</w:t>
            </w:r>
          </w:p>
        </w:tc>
      </w:tr>
      <w:tr>
        <w:tc>
          <w:tcPr>
            <w:tcW w:type="dxa" w:w="3135"/>
          </w:tcPr>
          <w:p>
            <w:r>
              <w:rPr>
                <w:rFonts w:ascii="Calibri" w:hAnsi="Calibri"/>
                <w:sz w:val="18"/>
              </w:rPr>
              <w:t>M70</w:t>
            </w:r>
          </w:p>
        </w:tc>
        <w:tc>
          <w:tcPr>
            <w:tcW w:type="dxa" w:w="3135"/>
          </w:tcPr>
          <w:p>
            <w:r>
              <w:rPr>
                <w:rFonts w:ascii="Calibri" w:hAnsi="Calibri"/>
                <w:sz w:val="18"/>
              </w:rPr>
              <w:t>Verwarming eisen</w:t>
            </w:r>
          </w:p>
        </w:tc>
        <w:tc>
          <w:tcPr>
            <w:tcW w:type="dxa" w:w="3135"/>
          </w:tcPr>
          <w:p>
            <w:r>
              <w:rPr>
                <w:rFonts w:ascii="Calibri" w:hAnsi="Calibri"/>
                <w:sz w:val="18"/>
              </w:rPr>
              <w:t>C</w:t>
            </w:r>
          </w:p>
        </w:tc>
      </w:tr>
      <w:tr>
        <w:tc>
          <w:tcPr>
            <w:tcW w:type="dxa" w:w="3135"/>
          </w:tcPr>
          <w:p>
            <w:r>
              <w:rPr>
                <w:rFonts w:ascii="Calibri" w:hAnsi="Calibri"/>
                <w:sz w:val="18"/>
              </w:rPr>
              <w:t>M76</w:t>
            </w:r>
          </w:p>
        </w:tc>
        <w:tc>
          <w:tcPr>
            <w:tcW w:type="dxa" w:w="3135"/>
          </w:tcPr>
          <w:p>
            <w:r>
              <w:rPr>
                <w:rFonts w:ascii="Calibri" w:hAnsi="Calibri"/>
                <w:sz w:val="18"/>
              </w:rPr>
              <w:t>Manoeuvreerruimte</w:t>
            </w:r>
          </w:p>
        </w:tc>
        <w:tc>
          <w:tcPr>
            <w:tcW w:type="dxa" w:w="3135"/>
          </w:tcPr>
          <w:p>
            <w:r>
              <w:rPr>
                <w:rFonts w:ascii="Calibri" w:hAnsi="Calibri"/>
                <w:sz w:val="18"/>
              </w:rPr>
              <w:t>C</w:t>
            </w:r>
          </w:p>
        </w:tc>
      </w:tr>
      <w:tr>
        <w:tc>
          <w:tcPr>
            <w:tcW w:type="dxa" w:w="3135"/>
          </w:tcPr>
          <w:p>
            <w:r>
              <w:rPr>
                <w:rFonts w:ascii="Calibri" w:hAnsi="Calibri"/>
                <w:sz w:val="18"/>
              </w:rPr>
              <w:t>M77</w:t>
            </w:r>
          </w:p>
        </w:tc>
        <w:tc>
          <w:tcPr>
            <w:tcW w:type="dxa" w:w="3135"/>
          </w:tcPr>
          <w:p>
            <w:r>
              <w:rPr>
                <w:rFonts w:ascii="Calibri" w:hAnsi="Calibri"/>
                <w:sz w:val="18"/>
              </w:rPr>
              <w:t>Aanrijdbeveiliging stellingen</w:t>
            </w:r>
          </w:p>
        </w:tc>
        <w:tc>
          <w:tcPr>
            <w:tcW w:type="dxa" w:w="3135"/>
          </w:tcPr>
          <w:p>
            <w:r>
              <w:rPr>
                <w:rFonts w:ascii="Calibri" w:hAnsi="Calibri"/>
                <w:sz w:val="18"/>
              </w:rPr>
              <w:t>C</w:t>
            </w:r>
          </w:p>
        </w:tc>
      </w:tr>
      <w:tr>
        <w:tc>
          <w:tcPr>
            <w:tcW w:type="dxa" w:w="3135"/>
          </w:tcPr>
          <w:p>
            <w:r>
              <w:rPr>
                <w:rFonts w:ascii="Calibri" w:hAnsi="Calibri"/>
                <w:sz w:val="18"/>
              </w:rPr>
              <w:t>M78</w:t>
            </w:r>
          </w:p>
        </w:tc>
        <w:tc>
          <w:tcPr>
            <w:tcW w:type="dxa" w:w="3135"/>
          </w:tcPr>
          <w:p>
            <w:r>
              <w:rPr>
                <w:rFonts w:ascii="Calibri" w:hAnsi="Calibri"/>
                <w:sz w:val="18"/>
              </w:rPr>
              <w:t>Aanrijdbeveiliging afwijken</w:t>
            </w:r>
          </w:p>
        </w:tc>
        <w:tc>
          <w:tcPr>
            <w:tcW w:type="dxa" w:w="3135"/>
          </w:tcPr>
          <w:p>
            <w:r>
              <w:rPr>
                <w:rFonts w:ascii="Calibri" w:hAnsi="Calibri"/>
                <w:sz w:val="18"/>
              </w:rPr>
              <w:t>C</w:t>
            </w:r>
          </w:p>
        </w:tc>
      </w:tr>
      <w:tr>
        <w:tc>
          <w:tcPr>
            <w:tcW w:type="dxa" w:w="3135"/>
          </w:tcPr>
          <w:p>
            <w:r>
              <w:rPr>
                <w:rFonts w:ascii="Calibri" w:hAnsi="Calibri"/>
                <w:sz w:val="18"/>
              </w:rPr>
              <w:t>M103</w:t>
            </w:r>
          </w:p>
        </w:tc>
        <w:tc>
          <w:tcPr>
            <w:tcW w:type="dxa" w:w="3135"/>
          </w:tcPr>
          <w:p>
            <w:r>
              <w:rPr>
                <w:rFonts w:ascii="Calibri" w:hAnsi="Calibri"/>
                <w:sz w:val="18"/>
              </w:rPr>
              <w:t>Bluswatervoorziening</w:t>
            </w:r>
          </w:p>
        </w:tc>
        <w:tc>
          <w:tcPr>
            <w:tcW w:type="dxa" w:w="3135"/>
          </w:tcPr>
          <w:p>
            <w:r>
              <w:rPr>
                <w:rFonts w:ascii="Calibri" w:hAnsi="Calibri"/>
                <w:sz w:val="18"/>
              </w:rPr>
              <w:t>C</w:t>
            </w:r>
          </w:p>
        </w:tc>
      </w:tr>
      <w:tr>
        <w:tc>
          <w:tcPr>
            <w:tcW w:type="dxa" w:w="3135"/>
          </w:tcPr>
          <w:p>
            <w:r>
              <w:rPr>
                <w:rFonts w:ascii="Calibri" w:hAnsi="Calibri"/>
                <w:sz w:val="18"/>
              </w:rPr>
              <w:t>M113</w:t>
            </w:r>
          </w:p>
        </w:tc>
        <w:tc>
          <w:tcPr>
            <w:tcW w:type="dxa" w:w="3135"/>
          </w:tcPr>
          <w:p>
            <w:r>
              <w:rPr>
                <w:rFonts w:ascii="Calibri" w:hAnsi="Calibri"/>
                <w:sz w:val="18"/>
              </w:rPr>
              <w:t>Intern noodplan (≥10.000 kg)</w:t>
            </w:r>
          </w:p>
        </w:tc>
        <w:tc>
          <w:tcPr>
            <w:tcW w:type="dxa" w:w="3135"/>
          </w:tcPr>
          <w:p>
            <w:r>
              <w:rPr>
                <w:rFonts w:ascii="Calibri" w:hAnsi="Calibri"/>
                <w:sz w:val="18"/>
              </w:rPr>
              <w:t>C</w:t>
            </w:r>
          </w:p>
        </w:tc>
      </w:tr>
      <w:tr>
        <w:tc>
          <w:tcPr>
            <w:tcW w:type="dxa" w:w="3135"/>
          </w:tcPr>
          <w:p>
            <w:r>
              <w:rPr>
                <w:rFonts w:ascii="Calibri" w:hAnsi="Calibri"/>
                <w:sz w:val="18"/>
              </w:rPr>
              <w:t>M114</w:t>
            </w:r>
          </w:p>
        </w:tc>
        <w:tc>
          <w:tcPr>
            <w:tcW w:type="dxa" w:w="3135"/>
          </w:tcPr>
          <w:p>
            <w:r>
              <w:rPr>
                <w:rFonts w:ascii="Calibri" w:hAnsi="Calibri"/>
                <w:sz w:val="18"/>
              </w:rPr>
              <w:t>Noodplan evaluatie (3-jaarlijks)</w:t>
            </w:r>
          </w:p>
        </w:tc>
        <w:tc>
          <w:tcPr>
            <w:tcW w:type="dxa" w:w="3135"/>
          </w:tcPr>
          <w:p>
            <w:r>
              <w:rPr>
                <w:rFonts w:ascii="Calibri" w:hAnsi="Calibri"/>
                <w:sz w:val="18"/>
              </w:rPr>
              <w:t>C</w:t>
            </w:r>
          </w:p>
        </w:tc>
      </w:tr>
      <w:tr>
        <w:tc>
          <w:tcPr>
            <w:tcW w:type="dxa" w:w="3135"/>
          </w:tcPr>
          <w:p>
            <w:r>
              <w:rPr>
                <w:rFonts w:ascii="Calibri" w:hAnsi="Calibri"/>
                <w:sz w:val="18"/>
              </w:rPr>
              <w:t>M115</w:t>
            </w:r>
          </w:p>
        </w:tc>
        <w:tc>
          <w:tcPr>
            <w:tcW w:type="dxa" w:w="3135"/>
          </w:tcPr>
          <w:p>
            <w:r>
              <w:rPr>
                <w:rFonts w:ascii="Calibri" w:hAnsi="Calibri"/>
                <w:sz w:val="18"/>
              </w:rPr>
              <w:t>Nooddouche/oogspoeling</w:t>
            </w:r>
          </w:p>
        </w:tc>
        <w:tc>
          <w:tcPr>
            <w:tcW w:type="dxa" w:w="3135"/>
          </w:tcPr>
          <w:p>
            <w:r>
              <w:rPr>
                <w:rFonts w:ascii="Calibri" w:hAnsi="Calibri"/>
                <w:sz w:val="18"/>
              </w:rPr>
              <w:t>C</w:t>
            </w:r>
          </w:p>
        </w:tc>
      </w:tr>
      <w:tr>
        <w:tc>
          <w:tcPr>
            <w:tcW w:type="dxa" w:w="3135"/>
          </w:tcPr>
          <w:p>
            <w:r>
              <w:rPr>
                <w:rFonts w:ascii="Calibri" w:hAnsi="Calibri"/>
                <w:sz w:val="18"/>
              </w:rPr>
              <w:t>M116</w:t>
            </w:r>
          </w:p>
        </w:tc>
        <w:tc>
          <w:tcPr>
            <w:tcW w:type="dxa" w:w="3135"/>
          </w:tcPr>
          <w:p>
            <w:r>
              <w:rPr>
                <w:rFonts w:ascii="Calibri" w:hAnsi="Calibri"/>
                <w:sz w:val="18"/>
              </w:rPr>
              <w:t>Informatie hulpdiensten (plattegrond)</w:t>
            </w:r>
          </w:p>
        </w:tc>
        <w:tc>
          <w:tcPr>
            <w:tcW w:type="dxa" w:w="3135"/>
          </w:tcPr>
          <w:p>
            <w:r>
              <w:rPr>
                <w:rFonts w:ascii="Calibri" w:hAnsi="Calibri"/>
                <w:sz w:val="18"/>
              </w:rPr>
              <w:t>C</w:t>
            </w:r>
          </w:p>
        </w:tc>
      </w:tr>
      <w:tr>
        <w:tc>
          <w:tcPr>
            <w:tcW w:type="dxa" w:w="3135"/>
          </w:tcPr>
          <w:p>
            <w:r>
              <w:rPr>
                <w:rFonts w:ascii="Calibri" w:hAnsi="Calibri"/>
                <w:sz w:val="18"/>
              </w:rPr>
              <w:t>M117</w:t>
            </w:r>
          </w:p>
        </w:tc>
        <w:tc>
          <w:tcPr>
            <w:tcW w:type="dxa" w:w="3135"/>
          </w:tcPr>
          <w:p>
            <w:r>
              <w:rPr>
                <w:rFonts w:ascii="Calibri" w:hAnsi="Calibri"/>
                <w:sz w:val="18"/>
              </w:rPr>
              <w:t>Aanvullende info hulpdiensten (30 min)</w:t>
            </w:r>
          </w:p>
        </w:tc>
        <w:tc>
          <w:tcPr>
            <w:tcW w:type="dxa" w:w="3135"/>
          </w:tcPr>
          <w:p>
            <w:r>
              <w:rPr>
                <w:rFonts w:ascii="Calibri" w:hAnsi="Calibri"/>
                <w:sz w:val="18"/>
              </w:rPr>
              <w:t>C</w:t>
            </w:r>
          </w:p>
        </w:tc>
      </w:tr>
      <w:tr>
        <w:tc>
          <w:tcPr>
            <w:tcW w:type="dxa" w:w="3135"/>
          </w:tcPr>
          <w:p>
            <w:r>
              <w:rPr>
                <w:rFonts w:ascii="Calibri" w:hAnsi="Calibri"/>
                <w:sz w:val="18"/>
              </w:rPr>
              <w:t>M118</w:t>
            </w:r>
          </w:p>
        </w:tc>
        <w:tc>
          <w:tcPr>
            <w:tcW w:type="dxa" w:w="3135"/>
          </w:tcPr>
          <w:p>
            <w:r>
              <w:rPr>
                <w:rFonts w:ascii="Calibri" w:hAnsi="Calibri"/>
                <w:sz w:val="18"/>
              </w:rPr>
              <w:t>Hardcopy informatie</w:t>
            </w:r>
          </w:p>
        </w:tc>
        <w:tc>
          <w:tcPr>
            <w:tcW w:type="dxa" w:w="3135"/>
          </w:tcPr>
          <w:p>
            <w:r>
              <w:rPr>
                <w:rFonts w:ascii="Calibri" w:hAnsi="Calibri"/>
                <w:sz w:val="18"/>
              </w:rPr>
              <w:t>C</w:t>
            </w:r>
          </w:p>
        </w:tc>
      </w:tr>
    </w:tbl>
    <w:p>
      <w:pPr>
        <w:pStyle w:val="Heading2"/>
      </w:pPr>
      <w:r>
        <w:t>3.6 Voorstel Gezamenlijke Opslag</w:t>
      </w:r>
    </w:p>
    <w:p>
      <w:pPr>
        <w:spacing w:after="120"/>
      </w:pPr>
      <w:r>
        <w:rPr>
          <w:rFonts w:ascii="Calibri" w:hAnsi="Calibri"/>
          <w:b/>
          <w:i w:val="0"/>
          <w:sz w:val="22"/>
        </w:rPr>
        <w:t>Opslag in 3 aparte vakken per ADR-klasse vereist (niveau C)</w:t>
      </w:r>
    </w:p>
    <w:p/>
    <w:p>
      <w:pPr>
        <w:spacing w:after="120"/>
      </w:pPr>
      <w:r>
        <w:rPr>
          <w:rFonts w:ascii="Calibri" w:hAnsi="Calibri"/>
          <w:b/>
          <w:i w:val="0"/>
          <w:color w:val="003366"/>
          <w:sz w:val="22"/>
        </w:rPr>
        <w:t>Vak 1 — Brandbare vloeistoffen (ADR klasse 3)</w:t>
      </w:r>
    </w:p>
    <w:p>
      <w:pPr>
        <w:spacing w:after="120"/>
      </w:pPr>
      <w:r>
        <w:rPr>
          <w:rFonts w:ascii="Calibri" w:hAnsi="Calibri"/>
          <w:b w:val="0"/>
          <w:i w:val="0"/>
          <w:sz w:val="20"/>
        </w:rPr>
        <w:t>Stoffen: Benzene-13C6, Isopropanol — 650.0 kg</w:t>
      </w:r>
    </w:p>
    <w:p>
      <w:pPr>
        <w:spacing w:after="120"/>
      </w:pPr>
      <w:r>
        <w:rPr>
          <w:rFonts w:ascii="Calibri" w:hAnsi="Calibri"/>
          <w:b w:val="0"/>
          <w:i w:val="0"/>
          <w:color w:val="374151"/>
          <w:sz w:val="18"/>
        </w:rPr>
        <w:t xml:space="preserve">  • Opvangvoorziening 110%/10%</w:t>
      </w:r>
    </w:p>
    <w:p>
      <w:pPr>
        <w:spacing w:after="120"/>
      </w:pPr>
      <w:r>
        <w:rPr>
          <w:rFonts w:ascii="Calibri" w:hAnsi="Calibri"/>
          <w:b w:val="0"/>
          <w:i w:val="0"/>
          <w:color w:val="374151"/>
          <w:sz w:val="18"/>
        </w:rPr>
        <w:t xml:space="preserve">  • VIB beschikbaar</w:t>
      </w:r>
    </w:p>
    <w:p>
      <w:pPr>
        <w:spacing w:after="120"/>
      </w:pPr>
      <w:r>
        <w:rPr>
          <w:rFonts w:ascii="Calibri" w:hAnsi="Calibri"/>
          <w:b w:val="0"/>
          <w:i w:val="0"/>
          <w:color w:val="374151"/>
          <w:sz w:val="18"/>
        </w:rPr>
        <w:t xml:space="preserve">  • Etikettering conform CLP</w:t>
      </w:r>
    </w:p>
    <w:p>
      <w:pPr>
        <w:spacing w:after="120"/>
      </w:pPr>
      <w:r>
        <w:rPr>
          <w:rFonts w:ascii="Calibri" w:hAnsi="Calibri"/>
          <w:b w:val="0"/>
          <w:i w:val="0"/>
          <w:color w:val="374151"/>
          <w:sz w:val="18"/>
        </w:rPr>
        <w:t xml:space="preserve">  • WBDBO 60/90 min</w:t>
      </w:r>
    </w:p>
    <w:p>
      <w:pPr>
        <w:spacing w:after="120"/>
      </w:pPr>
      <w:r>
        <w:rPr>
          <w:rFonts w:ascii="Calibri" w:hAnsi="Calibri"/>
          <w:b w:val="0"/>
          <w:i w:val="0"/>
          <w:color w:val="374151"/>
          <w:sz w:val="18"/>
        </w:rPr>
        <w:t xml:space="preserve">  • Noodverlichting bij stroomuitval</w:t>
      </w:r>
    </w:p>
    <w:p>
      <w:pPr>
        <w:spacing w:after="120"/>
      </w:pPr>
      <w:r>
        <w:rPr>
          <w:rFonts w:ascii="Calibri" w:hAnsi="Calibri"/>
          <w:b w:val="0"/>
          <w:i w:val="0"/>
          <w:color w:val="374151"/>
          <w:sz w:val="18"/>
        </w:rPr>
        <w:t xml:space="preserve">  • Minimaal 2 vluchtroutes</w:t>
      </w:r>
    </w:p>
    <w:p>
      <w:pPr>
        <w:spacing w:after="120"/>
      </w:pPr>
      <w:r>
        <w:rPr>
          <w:rFonts w:ascii="Calibri" w:hAnsi="Calibri"/>
          <w:b w:val="0"/>
          <w:i w:val="0"/>
          <w:color w:val="374151"/>
          <w:sz w:val="18"/>
        </w:rPr>
        <w:t xml:space="preserve">  • Bluswatervoorziening</w:t>
      </w:r>
    </w:p>
    <w:p>
      <w:pPr>
        <w:spacing w:after="120"/>
      </w:pPr>
      <w:r>
        <w:rPr>
          <w:rFonts w:ascii="Calibri" w:hAnsi="Calibri"/>
          <w:b w:val="0"/>
          <w:i w:val="0"/>
          <w:color w:val="374151"/>
          <w:sz w:val="18"/>
        </w:rPr>
        <w:t xml:space="preserve">  • Nooddouche/oogspoeling (binnen 10s)</w:t>
      </w:r>
    </w:p>
    <w:p>
      <w:pPr>
        <w:spacing w:after="120"/>
      </w:pPr>
      <w:r>
        <w:rPr>
          <w:rFonts w:ascii="Calibri" w:hAnsi="Calibri"/>
          <w:b w:val="0"/>
          <w:i w:val="0"/>
          <w:color w:val="374151"/>
          <w:sz w:val="18"/>
        </w:rPr>
        <w:t xml:space="preserve">  • Plattegrond beschikbaar voor hulpdiensten</w:t>
      </w:r>
    </w:p>
    <w:p>
      <w:pPr>
        <w:spacing w:after="120"/>
      </w:pPr>
      <w:r>
        <w:rPr>
          <w:rFonts w:ascii="Calibri" w:hAnsi="Calibri"/>
          <w:b w:val="0"/>
          <w:i w:val="0"/>
          <w:color w:val="374151"/>
          <w:sz w:val="18"/>
        </w:rPr>
        <w:t xml:space="preserve">  • Blusmiddel: poeder/schuim (geen water bij bepaalde stoffen)</w:t>
      </w:r>
    </w:p>
    <w:p>
      <w:pPr>
        <w:spacing w:after="120"/>
      </w:pPr>
      <w:r>
        <w:rPr>
          <w:rFonts w:ascii="Calibri" w:hAnsi="Calibri"/>
          <w:b w:val="0"/>
          <w:i w:val="0"/>
          <w:color w:val="374151"/>
          <w:sz w:val="18"/>
        </w:rPr>
        <w:t xml:space="preserve">  • Ontstekingsbronnen zoveel mogelijk voorkomen</w:t>
      </w:r>
    </w:p>
    <w:p>
      <w:pPr>
        <w:spacing w:after="120"/>
      </w:pPr>
      <w:r>
        <w:rPr>
          <w:rFonts w:ascii="Calibri" w:hAnsi="Calibri"/>
          <w:b w:val="0"/>
          <w:i w:val="0"/>
          <w:color w:val="374151"/>
          <w:sz w:val="18"/>
        </w:rPr>
        <w:t xml:space="preserve">  • CMR-stoffen: apart opslaan in gesloten systeem of afgescheiden opslag</w:t>
      </w:r>
    </w:p>
    <w:p/>
    <w:p>
      <w:pPr>
        <w:spacing w:after="120"/>
      </w:pPr>
      <w:r>
        <w:rPr>
          <w:rFonts w:ascii="Calibri" w:hAnsi="Calibri"/>
          <w:b/>
          <w:i w:val="0"/>
          <w:color w:val="003366"/>
          <w:sz w:val="22"/>
        </w:rPr>
        <w:t>Vak 2 — Brandbevorderende stoffen (ADR klasse 5.1)</w:t>
      </w:r>
    </w:p>
    <w:p>
      <w:pPr>
        <w:spacing w:after="120"/>
      </w:pPr>
      <w:r>
        <w:rPr>
          <w:rFonts w:ascii="Calibri" w:hAnsi="Calibri"/>
          <w:b w:val="0"/>
          <w:i w:val="0"/>
          <w:sz w:val="20"/>
        </w:rPr>
        <w:t>Stoffen: Sodium Chlorate — 250.0 kg</w:t>
      </w:r>
    </w:p>
    <w:p>
      <w:pPr>
        <w:spacing w:after="120"/>
      </w:pPr>
      <w:r>
        <w:rPr>
          <w:rFonts w:ascii="Calibri" w:hAnsi="Calibri"/>
          <w:b w:val="0"/>
          <w:i w:val="0"/>
          <w:color w:val="374151"/>
          <w:sz w:val="18"/>
        </w:rPr>
        <w:t xml:space="preserve">  • Opvangvoorziening 110%/10%</w:t>
      </w:r>
    </w:p>
    <w:p>
      <w:pPr>
        <w:spacing w:after="120"/>
      </w:pPr>
      <w:r>
        <w:rPr>
          <w:rFonts w:ascii="Calibri" w:hAnsi="Calibri"/>
          <w:b w:val="0"/>
          <w:i w:val="0"/>
          <w:color w:val="374151"/>
          <w:sz w:val="18"/>
        </w:rPr>
        <w:t xml:space="preserve">  • VIB beschikbaar</w:t>
      </w:r>
    </w:p>
    <w:p>
      <w:pPr>
        <w:spacing w:after="120"/>
      </w:pPr>
      <w:r>
        <w:rPr>
          <w:rFonts w:ascii="Calibri" w:hAnsi="Calibri"/>
          <w:b w:val="0"/>
          <w:i w:val="0"/>
          <w:color w:val="374151"/>
          <w:sz w:val="18"/>
        </w:rPr>
        <w:t xml:space="preserve">  • Etikettering conform CLP</w:t>
      </w:r>
    </w:p>
    <w:p>
      <w:pPr>
        <w:spacing w:after="120"/>
      </w:pPr>
      <w:r>
        <w:rPr>
          <w:rFonts w:ascii="Calibri" w:hAnsi="Calibri"/>
          <w:b w:val="0"/>
          <w:i w:val="0"/>
          <w:color w:val="374151"/>
          <w:sz w:val="18"/>
        </w:rPr>
        <w:t xml:space="preserve">  • WBDBO 60/90 min</w:t>
      </w:r>
    </w:p>
    <w:p>
      <w:pPr>
        <w:spacing w:after="120"/>
      </w:pPr>
      <w:r>
        <w:rPr>
          <w:rFonts w:ascii="Calibri" w:hAnsi="Calibri"/>
          <w:b w:val="0"/>
          <w:i w:val="0"/>
          <w:color w:val="374151"/>
          <w:sz w:val="18"/>
        </w:rPr>
        <w:t xml:space="preserve">  • Noodverlichting bij stroomuitval</w:t>
      </w:r>
    </w:p>
    <w:p>
      <w:pPr>
        <w:spacing w:after="120"/>
      </w:pPr>
      <w:r>
        <w:rPr>
          <w:rFonts w:ascii="Calibri" w:hAnsi="Calibri"/>
          <w:b w:val="0"/>
          <w:i w:val="0"/>
          <w:color w:val="374151"/>
          <w:sz w:val="18"/>
        </w:rPr>
        <w:t xml:space="preserve">  • Minimaal 2 vluchtroutes</w:t>
      </w:r>
    </w:p>
    <w:p>
      <w:pPr>
        <w:spacing w:after="120"/>
      </w:pPr>
      <w:r>
        <w:rPr>
          <w:rFonts w:ascii="Calibri" w:hAnsi="Calibri"/>
          <w:b w:val="0"/>
          <w:i w:val="0"/>
          <w:color w:val="374151"/>
          <w:sz w:val="18"/>
        </w:rPr>
        <w:t xml:space="preserve">  • Bluswatervoorziening</w:t>
      </w:r>
    </w:p>
    <w:p>
      <w:pPr>
        <w:spacing w:after="120"/>
      </w:pPr>
      <w:r>
        <w:rPr>
          <w:rFonts w:ascii="Calibri" w:hAnsi="Calibri"/>
          <w:b w:val="0"/>
          <w:i w:val="0"/>
          <w:color w:val="374151"/>
          <w:sz w:val="18"/>
        </w:rPr>
        <w:t xml:space="preserve">  • Nooddouche/oogspoeling (binnen 10s)</w:t>
      </w:r>
    </w:p>
    <w:p>
      <w:pPr>
        <w:spacing w:after="120"/>
      </w:pPr>
      <w:r>
        <w:rPr>
          <w:rFonts w:ascii="Calibri" w:hAnsi="Calibri"/>
          <w:b w:val="0"/>
          <w:i w:val="0"/>
          <w:color w:val="374151"/>
          <w:sz w:val="18"/>
        </w:rPr>
        <w:t xml:space="preserve">  • Plattegrond beschikbaar voor hulpdiensten</w:t>
      </w:r>
    </w:p>
    <w:p>
      <w:pPr>
        <w:spacing w:after="120"/>
      </w:pPr>
      <w:r>
        <w:rPr>
          <w:rFonts w:ascii="Calibri" w:hAnsi="Calibri"/>
          <w:b w:val="0"/>
          <w:i w:val="0"/>
          <w:color w:val="374151"/>
          <w:sz w:val="18"/>
        </w:rPr>
        <w:t xml:space="preserve">  • Scheiden van brandbare stoffen (verplicht)</w:t>
      </w:r>
    </w:p>
    <w:p>
      <w:pPr>
        <w:spacing w:after="120"/>
      </w:pPr>
      <w:r>
        <w:rPr>
          <w:rFonts w:ascii="Calibri" w:hAnsi="Calibri"/>
          <w:b w:val="0"/>
          <w:i w:val="0"/>
          <w:color w:val="374151"/>
          <w:sz w:val="18"/>
        </w:rPr>
        <w:t xml:space="preserve">  • Temperatuurbeheersing</w:t>
      </w:r>
    </w:p>
    <w:p/>
    <w:p>
      <w:pPr>
        <w:spacing w:after="120"/>
      </w:pPr>
      <w:r>
        <w:rPr>
          <w:rFonts w:ascii="Calibri" w:hAnsi="Calibri"/>
          <w:b/>
          <w:i w:val="0"/>
          <w:color w:val="003366"/>
          <w:sz w:val="22"/>
        </w:rPr>
        <w:t>Vak 3 — Corrosieve/bijtende stoffen (ADR klasse 8)</w:t>
      </w:r>
    </w:p>
    <w:p>
      <w:pPr>
        <w:spacing w:after="120"/>
      </w:pPr>
      <w:r>
        <w:rPr>
          <w:rFonts w:ascii="Calibri" w:hAnsi="Calibri"/>
          <w:b w:val="0"/>
          <w:i w:val="0"/>
          <w:sz w:val="20"/>
        </w:rPr>
        <w:t>Stoffen: Sulfuric Acid — 25.0 kg</w:t>
      </w:r>
    </w:p>
    <w:p>
      <w:pPr>
        <w:spacing w:after="120"/>
      </w:pPr>
      <w:r>
        <w:rPr>
          <w:rFonts w:ascii="Calibri" w:hAnsi="Calibri"/>
          <w:b w:val="0"/>
          <w:i w:val="0"/>
          <w:color w:val="374151"/>
          <w:sz w:val="18"/>
        </w:rPr>
        <w:t xml:space="preserve">  • Opvangvoorziening 110%/10%</w:t>
      </w:r>
    </w:p>
    <w:p>
      <w:pPr>
        <w:spacing w:after="120"/>
      </w:pPr>
      <w:r>
        <w:rPr>
          <w:rFonts w:ascii="Calibri" w:hAnsi="Calibri"/>
          <w:b w:val="0"/>
          <w:i w:val="0"/>
          <w:color w:val="374151"/>
          <w:sz w:val="18"/>
        </w:rPr>
        <w:t xml:space="preserve">  • VIB beschikbaar</w:t>
      </w:r>
    </w:p>
    <w:p>
      <w:pPr>
        <w:spacing w:after="120"/>
      </w:pPr>
      <w:r>
        <w:rPr>
          <w:rFonts w:ascii="Calibri" w:hAnsi="Calibri"/>
          <w:b w:val="0"/>
          <w:i w:val="0"/>
          <w:color w:val="374151"/>
          <w:sz w:val="18"/>
        </w:rPr>
        <w:t xml:space="preserve">  • Etikettering conform CLP</w:t>
      </w:r>
    </w:p>
    <w:p>
      <w:pPr>
        <w:spacing w:after="120"/>
      </w:pPr>
      <w:r>
        <w:rPr>
          <w:rFonts w:ascii="Calibri" w:hAnsi="Calibri"/>
          <w:b w:val="0"/>
          <w:i w:val="0"/>
          <w:color w:val="374151"/>
          <w:sz w:val="18"/>
        </w:rPr>
        <w:t xml:space="preserve">  • WBDBO 60/90 min</w:t>
      </w:r>
    </w:p>
    <w:p>
      <w:pPr>
        <w:spacing w:after="120"/>
      </w:pPr>
      <w:r>
        <w:rPr>
          <w:rFonts w:ascii="Calibri" w:hAnsi="Calibri"/>
          <w:b w:val="0"/>
          <w:i w:val="0"/>
          <w:color w:val="374151"/>
          <w:sz w:val="18"/>
        </w:rPr>
        <w:t xml:space="preserve">  • Noodverlichting bij stroomuitval</w:t>
      </w:r>
    </w:p>
    <w:p>
      <w:pPr>
        <w:spacing w:after="120"/>
      </w:pPr>
      <w:r>
        <w:rPr>
          <w:rFonts w:ascii="Calibri" w:hAnsi="Calibri"/>
          <w:b w:val="0"/>
          <w:i w:val="0"/>
          <w:color w:val="374151"/>
          <w:sz w:val="18"/>
        </w:rPr>
        <w:t xml:space="preserve">  • Minimaal 2 vluchtroutes</w:t>
      </w:r>
    </w:p>
    <w:p>
      <w:pPr>
        <w:spacing w:after="120"/>
      </w:pPr>
      <w:r>
        <w:rPr>
          <w:rFonts w:ascii="Calibri" w:hAnsi="Calibri"/>
          <w:b w:val="0"/>
          <w:i w:val="0"/>
          <w:color w:val="374151"/>
          <w:sz w:val="18"/>
        </w:rPr>
        <w:t xml:space="preserve">  • Bluswatervoorziening</w:t>
      </w:r>
    </w:p>
    <w:p>
      <w:pPr>
        <w:spacing w:after="120"/>
      </w:pPr>
      <w:r>
        <w:rPr>
          <w:rFonts w:ascii="Calibri" w:hAnsi="Calibri"/>
          <w:b w:val="0"/>
          <w:i w:val="0"/>
          <w:color w:val="374151"/>
          <w:sz w:val="18"/>
        </w:rPr>
        <w:t xml:space="preserve">  • Nooddouche/oogspoeling (binnen 10s)</w:t>
      </w:r>
    </w:p>
    <w:p>
      <w:pPr>
        <w:spacing w:after="120"/>
      </w:pPr>
      <w:r>
        <w:rPr>
          <w:rFonts w:ascii="Calibri" w:hAnsi="Calibri"/>
          <w:b w:val="0"/>
          <w:i w:val="0"/>
          <w:color w:val="374151"/>
          <w:sz w:val="18"/>
        </w:rPr>
        <w:t xml:space="preserve">  • Plattegrond beschikbaar voor hulpdiensten</w:t>
      </w:r>
    </w:p>
    <w:p>
      <w:pPr>
        <w:spacing w:after="120"/>
      </w:pPr>
      <w:r>
        <w:rPr>
          <w:rFonts w:ascii="Calibri" w:hAnsi="Calibri"/>
          <w:b w:val="0"/>
          <w:i w:val="0"/>
          <w:color w:val="374151"/>
          <w:sz w:val="18"/>
        </w:rPr>
        <w:t xml:space="preserve">  • Nooddouche verplicht (binnen 10 seconden)</w:t>
      </w:r>
    </w:p>
    <w:p>
      <w:pPr>
        <w:spacing w:after="120"/>
      </w:pPr>
      <w:r>
        <w:rPr>
          <w:rFonts w:ascii="Calibri" w:hAnsi="Calibri"/>
          <w:b w:val="0"/>
          <w:i w:val="0"/>
          <w:color w:val="374151"/>
          <w:sz w:val="18"/>
        </w:rPr>
        <w:t xml:space="preserve">  • Zuur-/base-resistente opvangvoorziening</w:t>
      </w:r>
    </w:p>
    <w:p/>
    <w:p>
      <w:pPr>
        <w:spacing w:after="120"/>
      </w:pPr>
      <w:r>
        <w:rPr>
          <w:rFonts w:ascii="Calibri" w:hAnsi="Calibri"/>
          <w:b/>
          <w:i w:val="0"/>
          <w:color w:val="003366"/>
          <w:sz w:val="22"/>
        </w:rPr>
        <w:t>Constructieve Eisen:</w:t>
      </w:r>
    </w:p>
    <w:p>
      <w:pPr>
        <w:spacing w:after="120"/>
      </w:pPr>
      <w:r>
        <w:rPr>
          <w:rFonts w:ascii="Calibri" w:hAnsi="Calibri"/>
          <w:b w:val="0"/>
          <w:i w:val="0"/>
          <w:color w:val="374151"/>
          <w:sz w:val="18"/>
        </w:rPr>
        <w:t>☐ Opvangvoorziening: minimaal 110% grootste eenheid of 10% totaal</w:t>
      </w:r>
    </w:p>
    <w:p>
      <w:pPr>
        <w:spacing w:after="120"/>
      </w:pPr>
      <w:r>
        <w:rPr>
          <w:rFonts w:ascii="Calibri" w:hAnsi="Calibri"/>
          <w:b w:val="0"/>
          <w:i w:val="0"/>
          <w:color w:val="374151"/>
          <w:sz w:val="18"/>
        </w:rPr>
        <w:t>☐ Draagbaar blustoestel (type passend bij stoffen)</w:t>
      </w:r>
    </w:p>
    <w:p>
      <w:pPr>
        <w:spacing w:after="120"/>
      </w:pPr>
      <w:r>
        <w:rPr>
          <w:rFonts w:ascii="Calibri" w:hAnsi="Calibri"/>
          <w:b w:val="0"/>
          <w:i w:val="0"/>
          <w:color w:val="374151"/>
          <w:sz w:val="18"/>
        </w:rPr>
        <w:t>☐ Minimaal 2 onafhankelijke vluchtroutes</w:t>
      </w:r>
    </w:p>
    <w:p>
      <w:pPr>
        <w:spacing w:after="120"/>
      </w:pPr>
      <w:r>
        <w:rPr>
          <w:rFonts w:ascii="Calibri" w:hAnsi="Calibri"/>
          <w:b w:val="0"/>
          <w:i w:val="0"/>
          <w:color w:val="374151"/>
          <w:sz w:val="18"/>
        </w:rPr>
        <w:t>☐ Paniekuitrusting op deuren in vluchtroutes</w:t>
      </w:r>
    </w:p>
    <w:p>
      <w:pPr>
        <w:spacing w:after="120"/>
      </w:pPr>
      <w:r>
        <w:rPr>
          <w:rFonts w:ascii="Calibri" w:hAnsi="Calibri"/>
          <w:b w:val="0"/>
          <w:i w:val="0"/>
          <w:color w:val="374151"/>
          <w:sz w:val="18"/>
        </w:rPr>
        <w:t>☐ Noodverlichting bij stroomuitval</w:t>
      </w:r>
    </w:p>
    <w:p>
      <w:pPr>
        <w:spacing w:after="120"/>
      </w:pPr>
      <w:r>
        <w:rPr>
          <w:rFonts w:ascii="Calibri" w:hAnsi="Calibri"/>
          <w:b w:val="0"/>
          <w:i w:val="0"/>
          <w:color w:val="374151"/>
          <w:sz w:val="18"/>
        </w:rPr>
        <w:t>☐ VIB/SDS beschikbaar voor alle opgeslagen stoffen</w:t>
      </w:r>
    </w:p>
    <w:p>
      <w:pPr>
        <w:spacing w:after="120"/>
      </w:pPr>
      <w:r>
        <w:rPr>
          <w:rFonts w:ascii="Calibri" w:hAnsi="Calibri"/>
          <w:b w:val="0"/>
          <w:i w:val="0"/>
          <w:color w:val="374151"/>
          <w:sz w:val="18"/>
        </w:rPr>
        <w:t>☐ Rook-/vuurverbod aangegeven met verbodsborden</w:t>
      </w:r>
    </w:p>
    <w:p>
      <w:pPr>
        <w:spacing w:after="120"/>
      </w:pPr>
      <w:r>
        <w:rPr>
          <w:rFonts w:ascii="Calibri" w:hAnsi="Calibri"/>
          <w:b w:val="0"/>
          <w:i w:val="0"/>
          <w:color w:val="374151"/>
          <w:sz w:val="18"/>
        </w:rPr>
        <w:t>☐ WBDBO constructie: 60 min dragend, 90 min brandscheiding</w:t>
      </w:r>
    </w:p>
    <w:p>
      <w:pPr>
        <w:spacing w:after="120"/>
      </w:pPr>
      <w:r>
        <w:rPr>
          <w:rFonts w:ascii="Calibri" w:hAnsi="Calibri"/>
          <w:b w:val="0"/>
          <w:i w:val="0"/>
          <w:color w:val="374151"/>
          <w:sz w:val="18"/>
        </w:rPr>
        <w:t>☐ Bluswatervoorziening met voldoende capaciteit</w:t>
      </w:r>
    </w:p>
    <w:p>
      <w:pPr>
        <w:spacing w:after="120"/>
      </w:pPr>
      <w:r>
        <w:rPr>
          <w:rFonts w:ascii="Calibri" w:hAnsi="Calibri"/>
          <w:b w:val="0"/>
          <w:i w:val="0"/>
          <w:color w:val="374151"/>
          <w:sz w:val="18"/>
        </w:rPr>
        <w:t>☐ Nooddouche/oogspoeling bereikbaar binnen 10 seconden</w:t>
      </w:r>
    </w:p>
    <w:p>
      <w:pPr>
        <w:spacing w:after="120"/>
      </w:pPr>
      <w:r>
        <w:rPr>
          <w:rFonts w:ascii="Calibri" w:hAnsi="Calibri"/>
          <w:b w:val="0"/>
          <w:i w:val="0"/>
          <w:color w:val="374151"/>
          <w:sz w:val="18"/>
        </w:rPr>
        <w:t>☐ Plattegrond beschikbaar voor hulpdiensten</w:t>
      </w:r>
    </w:p>
    <w:p>
      <w:pPr>
        <w:spacing w:after="120"/>
      </w:pPr>
      <w:r>
        <w:rPr>
          <w:rFonts w:ascii="Calibri" w:hAnsi="Calibri"/>
          <w:b w:val="0"/>
          <w:i w:val="0"/>
          <w:color w:val="374151"/>
          <w:sz w:val="18"/>
        </w:rPr>
        <w:t>☐ Calamiteiteninstructie aanwezig</w:t>
      </w:r>
    </w:p>
    <w:p>
      <w:pPr>
        <w:spacing w:after="120"/>
      </w:pPr>
      <w:r>
        <w:rPr>
          <w:rFonts w:ascii="Calibri" w:hAnsi="Calibri"/>
          <w:b w:val="0"/>
          <w:i w:val="0"/>
          <w:color w:val="374151"/>
          <w:sz w:val="18"/>
        </w:rPr>
        <w:t>☐ Manoeuvreerruimte tussen opslageenheden</w:t>
      </w:r>
    </w:p>
    <w:p>
      <w:pPr>
        <w:spacing w:after="120"/>
      </w:pPr>
      <w:r>
        <w:rPr>
          <w:rFonts w:ascii="Calibri" w:hAnsi="Calibri"/>
          <w:b w:val="0"/>
          <w:i w:val="0"/>
          <w:color w:val="374151"/>
          <w:sz w:val="18"/>
        </w:rPr>
        <w:t>☐ Aanrijdbeveiliging stellingen</w:t>
      </w:r>
    </w:p>
    <w:p>
      <w:r>
        <w:br w:type="page"/>
      </w:r>
    </w:p>
    <w:p>
      <w:pPr>
        <w:pStyle w:val="Heading1"/>
      </w:pPr>
      <w:r>
        <w:t>4. Conclusie</w:t>
      </w:r>
    </w:p>
    <w:p>
      <w:pPr>
        <w:spacing w:after="120"/>
      </w:pPr>
      <w:r>
        <w:rPr>
          <w:rFonts w:ascii="Calibri" w:hAnsi="Calibri"/>
          <w:b w:val="0"/>
          <w:i w:val="0"/>
          <w:sz w:val="22"/>
        </w:rPr>
        <w:t>Met een geaggregeerd veiligheidsniveau C gelden de maatregelen van niveau Basis en C.</w:t>
      </w:r>
    </w:p>
    <w:p/>
    <w:p>
      <w:pPr>
        <w:spacing w:after="120"/>
      </w:pPr>
      <w:r>
        <w:rPr>
          <w:rFonts w:ascii="Calibri" w:hAnsi="Calibri"/>
          <w:b w:val="0"/>
          <w:i/>
          <w:color w:val="374151"/>
          <w:sz w:val="18"/>
        </w:rPr>
        <w:t>Dit rapport is automatisch gegenereerd door de JvG Consultancy PGS 15 Compliance Scanner. Raadpleeg altijd de volledige PGS 15:2025 publicatie voor de definitieve tekst van de voorschriften.</w:t>
      </w:r>
    </w:p>
    <w:sectPr w:rsidR="00FC693F" w:rsidRPr="0006063C" w:rsidSect="00034616">
      <w:headerReference w:type="default" r:id="rId10"/>
      <w:footerReference w:type="default" r:id="rId1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PGS 15:2025 Compliance Rapport — Vertrouwelijk</w:t>
    </w:r>
  </w:p>
  <w:p>
    <w:pPr>
      <w:jc w:val="center"/>
    </w:pPr>
    <w:r>
      <w:rPr>
        <w:color w:val="374151"/>
        <w:sz w:val="16"/>
      </w:rPr>
      <w:t xml:space="preserve">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