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drawing>
          <wp:inline xmlns:a="http://schemas.openxmlformats.org/drawingml/2006/main" xmlns:pic="http://schemas.openxmlformats.org/drawingml/2006/picture">
            <wp:extent cx="1440000" cy="1291200"/>
            <wp:docPr id="1" name="Picture 1"/>
            <wp:cNvGraphicFramePr>
              <a:graphicFrameLocks noChangeAspect="1"/>
            </wp:cNvGraphicFramePr>
            <a:graphic>
              <a:graphicData uri="http://schemas.openxmlformats.org/drawingml/2006/picture">
                <pic:pic>
                  <pic:nvPicPr>
                    <pic:cNvPr id="0" name="jvg-logo-white-large.png"/>
                    <pic:cNvPicPr/>
                  </pic:nvPicPr>
                  <pic:blipFill>
                    <a:blip r:embed="rId9"/>
                    <a:stretch>
                      <a:fillRect/>
                    </a:stretch>
                  </pic:blipFill>
                  <pic:spPr>
                    <a:xfrm>
                      <a:off x="0" y="0"/>
                      <a:ext cx="1440000" cy="1291200"/>
                    </a:xfrm>
                    <a:prstGeom prst="rect"/>
                  </pic:spPr>
                </pic:pic>
              </a:graphicData>
            </a:graphic>
          </wp:inline>
        </w:drawing>
      </w:r>
    </w:p>
    <w:p/>
    <w:p/>
    <w:p>
      <w:pPr>
        <w:spacing w:after="120"/>
      </w:pPr>
      <w:r>
        <w:rPr>
          <w:rFonts w:ascii="Calibri" w:hAnsi="Calibri"/>
          <w:b/>
          <w:i w:val="0"/>
          <w:color w:val="003366"/>
          <w:sz w:val="56"/>
        </w:rPr>
        <w:t>PGS 15:2025</w:t>
      </w:r>
    </w:p>
    <w:p>
      <w:pPr>
        <w:spacing w:after="120"/>
      </w:pPr>
      <w:r>
        <w:rPr>
          <w:rFonts w:ascii="Calibri" w:hAnsi="Calibri"/>
          <w:b/>
          <w:i w:val="0"/>
          <w:color w:val="003366"/>
          <w:sz w:val="44"/>
        </w:rPr>
        <w:t>Compliance Rapport</w:t>
      </w:r>
    </w:p>
    <w:p/>
    <w:p>
      <w:pPr>
        <w:spacing w:after="120"/>
      </w:pPr>
      <w:r>
        <w:rPr>
          <w:rFonts w:ascii="Calibri" w:hAnsi="Calibri"/>
          <w:b w:val="0"/>
          <w:i w:val="0"/>
          <w:color w:val="374151"/>
          <w:sz w:val="24"/>
        </w:rPr>
        <w:t>Datum: 22-04-2026</w:t>
      </w:r>
    </w:p>
    <w:p>
      <w:pPr>
        <w:spacing w:after="120"/>
      </w:pPr>
      <w:r>
        <w:rPr>
          <w:rFonts w:ascii="Calibri" w:hAnsi="Calibri"/>
          <w:b w:val="0"/>
          <w:i w:val="0"/>
          <w:color w:val="374151"/>
          <w:sz w:val="24"/>
        </w:rPr>
        <w:t>Aantal stoffen: 3</w:t>
      </w:r>
    </w:p>
    <w:p>
      <w:pPr>
        <w:spacing w:after="120"/>
      </w:pPr>
      <w:r>
        <w:rPr>
          <w:rFonts w:ascii="Calibri" w:hAnsi="Calibri"/>
          <w:b w:val="0"/>
          <w:i w:val="0"/>
          <w:color w:val="374151"/>
          <w:sz w:val="24"/>
        </w:rPr>
        <w:t>Totaal opslag: 25.0 kg</w:t>
      </w:r>
    </w:p>
    <w:p>
      <w:pPr>
        <w:spacing w:after="120"/>
      </w:pPr>
      <w:r>
        <w:rPr>
          <w:rFonts w:ascii="Calibri" w:hAnsi="Calibri"/>
          <w:b w:val="0"/>
          <w:i w:val="0"/>
          <w:color w:val="3B82F6"/>
          <w:sz w:val="24"/>
        </w:rPr>
        <w:t>Veiligheidsniveau: C</w:t>
      </w:r>
    </w:p>
    <w:p/>
    <w:p/>
    <w:p>
      <w:pPr>
        <w:spacing w:after="120"/>
      </w:pPr>
      <w:r>
        <w:rPr>
          <w:rFonts w:ascii="Calibri" w:hAnsi="Calibri"/>
          <w:b w:val="0"/>
          <w:i/>
          <w:color w:val="374151"/>
          <w:sz w:val="20"/>
        </w:rPr>
        <w:t>Vertrouwelijk — Alleen voor intern gebruik</w:t>
      </w:r>
    </w:p>
    <w:p>
      <w:r>
        <w:br w:type="page"/>
      </w:r>
    </w:p>
    <w:p>
      <w:pPr>
        <w:pStyle w:val="Heading1"/>
      </w:pPr>
      <w:r>
        <w:t>1. Management Samenvatting</w:t>
      </w:r>
    </w:p>
    <w:p>
      <w:pPr>
        <w:spacing w:after="120"/>
      </w:pPr>
      <w:r>
        <w:rPr>
          <w:rFonts w:ascii="Calibri" w:hAnsi="Calibri"/>
          <w:b w:val="0"/>
          <w:i w:val="0"/>
          <w:sz w:val="22"/>
        </w:rPr>
        <w:t>Dit rapport presents de resultaten van de PGS 15:2025 compliance scan voor de opgegeven stoffen en opslaghoeveelheden. Het rapport bevat per product de verplichte opslageisen (maatregelen, doelstellingen, scenario's) en een stoffencombinatieanalyse.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Onderwerp</w:t>
            </w:r>
          </w:p>
        </w:tc>
        <w:tc>
          <w:tcPr>
            <w:tcW w:type="dxa" w:w="4703"/>
            <w:shd w:fill="003366"/>
          </w:tcPr>
          <w:p>
            <w:r>
              <w:rPr>
                <w:rFonts w:ascii="Calibri" w:hAnsi="Calibri"/>
                <w:b/>
                <w:color w:val="FFFFFF"/>
                <w:sz w:val="20"/>
              </w:rPr>
              <w:t>Bevinding</w:t>
            </w:r>
          </w:p>
        </w:tc>
      </w:tr>
      <w:tr>
        <w:tc>
          <w:tcPr>
            <w:tcW w:type="dxa" w:w="4703"/>
          </w:tcPr>
          <w:p>
            <w:r>
              <w:rPr>
                <w:rFonts w:ascii="Calibri" w:hAnsi="Calibri"/>
                <w:sz w:val="20"/>
              </w:rPr>
              <w:t>Totaal opgeslagen</w:t>
            </w:r>
          </w:p>
        </w:tc>
        <w:tc>
          <w:tcPr>
            <w:tcW w:type="dxa" w:w="4703"/>
          </w:tcPr>
          <w:p>
            <w:r>
              <w:rPr>
                <w:rFonts w:ascii="Calibri" w:hAnsi="Calibri"/>
                <w:b/>
                <w:sz w:val="20"/>
              </w:rPr>
              <w:t>25.0 kg</w:t>
            </w:r>
          </w:p>
        </w:tc>
      </w:tr>
      <w:tr>
        <w:tc>
          <w:tcPr>
            <w:tcW w:type="dxa" w:w="4703"/>
          </w:tcPr>
          <w:p>
            <w:r>
              <w:rPr>
                <w:rFonts w:ascii="Calibri" w:hAnsi="Calibri"/>
                <w:sz w:val="20"/>
              </w:rPr>
              <w:t>Geaggregeerd niveau</w:t>
            </w:r>
          </w:p>
        </w:tc>
        <w:tc>
          <w:tcPr>
            <w:tcW w:type="dxa" w:w="4703"/>
          </w:tcPr>
          <w:p>
            <w:r>
              <w:rPr>
                <w:rFonts w:ascii="Calibri" w:hAnsi="Calibri"/>
                <w:b/>
                <w:color w:val="3B82F6"/>
                <w:sz w:val="20"/>
              </w:rPr>
              <w:t>C</w:t>
            </w:r>
          </w:p>
        </w:tc>
      </w:tr>
      <w:tr>
        <w:tc>
          <w:tcPr>
            <w:tcW w:type="dxa" w:w="4703"/>
          </w:tcPr>
          <w:p>
            <w:r>
              <w:rPr>
                <w:rFonts w:ascii="Calibri" w:hAnsi="Calibri"/>
                <w:sz w:val="20"/>
              </w:rPr>
              <w:t>Catch-all (&gt;=1.000 kg)</w:t>
            </w:r>
          </w:p>
        </w:tc>
        <w:tc>
          <w:tcPr>
            <w:tcW w:type="dxa" w:w="4703"/>
          </w:tcPr>
          <w:p>
            <w:r>
              <w:rPr>
                <w:rFonts w:ascii="Calibri" w:hAnsi="Calibri"/>
                <w:b/>
                <w:color w:val="00A859"/>
                <w:sz w:val="20"/>
              </w:rPr>
              <w:t>Nee</w:t>
            </w:r>
          </w:p>
        </w:tc>
      </w:tr>
      <w:tr>
        <w:tc>
          <w:tcPr>
            <w:tcW w:type="dxa" w:w="4703"/>
          </w:tcPr>
          <w:p>
            <w:r>
              <w:rPr>
                <w:rFonts w:ascii="Calibri" w:hAnsi="Calibri"/>
                <w:sz w:val="20"/>
              </w:rPr>
              <w:t>Seveso III</w:t>
            </w:r>
          </w:p>
        </w:tc>
        <w:tc>
          <w:tcPr>
            <w:tcW w:type="dxa" w:w="4703"/>
          </w:tcPr>
          <w:p>
            <w:r>
              <w:rPr>
                <w:rFonts w:ascii="Calibri" w:hAnsi="Calibri"/>
                <w:b/>
                <w:color w:val="00A859"/>
                <w:sz w:val="20"/>
              </w:rPr>
              <w:t>Niet van toepassing (&lt;5.000 kg)</w:t>
            </w:r>
          </w:p>
        </w:tc>
      </w:tr>
      <w:tr>
        <w:tc>
          <w:tcPr>
            <w:tcW w:type="dxa" w:w="4703"/>
          </w:tcPr>
          <w:p>
            <w:r>
              <w:rPr>
                <w:rFonts w:ascii="Calibri" w:hAnsi="Calibri"/>
                <w:sz w:val="20"/>
              </w:rPr>
              <w:t>Bal Art. 3.27</w:t>
            </w:r>
          </w:p>
        </w:tc>
        <w:tc>
          <w:tcPr>
            <w:tcW w:type="dxa" w:w="4703"/>
          </w:tcPr>
          <w:p>
            <w:r>
              <w:rPr>
                <w:rFonts w:ascii="Calibri" w:hAnsi="Calibri"/>
                <w:b/>
                <w:color w:val="00A859"/>
                <w:sz w:val="20"/>
              </w:rPr>
              <w:t>Geen vergunningplicht (&lt;1.000 kg)</w:t>
            </w:r>
          </w:p>
        </w:tc>
      </w:tr>
    </w:tbl>
    <w:p/>
    <w:p>
      <w:pPr>
        <w:pStyle w:val="Heading1"/>
      </w:pPr>
      <w:r>
        <w:t>2. Per-product Analyse</w:t>
      </w:r>
    </w:p>
    <w:p>
      <w:pPr>
        <w:pStyle w:val="Heading2"/>
      </w:pPr>
      <w:r>
        <w:t>2.1 Benzene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71-43-2</w:t>
            </w:r>
          </w:p>
        </w:tc>
      </w:tr>
      <w:tr>
        <w:tc>
          <w:tcPr>
            <w:tcW w:type="dxa" w:w="4703"/>
          </w:tcPr>
          <w:p>
            <w:r>
              <w:rPr>
                <w:rFonts w:ascii="Calibri" w:hAnsi="Calibri"/>
                <w:sz w:val="20"/>
              </w:rPr>
              <w:t>Hoeveelheid</w:t>
            </w:r>
          </w:p>
        </w:tc>
        <w:tc>
          <w:tcPr>
            <w:tcW w:type="dxa" w:w="4703"/>
          </w:tcPr>
          <w:p>
            <w:r>
              <w:rPr>
                <w:rFonts w:ascii="Calibri" w:hAnsi="Calibri"/>
                <w:sz w:val="20"/>
              </w:rPr>
              <w:t>5.0 kg</w:t>
            </w:r>
          </w:p>
        </w:tc>
      </w:tr>
      <w:tr>
        <w:tc>
          <w:tcPr>
            <w:tcW w:type="dxa" w:w="4703"/>
          </w:tcPr>
          <w:p>
            <w:r>
              <w:rPr>
                <w:rFonts w:ascii="Calibri" w:hAnsi="Calibri"/>
                <w:sz w:val="20"/>
              </w:rPr>
              <w:t>Vorm</w:t>
            </w:r>
          </w:p>
        </w:tc>
        <w:tc>
          <w:tcPr>
            <w:tcW w:type="dxa" w:w="4703"/>
          </w:tcPr>
          <w:p>
            <w:r>
              <w:rPr>
                <w:rFonts w:ascii="Calibri" w:hAnsi="Calibri"/>
                <w:sz w:val="20"/>
              </w:rPr>
              <w:t>vast</w:t>
            </w:r>
          </w:p>
        </w:tc>
      </w:tr>
      <w:tr>
        <w:tc>
          <w:tcPr>
            <w:tcW w:type="dxa" w:w="4703"/>
          </w:tcPr>
          <w:p>
            <w:r>
              <w:rPr>
                <w:rFonts w:ascii="Calibri" w:hAnsi="Calibri"/>
                <w:sz w:val="20"/>
              </w:rPr>
              <w:t>ADR-klasse / VG</w:t>
            </w:r>
          </w:p>
        </w:tc>
        <w:tc>
          <w:tcPr>
            <w:tcW w:type="dxa" w:w="4703"/>
          </w:tcPr>
          <w:p>
            <w:r>
              <w:rPr>
                <w:rFonts w:ascii="Calibri" w:hAnsi="Calibri"/>
                <w:sz w:val="20"/>
              </w:rPr>
              <w:t>3 / II</w:t>
            </w:r>
          </w:p>
        </w:tc>
      </w:tr>
      <w:tr>
        <w:tc>
          <w:tcPr>
            <w:tcW w:type="dxa" w:w="4703"/>
          </w:tcPr>
          <w:p>
            <w:r>
              <w:rPr>
                <w:rFonts w:ascii="Calibri" w:hAnsi="Calibri"/>
                <w:sz w:val="20"/>
              </w:rPr>
              <w:t>Ondergrens PGS 15</w:t>
            </w:r>
          </w:p>
        </w:tc>
        <w:tc>
          <w:tcPr>
            <w:tcW w:type="dxa" w:w="4703"/>
          </w:tcPr>
          <w:p>
            <w:r>
              <w:rPr>
                <w:rFonts w:ascii="Calibri" w:hAnsi="Calibri"/>
                <w:sz w:val="20"/>
              </w:rPr>
              <w:t>25 kg</w:t>
            </w:r>
          </w:p>
        </w:tc>
      </w:tr>
      <w:tr>
        <w:tc>
          <w:tcPr>
            <w:tcW w:type="dxa" w:w="4703"/>
          </w:tcPr>
          <w:p>
            <w:r>
              <w:rPr>
                <w:rFonts w:ascii="Calibri" w:hAnsi="Calibri"/>
                <w:sz w:val="20"/>
              </w:rPr>
              <w:t>H-zinnen</w:t>
            </w:r>
          </w:p>
        </w:tc>
        <w:tc>
          <w:tcPr>
            <w:tcW w:type="dxa" w:w="4703"/>
          </w:tcPr>
          <w:p>
            <w:r>
              <w:rPr>
                <w:rFonts w:ascii="Calibri" w:hAnsi="Calibri"/>
                <w:sz w:val="20"/>
              </w:rPr>
            </w:r>
          </w:p>
        </w:tc>
      </w:tr>
      <w:tr>
        <w:tc>
          <w:tcPr>
            <w:tcW w:type="dxa" w:w="4703"/>
          </w:tcPr>
          <w:p>
            <w:r>
              <w:rPr>
                <w:rFonts w:ascii="Calibri" w:hAnsi="Calibri"/>
                <w:sz w:val="20"/>
              </w:rPr>
              <w:t>CLP-classificatie</w:t>
            </w:r>
          </w:p>
        </w:tc>
        <w:tc>
          <w:tcPr>
            <w:tcW w:type="dxa" w:w="4703"/>
          </w:tcPr>
          <w:p>
            <w:r>
              <w:rPr>
                <w:rFonts w:ascii="Calibri" w:hAnsi="Calibri"/>
                <w:sz w:val="20"/>
              </w:rPr>
              <w:t>Flammable | Irritant | Health Hazard | Environmental Hazard — Danger — H225, H304, H315, H319, H340, H350, H372, H412, H332, H335, H336, H361, H370, H401, H411, H302, H341</w:t>
            </w:r>
          </w:p>
        </w:tc>
      </w:tr>
      <w:tr>
        <w:tc>
          <w:tcPr>
            <w:tcW w:type="dxa" w:w="4703"/>
          </w:tcPr>
          <w:p>
            <w:r>
              <w:rPr>
                <w:rFonts w:ascii="Calibri" w:hAnsi="Calibri"/>
                <w:sz w:val="20"/>
              </w:rPr>
              <w:t>CMR</w:t>
            </w:r>
          </w:p>
        </w:tc>
        <w:tc>
          <w:tcPr>
            <w:tcW w:type="dxa" w:w="4703"/>
          </w:tcPr>
          <w:p>
            <w:r>
              <w:rPr>
                <w:rFonts w:ascii="Calibri" w:hAnsi="Calibri"/>
                <w:sz w:val="20"/>
              </w:rPr>
              <w:t>Ja — Carc. 1A</w:t>
            </w:r>
          </w:p>
        </w:tc>
      </w:tr>
      <w:tr>
        <w:tc>
          <w:tcPr>
            <w:tcW w:type="dxa" w:w="4703"/>
          </w:tcPr>
          <w:p>
            <w:r>
              <w:rPr>
                <w:rFonts w:ascii="Calibri" w:hAnsi="Calibri"/>
                <w:sz w:val="20"/>
              </w:rPr>
              <w:t>Acute Toxiciteit</w:t>
            </w:r>
          </w:p>
        </w:tc>
        <w:tc>
          <w:tcPr>
            <w:tcW w:type="dxa" w:w="4703"/>
          </w:tcPr>
          <w:p>
            <w:r>
              <w:rPr>
                <w:rFonts w:ascii="Calibri" w:hAnsi="Calibri"/>
                <w:sz w:val="20"/>
              </w:rPr>
              <w:t>Cat. 3</w:t>
            </w:r>
          </w:p>
        </w:tc>
      </w:tr>
    </w:tbl>
    <w:p/>
    <w:p>
      <w:pPr>
        <w:pStyle w:val="Heading3"/>
      </w:pPr>
      <w:r>
        <w:t>2.1.1 PGS 15 Toepassing</w:t>
      </w:r>
    </w:p>
    <w:p>
      <w:pPr>
        <w:spacing w:after="120"/>
      </w:pPr>
      <w:r>
        <w:rPr>
          <w:rFonts w:ascii="Calibri" w:hAnsi="Calibri"/>
          <w:b w:val="0"/>
          <w:i w:val="0"/>
          <w:sz w:val="22"/>
        </w:rPr>
        <w:t>PGS 15:2025 is van toepassing via: CLP Acute Tox. 2/3 → Niveau C.</w:t>
      </w:r>
    </w:p>
    <w:p>
      <w:pPr>
        <w:spacing w:after="120"/>
      </w:pPr>
      <w:r>
        <w:rPr>
          <w:rFonts w:ascii="Calibri" w:hAnsi="Calibri"/>
          <w:b/>
          <w:i w:val="0"/>
          <w:color w:val="3B82F6"/>
          <w:sz w:val="22"/>
        </w:rPr>
        <w:t>Vereist veiligheidsniveau: C</w:t>
      </w:r>
    </w:p>
    <w:p>
      <w:pPr>
        <w:pStyle w:val="Heading3"/>
      </w:pPr>
      <w:r>
        <w:t>2.1.2 Doelstellingen</w:t>
      </w:r>
    </w:p>
    <w:p>
      <w:pPr>
        <w:spacing w:after="120"/>
      </w:pPr>
      <w:r>
        <w:rPr>
          <w:rFonts w:ascii="Calibri" w:hAnsi="Calibri"/>
          <w:b w:val="0"/>
          <w:i w:val="0"/>
          <w:sz w:val="20"/>
        </w:rPr>
        <w:t>• D1 — Aanrijding voorkomen</w:t>
      </w:r>
    </w:p>
    <w:p>
      <w:pPr>
        <w:spacing w:after="120"/>
      </w:pPr>
      <w:r>
        <w:rPr>
          <w:rFonts w:ascii="Calibri" w:hAnsi="Calibri"/>
          <w:b w:val="0"/>
          <w:i w:val="0"/>
          <w:sz w:val="20"/>
        </w:rPr>
        <w:t>• D2 — Fysieke bescherming</w:t>
      </w:r>
    </w:p>
    <w:p>
      <w:pPr>
        <w:spacing w:after="120"/>
      </w:pPr>
      <w:r>
        <w:rPr>
          <w:rFonts w:ascii="Calibri" w:hAnsi="Calibri"/>
          <w:b w:val="0"/>
          <w:i w:val="0"/>
          <w:sz w:val="20"/>
        </w:rPr>
        <w:t>• D3 — Juiste opslag</w:t>
      </w:r>
    </w:p>
    <w:p>
      <w:pPr>
        <w:spacing w:after="120"/>
      </w:pPr>
      <w:r>
        <w:rPr>
          <w:rFonts w:ascii="Calibri" w:hAnsi="Calibri"/>
          <w:b w:val="0"/>
          <w:i w:val="0"/>
          <w:sz w:val="20"/>
        </w:rPr>
        <w:t>• D4 — Lekkage beheersen: lekkage opvangen en beheersen zodat verspreiding wordt voorkomen</w:t>
      </w:r>
    </w:p>
    <w:p>
      <w:pPr>
        <w:spacing w:after="120"/>
      </w:pPr>
      <w:r>
        <w:rPr>
          <w:rFonts w:ascii="Calibri" w:hAnsi="Calibri"/>
          <w:b w:val="0"/>
          <w:i w:val="0"/>
          <w:sz w:val="20"/>
        </w:rPr>
        <w:t>• D5 — Noodreactie: bij een incident snel en adequaat kunnen reageren</w:t>
      </w:r>
    </w:p>
    <w:p>
      <w:pPr>
        <w:spacing w:after="120"/>
      </w:pPr>
      <w:r>
        <w:rPr>
          <w:rFonts w:ascii="Calibri" w:hAnsi="Calibri"/>
          <w:b w:val="0"/>
          <w:i w:val="0"/>
          <w:sz w:val="20"/>
        </w:rPr>
        <w:t>• D6 — Hulpdiensten: hulpdiensten snel en veilig ter plaatse kunnen laten komen en informeren</w:t>
      </w:r>
    </w:p>
    <w:p>
      <w:pPr>
        <w:spacing w:after="120"/>
      </w:pPr>
      <w:r>
        <w:rPr>
          <w:rFonts w:ascii="Calibri" w:hAnsi="Calibri"/>
          <w:b w:val="0"/>
          <w:i w:val="0"/>
          <w:sz w:val="20"/>
        </w:rPr>
        <w:t>• D7 — Verspreiding voorkomen: voorkomen dat vrijgekomen stoffen zich verspreiden via riool, grond of lucht</w:t>
      </w:r>
    </w:p>
    <w:p>
      <w:pPr>
        <w:spacing w:after="120"/>
      </w:pPr>
      <w:r>
        <w:rPr>
          <w:rFonts w:ascii="Calibri" w:hAnsi="Calibri"/>
          <w:b w:val="0"/>
          <w:i w:val="0"/>
          <w:sz w:val="20"/>
        </w:rPr>
        <w:t>• D8 — Ontsteking voorkomen: ontstekingsbronnen zoveel mogelijk beperken en beheersen</w:t>
      </w:r>
    </w:p>
    <w:p>
      <w:pPr>
        <w:spacing w:after="120"/>
      </w:pPr>
      <w:r>
        <w:rPr>
          <w:rFonts w:ascii="Calibri" w:hAnsi="Calibri"/>
          <w:b w:val="0"/>
          <w:i w:val="0"/>
          <w:sz w:val="20"/>
        </w:rPr>
        <w:t>• D9 — Brand in opslag voorkomen: brand in de opslagruimte voorkomen of beheersen</w:t>
      </w:r>
    </w:p>
    <w:p>
      <w:pPr>
        <w:pStyle w:val="Heading3"/>
      </w:pPr>
      <w:r>
        <w:t>2.1.3 Scenario's</w:t>
      </w:r>
    </w:p>
    <w:p>
      <w:pPr>
        <w:spacing w:after="120"/>
      </w:pPr>
      <w:r>
        <w:rPr>
          <w:rFonts w:ascii="Calibri" w:hAnsi="Calibri"/>
          <w:b w:val="0"/>
          <w:i w:val="0"/>
          <w:sz w:val="20"/>
        </w:rPr>
        <w:t>• S1 — Aanrijding door voertuigen</w:t>
      </w:r>
    </w:p>
    <w:p>
      <w:pPr>
        <w:spacing w:after="120"/>
      </w:pPr>
      <w:r>
        <w:rPr>
          <w:rFonts w:ascii="Calibri" w:hAnsi="Calibri"/>
          <w:b w:val="0"/>
          <w:i w:val="0"/>
          <w:sz w:val="20"/>
        </w:rPr>
        <w:t>• S2 — Val van stelling of opslageenheid</w:t>
      </w:r>
    </w:p>
    <w:p>
      <w:pPr>
        <w:spacing w:after="120"/>
      </w:pPr>
      <w:r>
        <w:rPr>
          <w:rFonts w:ascii="Calibri" w:hAnsi="Calibri"/>
          <w:b w:val="0"/>
          <w:i w:val="0"/>
          <w:sz w:val="20"/>
        </w:rPr>
        <w:t>• S3 — Storing/defect aan stelling</w:t>
      </w:r>
    </w:p>
    <w:p>
      <w:pPr>
        <w:spacing w:after="120"/>
      </w:pPr>
      <w:r>
        <w:rPr>
          <w:rFonts w:ascii="Calibri" w:hAnsi="Calibri"/>
          <w:b w:val="0"/>
          <w:i w:val="0"/>
          <w:sz w:val="20"/>
        </w:rPr>
        <w:t>• S4 — Lekkage uit verpakking of installatie</w:t>
      </w:r>
    </w:p>
    <w:p>
      <w:pPr>
        <w:spacing w:after="120"/>
      </w:pPr>
      <w:r>
        <w:rPr>
          <w:rFonts w:ascii="Calibri" w:hAnsi="Calibri"/>
          <w:b w:val="0"/>
          <w:i w:val="0"/>
          <w:sz w:val="20"/>
        </w:rPr>
        <w:t>• S5 — Overvullen of onbedoeld mengen</w:t>
      </w:r>
    </w:p>
    <w:p>
      <w:pPr>
        <w:spacing w:after="120"/>
      </w:pPr>
      <w:r>
        <w:rPr>
          <w:rFonts w:ascii="Calibri" w:hAnsi="Calibri"/>
          <w:b w:val="0"/>
          <w:i w:val="0"/>
          <w:sz w:val="20"/>
        </w:rPr>
        <w:t>• S6 — Technisch falen (ventilatie, koeling, pompen)</w:t>
      </w:r>
    </w:p>
    <w:p>
      <w:pPr>
        <w:spacing w:after="120"/>
      </w:pPr>
      <w:r>
        <w:rPr>
          <w:rFonts w:ascii="Calibri" w:hAnsi="Calibri"/>
          <w:b w:val="0"/>
          <w:i w:val="0"/>
          <w:sz w:val="20"/>
        </w:rPr>
        <w:t>• S7 — Externe hitte (brand nabij, zonnestraling)</w:t>
      </w:r>
    </w:p>
    <w:p>
      <w:pPr>
        <w:spacing w:after="120"/>
      </w:pPr>
      <w:r>
        <w:rPr>
          <w:rFonts w:ascii="Calibri" w:hAnsi="Calibri"/>
          <w:b w:val="0"/>
          <w:i w:val="0"/>
          <w:sz w:val="20"/>
        </w:rPr>
        <w:t>• S8 — Blikseminslag</w:t>
      </w:r>
    </w:p>
    <w:p>
      <w:pPr>
        <w:spacing w:after="120"/>
      </w:pPr>
      <w:r>
        <w:rPr>
          <w:rFonts w:ascii="Calibri" w:hAnsi="Calibri"/>
          <w:b w:val="0"/>
          <w:i w:val="0"/>
          <w:sz w:val="20"/>
        </w:rPr>
        <w:t>• S9 — Aardbeving</w:t>
      </w:r>
    </w:p>
    <w:p>
      <w:pPr>
        <w:spacing w:after="120"/>
      </w:pPr>
      <w:r>
        <w:rPr>
          <w:rFonts w:ascii="Calibri" w:hAnsi="Calibri"/>
          <w:b w:val="0"/>
          <w:i w:val="0"/>
          <w:sz w:val="20"/>
        </w:rPr>
        <w:t>• S10 — Opzettelijke handeling (sabotage, diefstal)</w:t>
      </w:r>
    </w:p>
    <w:p>
      <w:pPr>
        <w:spacing w:after="120"/>
      </w:pPr>
      <w:r>
        <w:rPr>
          <w:rFonts w:ascii="Calibri" w:hAnsi="Calibri"/>
          <w:b w:val="0"/>
          <w:i w:val="0"/>
          <w:sz w:val="20"/>
        </w:rPr>
        <w:t>• S11 — Vrijkomen gevaarlijke stof (vloeibaar)</w:t>
      </w:r>
    </w:p>
    <w:p>
      <w:pPr>
        <w:spacing w:after="120"/>
      </w:pPr>
      <w:r>
        <w:rPr>
          <w:rFonts w:ascii="Calibri" w:hAnsi="Calibri"/>
          <w:b w:val="0"/>
          <w:i w:val="0"/>
          <w:sz w:val="20"/>
        </w:rPr>
        <w:t>• S12 — Vormen van een giftige wolk</w:t>
      </w:r>
    </w:p>
    <w:p>
      <w:pPr>
        <w:spacing w:after="120"/>
      </w:pPr>
      <w:r>
        <w:rPr>
          <w:rFonts w:ascii="Calibri" w:hAnsi="Calibri"/>
          <w:b w:val="0"/>
          <w:i w:val="0"/>
          <w:sz w:val="20"/>
        </w:rPr>
        <w:t>• S13 — Brand van opgeslagen stof</w:t>
      </w:r>
    </w:p>
    <w:p>
      <w:pPr>
        <w:spacing w:after="120"/>
      </w:pPr>
      <w:r>
        <w:rPr>
          <w:rFonts w:ascii="Calibri" w:hAnsi="Calibri"/>
          <w:b w:val="0"/>
          <w:i w:val="0"/>
          <w:sz w:val="20"/>
        </w:rPr>
        <w:t>• S14 — Brandoverslag naar naastgelegen</w:t>
      </w:r>
    </w:p>
    <w:p>
      <w:pPr>
        <w:spacing w:after="120"/>
      </w:pPr>
      <w:r>
        <w:rPr>
          <w:rFonts w:ascii="Calibri" w:hAnsi="Calibri"/>
          <w:b w:val="0"/>
          <w:i w:val="0"/>
          <w:sz w:val="20"/>
        </w:rPr>
        <w:t>• S15 — Ontploffing</w:t>
      </w:r>
    </w:p>
    <w:p>
      <w:pPr>
        <w:spacing w:after="120"/>
      </w:pPr>
      <w:r>
        <w:rPr>
          <w:rFonts w:ascii="Calibri" w:hAnsi="Calibri"/>
          <w:b w:val="0"/>
          <w:i w:val="0"/>
          <w:sz w:val="20"/>
        </w:rPr>
        <w:t>• S16 — Eskalatie brand (bouwconstructie)</w:t>
      </w:r>
    </w:p>
    <w:p>
      <w:pPr>
        <w:pStyle w:val="Heading3"/>
      </w:pPr>
      <w:r>
        <w:t>2.1.4 Verplichte Maatregelen</w:t>
      </w:r>
    </w:p>
    <w:p>
      <w:pPr>
        <w:spacing w:after="120"/>
      </w:pPr>
      <w:r>
        <w:rPr>
          <w:rFonts w:ascii="Calibri" w:hAnsi="Calibri"/>
          <w:b/>
          <w:i w:val="0"/>
          <w:color w:val="374151"/>
          <w:sz w:val="22"/>
        </w:rPr>
        <w:t>Niveau Basis (28 maatregelen)</w:t>
      </w:r>
    </w:p>
    <w:p>
      <w:pPr>
        <w:spacing w:after="120"/>
      </w:pPr>
      <w:r>
        <w:rPr>
          <w:rFonts w:ascii="Calibri" w:hAnsi="Calibri"/>
          <w:b/>
          <w:i w:val="0"/>
          <w:color w:val="1F2937"/>
          <w:sz w:val="20"/>
        </w:rPr>
        <w:t>MW1: Zorgplicht beheerder</w:t>
      </w:r>
    </w:p>
    <w:p>
      <w:pPr>
        <w:spacing w:after="16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20"/>
        </w:rPr>
        <w:t>M2: Opslaan in opslagvoorziening</w:t>
      </w:r>
    </w:p>
    <w:p>
      <w:pPr>
        <w:spacing w:after="16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20"/>
        </w:rPr>
        <w:t>M3: Vereist veiligheidsniveau</w:t>
      </w:r>
    </w:p>
    <w:p>
      <w:pPr>
        <w:spacing w:after="16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20"/>
        </w:rPr>
        <w:t>M14: Werkvoorraad</w:t>
      </w:r>
    </w:p>
    <w:p>
      <w:pPr>
        <w:spacing w:after="16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20"/>
        </w:rPr>
        <w:t>M20: Lege/onreinigde verpakkingen</w:t>
      </w:r>
    </w:p>
    <w:p>
      <w:pPr>
        <w:spacing w:after="16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20"/>
        </w:rPr>
        <w:t>M30: Opvangvoorziening (110%/10%)</w:t>
      </w:r>
    </w:p>
    <w:p>
      <w:pPr>
        <w:spacing w:after="16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20"/>
        </w:rPr>
        <w:t>M35: Onverenigbare combinaties scheiden</w:t>
      </w:r>
    </w:p>
    <w:p>
      <w:pPr>
        <w:spacing w:after="16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20"/>
        </w:rPr>
        <w:t>M48: Geschikte verpakking</w:t>
      </w:r>
    </w:p>
    <w:p>
      <w:pPr>
        <w:spacing w:after="16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20"/>
        </w:rPr>
        <w:t>M68: Eisen machines/installaties</w:t>
      </w:r>
    </w:p>
    <w:p>
      <w:pPr>
        <w:spacing w:after="16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20"/>
        </w:rPr>
        <w:t>M85: Deskundig personeel (≥2.500 kg)</w:t>
      </w:r>
    </w:p>
    <w:p>
      <w:pPr>
        <w:spacing w:after="160"/>
      </w:pPr>
      <w:r>
        <w:rPr>
          <w:rFonts w:ascii="Calibri" w:hAnsi="Calibri"/>
          <w:b w:val="0"/>
          <w:i w:val="0"/>
          <w:color w:val="374151"/>
          <w:sz w:val="18"/>
        </w:rPr>
        <w:t>Bij een opslagcapaciteit van 2.500 kg of meer gevaarlijke stoffen moet minimaal één persoon aanwezig zijn die beschikt over voldoende kennis en ervaring om de veiligheid te waarborgen en de aanwijzingen van de beheerder op te volgen.</w:t>
      </w:r>
    </w:p>
    <w:p>
      <w:pPr>
        <w:spacing w:after="120"/>
      </w:pPr>
      <w:r>
        <w:rPr>
          <w:rFonts w:ascii="Calibri" w:hAnsi="Calibri"/>
          <w:b/>
          <w:i w:val="0"/>
          <w:color w:val="1F2937"/>
          <w:sz w:val="20"/>
        </w:rPr>
        <w:t>M86: Instructie medewerkers</w:t>
      </w:r>
    </w:p>
    <w:p>
      <w:pPr>
        <w:spacing w:after="16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20"/>
        </w:rPr>
        <w:t>M87: Opleiding bestuurders</w:t>
      </w:r>
    </w:p>
    <w:p>
      <w:pPr>
        <w:spacing w:after="16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20"/>
        </w:rPr>
        <w:t>M88: Niet toegankelijk onbevoegden</w:t>
      </w:r>
    </w:p>
    <w:p>
      <w:pPr>
        <w:spacing w:after="16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20"/>
        </w:rPr>
        <w:t>M89: Failsafe/behoud functie</w:t>
      </w:r>
    </w:p>
    <w:p>
      <w:pPr>
        <w:spacing w:after="16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20"/>
        </w:rPr>
        <w:t>M95: Draagbaar blustoestel</w:t>
      </w:r>
    </w:p>
    <w:p>
      <w:pPr>
        <w:spacing w:after="16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20"/>
        </w:rPr>
        <w:t>M109: Bereikbaarheid</w:t>
      </w:r>
    </w:p>
    <w:p>
      <w:pPr>
        <w:spacing w:after="16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20"/>
        </w:rPr>
        <w:t>M111: Vrijkomen dampen</w:t>
      </w:r>
    </w:p>
    <w:p>
      <w:pPr>
        <w:spacing w:after="16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20"/>
        </w:rPr>
        <w:t>M119: Opruimen gemorste stoffen</w:t>
      </w:r>
    </w:p>
    <w:p>
      <w:pPr>
        <w:spacing w:after="16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20"/>
        </w:rPr>
        <w:t>M120: Lekkage-instructie</w:t>
      </w:r>
    </w:p>
    <w:p>
      <w:pPr>
        <w:spacing w:after="16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20"/>
        </w:rPr>
        <w:t>M121: Calamiteiteninstructie</w:t>
      </w:r>
    </w:p>
    <w:p>
      <w:pPr>
        <w:spacing w:after="16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20"/>
        </w:rPr>
        <w:t>M130: Niet in vluchtroute</w:t>
      </w:r>
    </w:p>
    <w:p>
      <w:pPr>
        <w:spacing w:after="16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20"/>
        </w:rPr>
        <w:t>M131: Twee vluchtroutes</w:t>
      </w:r>
    </w:p>
    <w:p>
      <w:pPr>
        <w:spacing w:after="16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20"/>
        </w:rPr>
        <w:t>M132: Toegangsdeur zonder sleutel</w:t>
      </w:r>
    </w:p>
    <w:p>
      <w:pPr>
        <w:spacing w:after="16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20"/>
        </w:rPr>
        <w:t>M133: Noodverlichting</w:t>
      </w:r>
    </w:p>
    <w:p>
      <w:pPr>
        <w:spacing w:after="16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20"/>
        </w:rPr>
        <w:t>M134: Rook-/vuurverbod</w:t>
      </w:r>
    </w:p>
    <w:p>
      <w:pPr>
        <w:spacing w:after="16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20"/>
        </w:rPr>
        <w:t>M135: Veiligheidssignalering</w:t>
      </w:r>
    </w:p>
    <w:p>
      <w:pPr>
        <w:spacing w:after="16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20"/>
        </w:rPr>
        <w:t>M136: Etiketten gevaarsaspecten</w:t>
      </w:r>
    </w:p>
    <w:p>
      <w:pPr>
        <w:spacing w:after="16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20"/>
        </w:rPr>
        <w:t>M137: Veiligheidsinformatiebladen (VIB)</w:t>
      </w:r>
    </w:p>
    <w:p>
      <w:pPr>
        <w:spacing w:after="16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3B82F6"/>
          <w:sz w:val="22"/>
        </w:rPr>
        <w:t>Niveau C (14 maatregelen)</w:t>
      </w:r>
    </w:p>
    <w:p>
      <w:pPr>
        <w:spacing w:after="120"/>
      </w:pPr>
      <w:r>
        <w:rPr>
          <w:rFonts w:ascii="Calibri" w:hAnsi="Calibri"/>
          <w:b/>
          <w:i w:val="0"/>
          <w:color w:val="1F2937"/>
          <w:sz w:val="20"/>
        </w:rPr>
        <w:t>M21: WBDBO constructie (60/90 min)</w:t>
      </w:r>
    </w:p>
    <w:p>
      <w:pPr>
        <w:spacing w:after="16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20"/>
        </w:rPr>
        <w:t>M23: Escalatie voorkomen naastgelegen</w:t>
      </w:r>
    </w:p>
    <w:p>
      <w:pPr>
        <w:spacing w:after="16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pPr>
        <w:spacing w:after="120"/>
      </w:pPr>
      <w:r>
        <w:rPr>
          <w:rFonts w:ascii="Calibri" w:hAnsi="Calibri"/>
          <w:b/>
          <w:i w:val="0"/>
          <w:color w:val="1F2937"/>
          <w:sz w:val="20"/>
        </w:rPr>
        <w:t>M29: Verspreiding voorkomen (geen riool)</w:t>
      </w:r>
    </w:p>
    <w:p>
      <w:pPr>
        <w:spacing w:after="16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20"/>
        </w:rPr>
        <w:t>M70: Verwarming eisen</w:t>
      </w:r>
    </w:p>
    <w:p>
      <w:pPr>
        <w:spacing w:after="16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Pr>
        <w:spacing w:after="120"/>
      </w:pPr>
      <w:r>
        <w:rPr>
          <w:rFonts w:ascii="Calibri" w:hAnsi="Calibri"/>
          <w:b/>
          <w:i w:val="0"/>
          <w:color w:val="1F2937"/>
          <w:sz w:val="20"/>
        </w:rPr>
        <w:t>M76: Manoeuvreerruimte</w:t>
      </w:r>
    </w:p>
    <w:p>
      <w:pPr>
        <w:spacing w:after="16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20"/>
        </w:rPr>
        <w:t>M77: Aanrijdbeveiliging stellingen</w:t>
      </w:r>
    </w:p>
    <w:p>
      <w:pPr>
        <w:spacing w:after="16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20"/>
        </w:rPr>
        <w:t>M78: Aanrijdbeveiliging afwijken</w:t>
      </w:r>
    </w:p>
    <w:p>
      <w:pPr>
        <w:spacing w:after="16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Pr>
        <w:spacing w:after="120"/>
      </w:pPr>
      <w:r>
        <w:rPr>
          <w:rFonts w:ascii="Calibri" w:hAnsi="Calibri"/>
          <w:b/>
          <w:i w:val="0"/>
          <w:color w:val="1F2937"/>
          <w:sz w:val="20"/>
        </w:rPr>
        <w:t>M103: Bluswatervoorziening</w:t>
      </w:r>
    </w:p>
    <w:p>
      <w:pPr>
        <w:spacing w:after="16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20"/>
        </w:rPr>
        <w:t>M113: Intern noodplan (≥10.000 kg)</w:t>
      </w:r>
    </w:p>
    <w:p>
      <w:pPr>
        <w:spacing w:after="16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20"/>
        </w:rPr>
        <w:t>M114: Noodplan evaluatie (3-jaarlijks)</w:t>
      </w:r>
    </w:p>
    <w:p>
      <w:pPr>
        <w:spacing w:after="16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20"/>
        </w:rPr>
        <w:t>M115: Nooddouche/oogspoeling</w:t>
      </w:r>
    </w:p>
    <w:p>
      <w:pPr>
        <w:spacing w:after="16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20"/>
        </w:rPr>
        <w:t>M116: Informatie hulpdiensten (plattegrond)</w:t>
      </w:r>
    </w:p>
    <w:p>
      <w:pPr>
        <w:spacing w:after="16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20"/>
        </w:rPr>
        <w:t>M117: Aanvullende info hulpdiensten (30 min)</w:t>
      </w:r>
    </w:p>
    <w:p>
      <w:pPr>
        <w:spacing w:after="16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20"/>
        </w:rPr>
        <w:t>M118: Hardcopy informatie</w:t>
      </w:r>
    </w:p>
    <w:p>
      <w:pPr>
        <w:spacing w:after="160"/>
      </w:pPr>
      <w:r>
        <w:rPr>
          <w:rFonts w:ascii="Calibri" w:hAnsi="Calibri"/>
          <w:b w:val="0"/>
          <w:i w:val="0"/>
          <w:color w:val="374151"/>
          <w:sz w:val="18"/>
        </w:rPr>
        <w:t>Essentiële veiligheidsinformatie (plattegrond, stoffenlijst, noodplan) moet ook in hardcopy aanwezig zijn, voor het geval digitale systemen niet beschikbaar zijn.</w:t>
      </w:r>
    </w:p>
    <w:p>
      <w:r>
        <w:br w:type="page"/>
      </w:r>
    </w:p>
    <w:p>
      <w:pPr>
        <w:pStyle w:val="Heading2"/>
      </w:pPr>
      <w:r>
        <w:t>2.2 Benzene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71-43-2</w:t>
            </w:r>
          </w:p>
        </w:tc>
      </w:tr>
      <w:tr>
        <w:tc>
          <w:tcPr>
            <w:tcW w:type="dxa" w:w="4703"/>
          </w:tcPr>
          <w:p>
            <w:r>
              <w:rPr>
                <w:rFonts w:ascii="Calibri" w:hAnsi="Calibri"/>
                <w:sz w:val="20"/>
              </w:rPr>
              <w:t>Hoeveelheid</w:t>
            </w:r>
          </w:p>
        </w:tc>
        <w:tc>
          <w:tcPr>
            <w:tcW w:type="dxa" w:w="4703"/>
          </w:tcPr>
          <w:p>
            <w:r>
              <w:rPr>
                <w:rFonts w:ascii="Calibri" w:hAnsi="Calibri"/>
                <w:sz w:val="20"/>
              </w:rPr>
              <w:t>5.0 kg</w:t>
            </w:r>
          </w:p>
        </w:tc>
      </w:tr>
      <w:tr>
        <w:tc>
          <w:tcPr>
            <w:tcW w:type="dxa" w:w="4703"/>
          </w:tcPr>
          <w:p>
            <w:r>
              <w:rPr>
                <w:rFonts w:ascii="Calibri" w:hAnsi="Calibri"/>
                <w:sz w:val="20"/>
              </w:rPr>
              <w:t>Vorm</w:t>
            </w:r>
          </w:p>
        </w:tc>
        <w:tc>
          <w:tcPr>
            <w:tcW w:type="dxa" w:w="4703"/>
          </w:tcPr>
          <w:p>
            <w:r>
              <w:rPr>
                <w:rFonts w:ascii="Calibri" w:hAnsi="Calibri"/>
                <w:sz w:val="20"/>
              </w:rPr>
              <w:t>vast</w:t>
            </w:r>
          </w:p>
        </w:tc>
      </w:tr>
      <w:tr>
        <w:tc>
          <w:tcPr>
            <w:tcW w:type="dxa" w:w="4703"/>
          </w:tcPr>
          <w:p>
            <w:r>
              <w:rPr>
                <w:rFonts w:ascii="Calibri" w:hAnsi="Calibri"/>
                <w:sz w:val="20"/>
              </w:rPr>
              <w:t>ADR-klasse / VG</w:t>
            </w:r>
          </w:p>
        </w:tc>
        <w:tc>
          <w:tcPr>
            <w:tcW w:type="dxa" w:w="4703"/>
          </w:tcPr>
          <w:p>
            <w:r>
              <w:rPr>
                <w:rFonts w:ascii="Calibri" w:hAnsi="Calibri"/>
                <w:sz w:val="20"/>
              </w:rPr>
              <w:t>3 / II</w:t>
            </w:r>
          </w:p>
        </w:tc>
      </w:tr>
      <w:tr>
        <w:tc>
          <w:tcPr>
            <w:tcW w:type="dxa" w:w="4703"/>
          </w:tcPr>
          <w:p>
            <w:r>
              <w:rPr>
                <w:rFonts w:ascii="Calibri" w:hAnsi="Calibri"/>
                <w:sz w:val="20"/>
              </w:rPr>
              <w:t>Ondergrens PGS 15</w:t>
            </w:r>
          </w:p>
        </w:tc>
        <w:tc>
          <w:tcPr>
            <w:tcW w:type="dxa" w:w="4703"/>
          </w:tcPr>
          <w:p>
            <w:r>
              <w:rPr>
                <w:rFonts w:ascii="Calibri" w:hAnsi="Calibri"/>
                <w:sz w:val="20"/>
              </w:rPr>
              <w:t>25 kg</w:t>
            </w:r>
          </w:p>
        </w:tc>
      </w:tr>
      <w:tr>
        <w:tc>
          <w:tcPr>
            <w:tcW w:type="dxa" w:w="4703"/>
          </w:tcPr>
          <w:p>
            <w:r>
              <w:rPr>
                <w:rFonts w:ascii="Calibri" w:hAnsi="Calibri"/>
                <w:sz w:val="20"/>
              </w:rPr>
              <w:t>H-zinnen</w:t>
            </w:r>
          </w:p>
        </w:tc>
        <w:tc>
          <w:tcPr>
            <w:tcW w:type="dxa" w:w="4703"/>
          </w:tcPr>
          <w:p>
            <w:r>
              <w:rPr>
                <w:rFonts w:ascii="Calibri" w:hAnsi="Calibri"/>
                <w:sz w:val="20"/>
              </w:rPr>
            </w:r>
          </w:p>
        </w:tc>
      </w:tr>
      <w:tr>
        <w:tc>
          <w:tcPr>
            <w:tcW w:type="dxa" w:w="4703"/>
          </w:tcPr>
          <w:p>
            <w:r>
              <w:rPr>
                <w:rFonts w:ascii="Calibri" w:hAnsi="Calibri"/>
                <w:sz w:val="20"/>
              </w:rPr>
              <w:t>CLP-classificatie</w:t>
            </w:r>
          </w:p>
        </w:tc>
        <w:tc>
          <w:tcPr>
            <w:tcW w:type="dxa" w:w="4703"/>
          </w:tcPr>
          <w:p>
            <w:r>
              <w:rPr>
                <w:rFonts w:ascii="Calibri" w:hAnsi="Calibri"/>
                <w:sz w:val="20"/>
              </w:rPr>
              <w:t>Flammable | Irritant | Health Hazard | Environmental Hazard — Danger — H225, H304, H315, H319, H340, H350, H372, H412, H332, H335, H336, H361, H370, H401, H411, H302, H341</w:t>
            </w:r>
          </w:p>
        </w:tc>
      </w:tr>
      <w:tr>
        <w:tc>
          <w:tcPr>
            <w:tcW w:type="dxa" w:w="4703"/>
          </w:tcPr>
          <w:p>
            <w:r>
              <w:rPr>
                <w:rFonts w:ascii="Calibri" w:hAnsi="Calibri"/>
                <w:sz w:val="20"/>
              </w:rPr>
              <w:t>CMR</w:t>
            </w:r>
          </w:p>
        </w:tc>
        <w:tc>
          <w:tcPr>
            <w:tcW w:type="dxa" w:w="4703"/>
          </w:tcPr>
          <w:p>
            <w:r>
              <w:rPr>
                <w:rFonts w:ascii="Calibri" w:hAnsi="Calibri"/>
                <w:sz w:val="20"/>
              </w:rPr>
              <w:t>Ja — Carc. 1A</w:t>
            </w:r>
          </w:p>
        </w:tc>
      </w:tr>
      <w:tr>
        <w:tc>
          <w:tcPr>
            <w:tcW w:type="dxa" w:w="4703"/>
          </w:tcPr>
          <w:p>
            <w:r>
              <w:rPr>
                <w:rFonts w:ascii="Calibri" w:hAnsi="Calibri"/>
                <w:sz w:val="20"/>
              </w:rPr>
              <w:t>Acute Toxiciteit</w:t>
            </w:r>
          </w:p>
        </w:tc>
        <w:tc>
          <w:tcPr>
            <w:tcW w:type="dxa" w:w="4703"/>
          </w:tcPr>
          <w:p>
            <w:r>
              <w:rPr>
                <w:rFonts w:ascii="Calibri" w:hAnsi="Calibri"/>
                <w:sz w:val="20"/>
              </w:rPr>
              <w:t>Cat. 3</w:t>
            </w:r>
          </w:p>
        </w:tc>
      </w:tr>
    </w:tbl>
    <w:p/>
    <w:p>
      <w:pPr>
        <w:pStyle w:val="Heading3"/>
      </w:pPr>
      <w:r>
        <w:t>2.2.1 PGS 15 Toepassing</w:t>
      </w:r>
    </w:p>
    <w:p>
      <w:pPr>
        <w:spacing w:after="120"/>
      </w:pPr>
      <w:r>
        <w:rPr>
          <w:rFonts w:ascii="Calibri" w:hAnsi="Calibri"/>
          <w:b w:val="0"/>
          <w:i w:val="0"/>
          <w:sz w:val="22"/>
        </w:rPr>
        <w:t>PGS 15:2025 is van toepassing via: CLP Acute Tox. 2/3 → Niveau C.</w:t>
      </w:r>
    </w:p>
    <w:p>
      <w:pPr>
        <w:spacing w:after="120"/>
      </w:pPr>
      <w:r>
        <w:rPr>
          <w:rFonts w:ascii="Calibri" w:hAnsi="Calibri"/>
          <w:b/>
          <w:i w:val="0"/>
          <w:color w:val="3B82F6"/>
          <w:sz w:val="22"/>
        </w:rPr>
        <w:t>Vereist veiligheidsniveau: C</w:t>
      </w:r>
    </w:p>
    <w:p>
      <w:pPr>
        <w:pStyle w:val="Heading3"/>
      </w:pPr>
      <w:r>
        <w:t>2.2.2 Doelstellingen</w:t>
      </w:r>
    </w:p>
    <w:p>
      <w:pPr>
        <w:spacing w:after="120"/>
      </w:pPr>
      <w:r>
        <w:rPr>
          <w:rFonts w:ascii="Calibri" w:hAnsi="Calibri"/>
          <w:b w:val="0"/>
          <w:i w:val="0"/>
          <w:sz w:val="20"/>
        </w:rPr>
        <w:t>• D1 — Aanrijding voorkomen</w:t>
      </w:r>
    </w:p>
    <w:p>
      <w:pPr>
        <w:spacing w:after="120"/>
      </w:pPr>
      <w:r>
        <w:rPr>
          <w:rFonts w:ascii="Calibri" w:hAnsi="Calibri"/>
          <w:b w:val="0"/>
          <w:i w:val="0"/>
          <w:sz w:val="20"/>
        </w:rPr>
        <w:t>• D2 — Fysieke bescherming</w:t>
      </w:r>
    </w:p>
    <w:p>
      <w:pPr>
        <w:spacing w:after="120"/>
      </w:pPr>
      <w:r>
        <w:rPr>
          <w:rFonts w:ascii="Calibri" w:hAnsi="Calibri"/>
          <w:b w:val="0"/>
          <w:i w:val="0"/>
          <w:sz w:val="20"/>
        </w:rPr>
        <w:t>• D3 — Juiste opslag</w:t>
      </w:r>
    </w:p>
    <w:p>
      <w:pPr>
        <w:spacing w:after="120"/>
      </w:pPr>
      <w:r>
        <w:rPr>
          <w:rFonts w:ascii="Calibri" w:hAnsi="Calibri"/>
          <w:b w:val="0"/>
          <w:i w:val="0"/>
          <w:sz w:val="20"/>
        </w:rPr>
        <w:t>• D4 — Lekkage beheersen: lekkage opvangen en beheersen zodat verspreiding wordt voorkomen</w:t>
      </w:r>
    </w:p>
    <w:p>
      <w:pPr>
        <w:spacing w:after="120"/>
      </w:pPr>
      <w:r>
        <w:rPr>
          <w:rFonts w:ascii="Calibri" w:hAnsi="Calibri"/>
          <w:b w:val="0"/>
          <w:i w:val="0"/>
          <w:sz w:val="20"/>
        </w:rPr>
        <w:t>• D5 — Noodreactie: bij een incident snel en adequaat kunnen reageren</w:t>
      </w:r>
    </w:p>
    <w:p>
      <w:pPr>
        <w:spacing w:after="120"/>
      </w:pPr>
      <w:r>
        <w:rPr>
          <w:rFonts w:ascii="Calibri" w:hAnsi="Calibri"/>
          <w:b w:val="0"/>
          <w:i w:val="0"/>
          <w:sz w:val="20"/>
        </w:rPr>
        <w:t>• D6 — Hulpdiensten: hulpdiensten snel en veilig ter plaatse kunnen laten komen en informeren</w:t>
      </w:r>
    </w:p>
    <w:p>
      <w:pPr>
        <w:spacing w:after="120"/>
      </w:pPr>
      <w:r>
        <w:rPr>
          <w:rFonts w:ascii="Calibri" w:hAnsi="Calibri"/>
          <w:b w:val="0"/>
          <w:i w:val="0"/>
          <w:sz w:val="20"/>
        </w:rPr>
        <w:t>• D7 — Verspreiding voorkomen: voorkomen dat vrijgekomen stoffen zich verspreiden via riool, grond of lucht</w:t>
      </w:r>
    </w:p>
    <w:p>
      <w:pPr>
        <w:spacing w:after="120"/>
      </w:pPr>
      <w:r>
        <w:rPr>
          <w:rFonts w:ascii="Calibri" w:hAnsi="Calibri"/>
          <w:b w:val="0"/>
          <w:i w:val="0"/>
          <w:sz w:val="20"/>
        </w:rPr>
        <w:t>• D8 — Ontsteking voorkomen: ontstekingsbronnen zoveel mogelijk beperken en beheersen</w:t>
      </w:r>
    </w:p>
    <w:p>
      <w:pPr>
        <w:spacing w:after="120"/>
      </w:pPr>
      <w:r>
        <w:rPr>
          <w:rFonts w:ascii="Calibri" w:hAnsi="Calibri"/>
          <w:b w:val="0"/>
          <w:i w:val="0"/>
          <w:sz w:val="20"/>
        </w:rPr>
        <w:t>• D9 — Brand in opslag voorkomen: brand in de opslagruimte voorkomen of beheersen</w:t>
      </w:r>
    </w:p>
    <w:p>
      <w:pPr>
        <w:pStyle w:val="Heading3"/>
      </w:pPr>
      <w:r>
        <w:t>2.2.3 Scenario's</w:t>
      </w:r>
    </w:p>
    <w:p>
      <w:pPr>
        <w:spacing w:after="120"/>
      </w:pPr>
      <w:r>
        <w:rPr>
          <w:rFonts w:ascii="Calibri" w:hAnsi="Calibri"/>
          <w:b w:val="0"/>
          <w:i w:val="0"/>
          <w:sz w:val="20"/>
        </w:rPr>
        <w:t>• S1 — Aanrijding door voertuigen</w:t>
      </w:r>
    </w:p>
    <w:p>
      <w:pPr>
        <w:spacing w:after="120"/>
      </w:pPr>
      <w:r>
        <w:rPr>
          <w:rFonts w:ascii="Calibri" w:hAnsi="Calibri"/>
          <w:b w:val="0"/>
          <w:i w:val="0"/>
          <w:sz w:val="20"/>
        </w:rPr>
        <w:t>• S2 — Val van stelling of opslageenheid</w:t>
      </w:r>
    </w:p>
    <w:p>
      <w:pPr>
        <w:spacing w:after="120"/>
      </w:pPr>
      <w:r>
        <w:rPr>
          <w:rFonts w:ascii="Calibri" w:hAnsi="Calibri"/>
          <w:b w:val="0"/>
          <w:i w:val="0"/>
          <w:sz w:val="20"/>
        </w:rPr>
        <w:t>• S3 — Storing/defect aan stelling</w:t>
      </w:r>
    </w:p>
    <w:p>
      <w:pPr>
        <w:spacing w:after="120"/>
      </w:pPr>
      <w:r>
        <w:rPr>
          <w:rFonts w:ascii="Calibri" w:hAnsi="Calibri"/>
          <w:b w:val="0"/>
          <w:i w:val="0"/>
          <w:sz w:val="20"/>
        </w:rPr>
        <w:t>• S4 — Lekkage uit verpakking of installatie</w:t>
      </w:r>
    </w:p>
    <w:p>
      <w:pPr>
        <w:spacing w:after="120"/>
      </w:pPr>
      <w:r>
        <w:rPr>
          <w:rFonts w:ascii="Calibri" w:hAnsi="Calibri"/>
          <w:b w:val="0"/>
          <w:i w:val="0"/>
          <w:sz w:val="20"/>
        </w:rPr>
        <w:t>• S5 — Overvullen of onbedoeld mengen</w:t>
      </w:r>
    </w:p>
    <w:p>
      <w:pPr>
        <w:spacing w:after="120"/>
      </w:pPr>
      <w:r>
        <w:rPr>
          <w:rFonts w:ascii="Calibri" w:hAnsi="Calibri"/>
          <w:b w:val="0"/>
          <w:i w:val="0"/>
          <w:sz w:val="20"/>
        </w:rPr>
        <w:t>• S6 — Technisch falen (ventilatie, koeling, pompen)</w:t>
      </w:r>
    </w:p>
    <w:p>
      <w:pPr>
        <w:spacing w:after="120"/>
      </w:pPr>
      <w:r>
        <w:rPr>
          <w:rFonts w:ascii="Calibri" w:hAnsi="Calibri"/>
          <w:b w:val="0"/>
          <w:i w:val="0"/>
          <w:sz w:val="20"/>
        </w:rPr>
        <w:t>• S7 — Externe hitte (brand nabij, zonnestraling)</w:t>
      </w:r>
    </w:p>
    <w:p>
      <w:pPr>
        <w:spacing w:after="120"/>
      </w:pPr>
      <w:r>
        <w:rPr>
          <w:rFonts w:ascii="Calibri" w:hAnsi="Calibri"/>
          <w:b w:val="0"/>
          <w:i w:val="0"/>
          <w:sz w:val="20"/>
        </w:rPr>
        <w:t>• S8 — Blikseminslag</w:t>
      </w:r>
    </w:p>
    <w:p>
      <w:pPr>
        <w:spacing w:after="120"/>
      </w:pPr>
      <w:r>
        <w:rPr>
          <w:rFonts w:ascii="Calibri" w:hAnsi="Calibri"/>
          <w:b w:val="0"/>
          <w:i w:val="0"/>
          <w:sz w:val="20"/>
        </w:rPr>
        <w:t>• S9 — Aardbeving</w:t>
      </w:r>
    </w:p>
    <w:p>
      <w:pPr>
        <w:spacing w:after="120"/>
      </w:pPr>
      <w:r>
        <w:rPr>
          <w:rFonts w:ascii="Calibri" w:hAnsi="Calibri"/>
          <w:b w:val="0"/>
          <w:i w:val="0"/>
          <w:sz w:val="20"/>
        </w:rPr>
        <w:t>• S10 — Opzettelijke handeling (sabotage, diefstal)</w:t>
      </w:r>
    </w:p>
    <w:p>
      <w:pPr>
        <w:spacing w:after="120"/>
      </w:pPr>
      <w:r>
        <w:rPr>
          <w:rFonts w:ascii="Calibri" w:hAnsi="Calibri"/>
          <w:b w:val="0"/>
          <w:i w:val="0"/>
          <w:sz w:val="20"/>
        </w:rPr>
        <w:t>• S11 — Vrijkomen gevaarlijke stof (vloeibaar)</w:t>
      </w:r>
    </w:p>
    <w:p>
      <w:pPr>
        <w:spacing w:after="120"/>
      </w:pPr>
      <w:r>
        <w:rPr>
          <w:rFonts w:ascii="Calibri" w:hAnsi="Calibri"/>
          <w:b w:val="0"/>
          <w:i w:val="0"/>
          <w:sz w:val="20"/>
        </w:rPr>
        <w:t>• S12 — Vormen van een giftige wolk</w:t>
      </w:r>
    </w:p>
    <w:p>
      <w:pPr>
        <w:spacing w:after="120"/>
      </w:pPr>
      <w:r>
        <w:rPr>
          <w:rFonts w:ascii="Calibri" w:hAnsi="Calibri"/>
          <w:b w:val="0"/>
          <w:i w:val="0"/>
          <w:sz w:val="20"/>
        </w:rPr>
        <w:t>• S13 — Brand van opgeslagen stof</w:t>
      </w:r>
    </w:p>
    <w:p>
      <w:pPr>
        <w:spacing w:after="120"/>
      </w:pPr>
      <w:r>
        <w:rPr>
          <w:rFonts w:ascii="Calibri" w:hAnsi="Calibri"/>
          <w:b w:val="0"/>
          <w:i w:val="0"/>
          <w:sz w:val="20"/>
        </w:rPr>
        <w:t>• S14 — Brandoverslag naar naastgelegen</w:t>
      </w:r>
    </w:p>
    <w:p>
      <w:pPr>
        <w:spacing w:after="120"/>
      </w:pPr>
      <w:r>
        <w:rPr>
          <w:rFonts w:ascii="Calibri" w:hAnsi="Calibri"/>
          <w:b w:val="0"/>
          <w:i w:val="0"/>
          <w:sz w:val="20"/>
        </w:rPr>
        <w:t>• S15 — Ontploffing</w:t>
      </w:r>
    </w:p>
    <w:p>
      <w:pPr>
        <w:spacing w:after="120"/>
      </w:pPr>
      <w:r>
        <w:rPr>
          <w:rFonts w:ascii="Calibri" w:hAnsi="Calibri"/>
          <w:b w:val="0"/>
          <w:i w:val="0"/>
          <w:sz w:val="20"/>
        </w:rPr>
        <w:t>• S16 — Eskalatie brand (bouwconstructie)</w:t>
      </w:r>
    </w:p>
    <w:p>
      <w:pPr>
        <w:pStyle w:val="Heading3"/>
      </w:pPr>
      <w:r>
        <w:t>2.2.4 Verplichte Maatregelen</w:t>
      </w:r>
    </w:p>
    <w:p>
      <w:pPr>
        <w:spacing w:after="120"/>
      </w:pPr>
      <w:r>
        <w:rPr>
          <w:rFonts w:ascii="Calibri" w:hAnsi="Calibri"/>
          <w:b/>
          <w:i w:val="0"/>
          <w:color w:val="374151"/>
          <w:sz w:val="22"/>
        </w:rPr>
        <w:t>Niveau Basis (28 maatregelen)</w:t>
      </w:r>
    </w:p>
    <w:p>
      <w:pPr>
        <w:spacing w:after="120"/>
      </w:pPr>
      <w:r>
        <w:rPr>
          <w:rFonts w:ascii="Calibri" w:hAnsi="Calibri"/>
          <w:b/>
          <w:i w:val="0"/>
          <w:color w:val="1F2937"/>
          <w:sz w:val="20"/>
        </w:rPr>
        <w:t>MW1: Zorgplicht beheerder</w:t>
      </w:r>
    </w:p>
    <w:p>
      <w:pPr>
        <w:spacing w:after="16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20"/>
        </w:rPr>
        <w:t>M2: Opslaan in opslagvoorziening</w:t>
      </w:r>
    </w:p>
    <w:p>
      <w:pPr>
        <w:spacing w:after="16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20"/>
        </w:rPr>
        <w:t>M3: Vereist veiligheidsniveau</w:t>
      </w:r>
    </w:p>
    <w:p>
      <w:pPr>
        <w:spacing w:after="16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20"/>
        </w:rPr>
        <w:t>M14: Werkvoorraad</w:t>
      </w:r>
    </w:p>
    <w:p>
      <w:pPr>
        <w:spacing w:after="16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20"/>
        </w:rPr>
        <w:t>M20: Lege/onreinigde verpakkingen</w:t>
      </w:r>
    </w:p>
    <w:p>
      <w:pPr>
        <w:spacing w:after="16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20"/>
        </w:rPr>
        <w:t>M30: Opvangvoorziening (110%/10%)</w:t>
      </w:r>
    </w:p>
    <w:p>
      <w:pPr>
        <w:spacing w:after="16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20"/>
        </w:rPr>
        <w:t>M35: Onverenigbare combinaties scheiden</w:t>
      </w:r>
    </w:p>
    <w:p>
      <w:pPr>
        <w:spacing w:after="16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20"/>
        </w:rPr>
        <w:t>M48: Geschikte verpakking</w:t>
      </w:r>
    </w:p>
    <w:p>
      <w:pPr>
        <w:spacing w:after="16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20"/>
        </w:rPr>
        <w:t>M68: Eisen machines/installaties</w:t>
      </w:r>
    </w:p>
    <w:p>
      <w:pPr>
        <w:spacing w:after="16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20"/>
        </w:rPr>
        <w:t>M85: Deskundig personeel (≥2.500 kg)</w:t>
      </w:r>
    </w:p>
    <w:p>
      <w:pPr>
        <w:spacing w:after="160"/>
      </w:pPr>
      <w:r>
        <w:rPr>
          <w:rFonts w:ascii="Calibri" w:hAnsi="Calibri"/>
          <w:b w:val="0"/>
          <w:i w:val="0"/>
          <w:color w:val="374151"/>
          <w:sz w:val="18"/>
        </w:rPr>
        <w:t>Bij een opslagcapaciteit van 2.500 kg of meer gevaarlijke stoffen moet minimaal één persoon aanwezig zijn die beschikt over voldoende kennis en ervaring om de veiligheid te waarborgen en de aanwijzingen van de beheerder op te volgen.</w:t>
      </w:r>
    </w:p>
    <w:p>
      <w:pPr>
        <w:spacing w:after="120"/>
      </w:pPr>
      <w:r>
        <w:rPr>
          <w:rFonts w:ascii="Calibri" w:hAnsi="Calibri"/>
          <w:b/>
          <w:i w:val="0"/>
          <w:color w:val="1F2937"/>
          <w:sz w:val="20"/>
        </w:rPr>
        <w:t>M86: Instructie medewerkers</w:t>
      </w:r>
    </w:p>
    <w:p>
      <w:pPr>
        <w:spacing w:after="16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20"/>
        </w:rPr>
        <w:t>M87: Opleiding bestuurders</w:t>
      </w:r>
    </w:p>
    <w:p>
      <w:pPr>
        <w:spacing w:after="16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20"/>
        </w:rPr>
        <w:t>M88: Niet toegankelijk onbevoegden</w:t>
      </w:r>
    </w:p>
    <w:p>
      <w:pPr>
        <w:spacing w:after="16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20"/>
        </w:rPr>
        <w:t>M89: Failsafe/behoud functie</w:t>
      </w:r>
    </w:p>
    <w:p>
      <w:pPr>
        <w:spacing w:after="16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20"/>
        </w:rPr>
        <w:t>M95: Draagbaar blustoestel</w:t>
      </w:r>
    </w:p>
    <w:p>
      <w:pPr>
        <w:spacing w:after="16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20"/>
        </w:rPr>
        <w:t>M109: Bereikbaarheid</w:t>
      </w:r>
    </w:p>
    <w:p>
      <w:pPr>
        <w:spacing w:after="16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20"/>
        </w:rPr>
        <w:t>M111: Vrijkomen dampen</w:t>
      </w:r>
    </w:p>
    <w:p>
      <w:pPr>
        <w:spacing w:after="16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20"/>
        </w:rPr>
        <w:t>M119: Opruimen gemorste stoffen</w:t>
      </w:r>
    </w:p>
    <w:p>
      <w:pPr>
        <w:spacing w:after="16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20"/>
        </w:rPr>
        <w:t>M120: Lekkage-instructie</w:t>
      </w:r>
    </w:p>
    <w:p>
      <w:pPr>
        <w:spacing w:after="16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20"/>
        </w:rPr>
        <w:t>M121: Calamiteiteninstructie</w:t>
      </w:r>
    </w:p>
    <w:p>
      <w:pPr>
        <w:spacing w:after="16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20"/>
        </w:rPr>
        <w:t>M130: Niet in vluchtroute</w:t>
      </w:r>
    </w:p>
    <w:p>
      <w:pPr>
        <w:spacing w:after="16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20"/>
        </w:rPr>
        <w:t>M131: Twee vluchtroutes</w:t>
      </w:r>
    </w:p>
    <w:p>
      <w:pPr>
        <w:spacing w:after="16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20"/>
        </w:rPr>
        <w:t>M132: Toegangsdeur zonder sleutel</w:t>
      </w:r>
    </w:p>
    <w:p>
      <w:pPr>
        <w:spacing w:after="16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20"/>
        </w:rPr>
        <w:t>M133: Noodverlichting</w:t>
      </w:r>
    </w:p>
    <w:p>
      <w:pPr>
        <w:spacing w:after="16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20"/>
        </w:rPr>
        <w:t>M134: Rook-/vuurverbod</w:t>
      </w:r>
    </w:p>
    <w:p>
      <w:pPr>
        <w:spacing w:after="16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20"/>
        </w:rPr>
        <w:t>M135: Veiligheidssignalering</w:t>
      </w:r>
    </w:p>
    <w:p>
      <w:pPr>
        <w:spacing w:after="16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20"/>
        </w:rPr>
        <w:t>M136: Etiketten gevaarsaspecten</w:t>
      </w:r>
    </w:p>
    <w:p>
      <w:pPr>
        <w:spacing w:after="16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20"/>
        </w:rPr>
        <w:t>M137: Veiligheidsinformatiebladen (VIB)</w:t>
      </w:r>
    </w:p>
    <w:p>
      <w:pPr>
        <w:spacing w:after="16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3B82F6"/>
          <w:sz w:val="22"/>
        </w:rPr>
        <w:t>Niveau C (14 maatregelen)</w:t>
      </w:r>
    </w:p>
    <w:p>
      <w:pPr>
        <w:spacing w:after="120"/>
      </w:pPr>
      <w:r>
        <w:rPr>
          <w:rFonts w:ascii="Calibri" w:hAnsi="Calibri"/>
          <w:b/>
          <w:i w:val="0"/>
          <w:color w:val="1F2937"/>
          <w:sz w:val="20"/>
        </w:rPr>
        <w:t>M21: WBDBO constructie (60/90 min)</w:t>
      </w:r>
    </w:p>
    <w:p>
      <w:pPr>
        <w:spacing w:after="16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20"/>
        </w:rPr>
        <w:t>M23: Escalatie voorkomen naastgelegen</w:t>
      </w:r>
    </w:p>
    <w:p>
      <w:pPr>
        <w:spacing w:after="16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pPr>
        <w:spacing w:after="120"/>
      </w:pPr>
      <w:r>
        <w:rPr>
          <w:rFonts w:ascii="Calibri" w:hAnsi="Calibri"/>
          <w:b/>
          <w:i w:val="0"/>
          <w:color w:val="1F2937"/>
          <w:sz w:val="20"/>
        </w:rPr>
        <w:t>M29: Verspreiding voorkomen (geen riool)</w:t>
      </w:r>
    </w:p>
    <w:p>
      <w:pPr>
        <w:spacing w:after="16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20"/>
        </w:rPr>
        <w:t>M70: Verwarming eisen</w:t>
      </w:r>
    </w:p>
    <w:p>
      <w:pPr>
        <w:spacing w:after="16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Pr>
        <w:spacing w:after="120"/>
      </w:pPr>
      <w:r>
        <w:rPr>
          <w:rFonts w:ascii="Calibri" w:hAnsi="Calibri"/>
          <w:b/>
          <w:i w:val="0"/>
          <w:color w:val="1F2937"/>
          <w:sz w:val="20"/>
        </w:rPr>
        <w:t>M76: Manoeuvreerruimte</w:t>
      </w:r>
    </w:p>
    <w:p>
      <w:pPr>
        <w:spacing w:after="16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20"/>
        </w:rPr>
        <w:t>M77: Aanrijdbeveiliging stellingen</w:t>
      </w:r>
    </w:p>
    <w:p>
      <w:pPr>
        <w:spacing w:after="16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20"/>
        </w:rPr>
        <w:t>M78: Aanrijdbeveiliging afwijken</w:t>
      </w:r>
    </w:p>
    <w:p>
      <w:pPr>
        <w:spacing w:after="16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Pr>
        <w:spacing w:after="120"/>
      </w:pPr>
      <w:r>
        <w:rPr>
          <w:rFonts w:ascii="Calibri" w:hAnsi="Calibri"/>
          <w:b/>
          <w:i w:val="0"/>
          <w:color w:val="1F2937"/>
          <w:sz w:val="20"/>
        </w:rPr>
        <w:t>M103: Bluswatervoorziening</w:t>
      </w:r>
    </w:p>
    <w:p>
      <w:pPr>
        <w:spacing w:after="16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20"/>
        </w:rPr>
        <w:t>M113: Intern noodplan (≥10.000 kg)</w:t>
      </w:r>
    </w:p>
    <w:p>
      <w:pPr>
        <w:spacing w:after="16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20"/>
        </w:rPr>
        <w:t>M114: Noodplan evaluatie (3-jaarlijks)</w:t>
      </w:r>
    </w:p>
    <w:p>
      <w:pPr>
        <w:spacing w:after="16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20"/>
        </w:rPr>
        <w:t>M115: Nooddouche/oogspoeling</w:t>
      </w:r>
    </w:p>
    <w:p>
      <w:pPr>
        <w:spacing w:after="16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20"/>
        </w:rPr>
        <w:t>M116: Informatie hulpdiensten (plattegrond)</w:t>
      </w:r>
    </w:p>
    <w:p>
      <w:pPr>
        <w:spacing w:after="16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20"/>
        </w:rPr>
        <w:t>M117: Aanvullende info hulpdiensten (30 min)</w:t>
      </w:r>
    </w:p>
    <w:p>
      <w:pPr>
        <w:spacing w:after="16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20"/>
        </w:rPr>
        <w:t>M118: Hardcopy informatie</w:t>
      </w:r>
    </w:p>
    <w:p>
      <w:pPr>
        <w:spacing w:after="160"/>
      </w:pPr>
      <w:r>
        <w:rPr>
          <w:rFonts w:ascii="Calibri" w:hAnsi="Calibri"/>
          <w:b w:val="0"/>
          <w:i w:val="0"/>
          <w:color w:val="374151"/>
          <w:sz w:val="18"/>
        </w:rPr>
        <w:t>Essentiële veiligheidsinformatie (plattegrond, stoffenlijst, noodplan) moet ook in hardcopy aanwezig zijn, voor het geval digitale systemen niet beschikbaar zijn.</w:t>
      </w:r>
    </w:p>
    <w:p>
      <w:r>
        <w:br w:type="page"/>
      </w:r>
    </w:p>
    <w:p>
      <w:pPr>
        <w:pStyle w:val="Heading2"/>
      </w:pPr>
      <w:r>
        <w:t>2.3 Benzene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71-43-2</w:t>
            </w:r>
          </w:p>
        </w:tc>
      </w:tr>
      <w:tr>
        <w:tc>
          <w:tcPr>
            <w:tcW w:type="dxa" w:w="4703"/>
          </w:tcPr>
          <w:p>
            <w:r>
              <w:rPr>
                <w:rFonts w:ascii="Calibri" w:hAnsi="Calibri"/>
                <w:sz w:val="20"/>
              </w:rPr>
              <w:t>Hoeveelheid</w:t>
            </w:r>
          </w:p>
        </w:tc>
        <w:tc>
          <w:tcPr>
            <w:tcW w:type="dxa" w:w="4703"/>
          </w:tcPr>
          <w:p>
            <w:r>
              <w:rPr>
                <w:rFonts w:ascii="Calibri" w:hAnsi="Calibri"/>
                <w:sz w:val="20"/>
              </w:rPr>
              <w:t>15.0 kg</w:t>
            </w:r>
          </w:p>
        </w:tc>
      </w:tr>
      <w:tr>
        <w:tc>
          <w:tcPr>
            <w:tcW w:type="dxa" w:w="4703"/>
          </w:tcPr>
          <w:p>
            <w:r>
              <w:rPr>
                <w:rFonts w:ascii="Calibri" w:hAnsi="Calibri"/>
                <w:sz w:val="20"/>
              </w:rPr>
              <w:t>Vorm</w:t>
            </w:r>
          </w:p>
        </w:tc>
        <w:tc>
          <w:tcPr>
            <w:tcW w:type="dxa" w:w="4703"/>
          </w:tcPr>
          <w:p>
            <w:r>
              <w:rPr>
                <w:rFonts w:ascii="Calibri" w:hAnsi="Calibri"/>
                <w:sz w:val="20"/>
              </w:rPr>
              <w:t>vloeistof</w:t>
            </w:r>
          </w:p>
        </w:tc>
      </w:tr>
      <w:tr>
        <w:tc>
          <w:tcPr>
            <w:tcW w:type="dxa" w:w="4703"/>
          </w:tcPr>
          <w:p>
            <w:r>
              <w:rPr>
                <w:rFonts w:ascii="Calibri" w:hAnsi="Calibri"/>
                <w:sz w:val="20"/>
              </w:rPr>
              <w:t>ADR-klasse / VG</w:t>
            </w:r>
          </w:p>
        </w:tc>
        <w:tc>
          <w:tcPr>
            <w:tcW w:type="dxa" w:w="4703"/>
          </w:tcPr>
          <w:p>
            <w:r>
              <w:rPr>
                <w:rFonts w:ascii="Calibri" w:hAnsi="Calibri"/>
                <w:sz w:val="20"/>
              </w:rPr>
              <w:t>3 / II</w:t>
            </w:r>
          </w:p>
        </w:tc>
      </w:tr>
      <w:tr>
        <w:tc>
          <w:tcPr>
            <w:tcW w:type="dxa" w:w="4703"/>
          </w:tcPr>
          <w:p>
            <w:r>
              <w:rPr>
                <w:rFonts w:ascii="Calibri" w:hAnsi="Calibri"/>
                <w:sz w:val="20"/>
              </w:rPr>
              <w:t>Ondergrens PGS 15</w:t>
            </w:r>
          </w:p>
        </w:tc>
        <w:tc>
          <w:tcPr>
            <w:tcW w:type="dxa" w:w="4703"/>
          </w:tcPr>
          <w:p>
            <w:r>
              <w:rPr>
                <w:rFonts w:ascii="Calibri" w:hAnsi="Calibri"/>
                <w:sz w:val="20"/>
              </w:rPr>
              <w:t>25 kg</w:t>
            </w:r>
          </w:p>
        </w:tc>
      </w:tr>
      <w:tr>
        <w:tc>
          <w:tcPr>
            <w:tcW w:type="dxa" w:w="4703"/>
          </w:tcPr>
          <w:p>
            <w:r>
              <w:rPr>
                <w:rFonts w:ascii="Calibri" w:hAnsi="Calibri"/>
                <w:sz w:val="20"/>
              </w:rPr>
              <w:t>H-zinnen</w:t>
            </w:r>
          </w:p>
        </w:tc>
        <w:tc>
          <w:tcPr>
            <w:tcW w:type="dxa" w:w="4703"/>
          </w:tcPr>
          <w:p>
            <w:r>
              <w:rPr>
                <w:rFonts w:ascii="Calibri" w:hAnsi="Calibri"/>
                <w:sz w:val="20"/>
              </w:rPr>
            </w:r>
          </w:p>
        </w:tc>
      </w:tr>
      <w:tr>
        <w:tc>
          <w:tcPr>
            <w:tcW w:type="dxa" w:w="4703"/>
          </w:tcPr>
          <w:p>
            <w:r>
              <w:rPr>
                <w:rFonts w:ascii="Calibri" w:hAnsi="Calibri"/>
                <w:sz w:val="20"/>
              </w:rPr>
              <w:t>CLP-classificatie</w:t>
            </w:r>
          </w:p>
        </w:tc>
        <w:tc>
          <w:tcPr>
            <w:tcW w:type="dxa" w:w="4703"/>
          </w:tcPr>
          <w:p>
            <w:r>
              <w:rPr>
                <w:rFonts w:ascii="Calibri" w:hAnsi="Calibri"/>
                <w:sz w:val="20"/>
              </w:rPr>
              <w:t>Flammable | Irritant | Health Hazard | Environmental Hazard — Danger — H225, H304, H315, H319, H340, H350, H372, H412, H332, H335, H336, H361, H370, H401, H411, H302, H341</w:t>
            </w:r>
          </w:p>
        </w:tc>
      </w:tr>
      <w:tr>
        <w:tc>
          <w:tcPr>
            <w:tcW w:type="dxa" w:w="4703"/>
          </w:tcPr>
          <w:p>
            <w:r>
              <w:rPr>
                <w:rFonts w:ascii="Calibri" w:hAnsi="Calibri"/>
                <w:sz w:val="20"/>
              </w:rPr>
              <w:t>CMR</w:t>
            </w:r>
          </w:p>
        </w:tc>
        <w:tc>
          <w:tcPr>
            <w:tcW w:type="dxa" w:w="4703"/>
          </w:tcPr>
          <w:p>
            <w:r>
              <w:rPr>
                <w:rFonts w:ascii="Calibri" w:hAnsi="Calibri"/>
                <w:sz w:val="20"/>
              </w:rPr>
              <w:t>Ja — Carc. 1A</w:t>
            </w:r>
          </w:p>
        </w:tc>
      </w:tr>
      <w:tr>
        <w:tc>
          <w:tcPr>
            <w:tcW w:type="dxa" w:w="4703"/>
          </w:tcPr>
          <w:p>
            <w:r>
              <w:rPr>
                <w:rFonts w:ascii="Calibri" w:hAnsi="Calibri"/>
                <w:sz w:val="20"/>
              </w:rPr>
              <w:t>Acute Toxiciteit</w:t>
            </w:r>
          </w:p>
        </w:tc>
        <w:tc>
          <w:tcPr>
            <w:tcW w:type="dxa" w:w="4703"/>
          </w:tcPr>
          <w:p>
            <w:r>
              <w:rPr>
                <w:rFonts w:ascii="Calibri" w:hAnsi="Calibri"/>
                <w:sz w:val="20"/>
              </w:rPr>
              <w:t>Cat. 3</w:t>
            </w:r>
          </w:p>
        </w:tc>
      </w:tr>
    </w:tbl>
    <w:p/>
    <w:p>
      <w:pPr>
        <w:pStyle w:val="Heading3"/>
      </w:pPr>
      <w:r>
        <w:t>2.3.1 PGS 15 Toepassing</w:t>
      </w:r>
    </w:p>
    <w:p>
      <w:pPr>
        <w:spacing w:after="120"/>
      </w:pPr>
      <w:r>
        <w:rPr>
          <w:rFonts w:ascii="Calibri" w:hAnsi="Calibri"/>
          <w:b w:val="0"/>
          <w:i w:val="0"/>
          <w:sz w:val="22"/>
        </w:rPr>
        <w:t>PGS 15:2025 is van toepassing via: CLP Acute Tox. 2/3 → Niveau C.</w:t>
      </w:r>
    </w:p>
    <w:p>
      <w:pPr>
        <w:spacing w:after="120"/>
      </w:pPr>
      <w:r>
        <w:rPr>
          <w:rFonts w:ascii="Calibri" w:hAnsi="Calibri"/>
          <w:b/>
          <w:i w:val="0"/>
          <w:color w:val="3B82F6"/>
          <w:sz w:val="22"/>
        </w:rPr>
        <w:t>Vereist veiligheidsniveau: C</w:t>
      </w:r>
    </w:p>
    <w:p>
      <w:pPr>
        <w:pStyle w:val="Heading3"/>
      </w:pPr>
      <w:r>
        <w:t>2.3.2 Doelstellingen</w:t>
      </w:r>
    </w:p>
    <w:p>
      <w:pPr>
        <w:spacing w:after="120"/>
      </w:pPr>
      <w:r>
        <w:rPr>
          <w:rFonts w:ascii="Calibri" w:hAnsi="Calibri"/>
          <w:b w:val="0"/>
          <w:i w:val="0"/>
          <w:sz w:val="20"/>
        </w:rPr>
        <w:t>• D1 — Aanrijding voorkomen</w:t>
      </w:r>
    </w:p>
    <w:p>
      <w:pPr>
        <w:spacing w:after="120"/>
      </w:pPr>
      <w:r>
        <w:rPr>
          <w:rFonts w:ascii="Calibri" w:hAnsi="Calibri"/>
          <w:b w:val="0"/>
          <w:i w:val="0"/>
          <w:sz w:val="20"/>
        </w:rPr>
        <w:t>• D2 — Fysieke bescherming</w:t>
      </w:r>
    </w:p>
    <w:p>
      <w:pPr>
        <w:spacing w:after="120"/>
      </w:pPr>
      <w:r>
        <w:rPr>
          <w:rFonts w:ascii="Calibri" w:hAnsi="Calibri"/>
          <w:b w:val="0"/>
          <w:i w:val="0"/>
          <w:sz w:val="20"/>
        </w:rPr>
        <w:t>• D3 — Juiste opslag</w:t>
      </w:r>
    </w:p>
    <w:p>
      <w:pPr>
        <w:spacing w:after="120"/>
      </w:pPr>
      <w:r>
        <w:rPr>
          <w:rFonts w:ascii="Calibri" w:hAnsi="Calibri"/>
          <w:b w:val="0"/>
          <w:i w:val="0"/>
          <w:sz w:val="20"/>
        </w:rPr>
        <w:t>• D4 — Lekkage beheersen: lekkage opvangen en beheersen zodat verspreiding wordt voorkomen</w:t>
      </w:r>
    </w:p>
    <w:p>
      <w:pPr>
        <w:spacing w:after="120"/>
      </w:pPr>
      <w:r>
        <w:rPr>
          <w:rFonts w:ascii="Calibri" w:hAnsi="Calibri"/>
          <w:b w:val="0"/>
          <w:i w:val="0"/>
          <w:sz w:val="20"/>
        </w:rPr>
        <w:t>• D5 — Noodreactie: bij een incident snel en adequaat kunnen reageren</w:t>
      </w:r>
    </w:p>
    <w:p>
      <w:pPr>
        <w:spacing w:after="120"/>
      </w:pPr>
      <w:r>
        <w:rPr>
          <w:rFonts w:ascii="Calibri" w:hAnsi="Calibri"/>
          <w:b w:val="0"/>
          <w:i w:val="0"/>
          <w:sz w:val="20"/>
        </w:rPr>
        <w:t>• D6 — Hulpdiensten: hulpdiensten snel en veilig ter plaatse kunnen laten komen en informeren</w:t>
      </w:r>
    </w:p>
    <w:p>
      <w:pPr>
        <w:spacing w:after="120"/>
      </w:pPr>
      <w:r>
        <w:rPr>
          <w:rFonts w:ascii="Calibri" w:hAnsi="Calibri"/>
          <w:b w:val="0"/>
          <w:i w:val="0"/>
          <w:sz w:val="20"/>
        </w:rPr>
        <w:t>• D7 — Verspreiding voorkomen: voorkomen dat vrijgekomen stoffen zich verspreiden via riool, grond of lucht</w:t>
      </w:r>
    </w:p>
    <w:p>
      <w:pPr>
        <w:spacing w:after="120"/>
      </w:pPr>
      <w:r>
        <w:rPr>
          <w:rFonts w:ascii="Calibri" w:hAnsi="Calibri"/>
          <w:b w:val="0"/>
          <w:i w:val="0"/>
          <w:sz w:val="20"/>
        </w:rPr>
        <w:t>• D8 — Ontsteking voorkomen: ontstekingsbronnen zoveel mogelijk beperken en beheersen</w:t>
      </w:r>
    </w:p>
    <w:p>
      <w:pPr>
        <w:spacing w:after="120"/>
      </w:pPr>
      <w:r>
        <w:rPr>
          <w:rFonts w:ascii="Calibri" w:hAnsi="Calibri"/>
          <w:b w:val="0"/>
          <w:i w:val="0"/>
          <w:sz w:val="20"/>
        </w:rPr>
        <w:t>• D9 — Brand in opslag voorkomen: brand in de opslagruimte voorkomen of beheersen</w:t>
      </w:r>
    </w:p>
    <w:p>
      <w:pPr>
        <w:pStyle w:val="Heading3"/>
      </w:pPr>
      <w:r>
        <w:t>2.3.3 Scenario's</w:t>
      </w:r>
    </w:p>
    <w:p>
      <w:pPr>
        <w:spacing w:after="120"/>
      </w:pPr>
      <w:r>
        <w:rPr>
          <w:rFonts w:ascii="Calibri" w:hAnsi="Calibri"/>
          <w:b w:val="0"/>
          <w:i w:val="0"/>
          <w:sz w:val="20"/>
        </w:rPr>
        <w:t>• S1 — Aanrijding door voertuigen</w:t>
      </w:r>
    </w:p>
    <w:p>
      <w:pPr>
        <w:spacing w:after="120"/>
      </w:pPr>
      <w:r>
        <w:rPr>
          <w:rFonts w:ascii="Calibri" w:hAnsi="Calibri"/>
          <w:b w:val="0"/>
          <w:i w:val="0"/>
          <w:sz w:val="20"/>
        </w:rPr>
        <w:t>• S2 — Val van stelling of opslageenheid</w:t>
      </w:r>
    </w:p>
    <w:p>
      <w:pPr>
        <w:spacing w:after="120"/>
      </w:pPr>
      <w:r>
        <w:rPr>
          <w:rFonts w:ascii="Calibri" w:hAnsi="Calibri"/>
          <w:b w:val="0"/>
          <w:i w:val="0"/>
          <w:sz w:val="20"/>
        </w:rPr>
        <w:t>• S3 — Storing/defect aan stelling</w:t>
      </w:r>
    </w:p>
    <w:p>
      <w:pPr>
        <w:spacing w:after="120"/>
      </w:pPr>
      <w:r>
        <w:rPr>
          <w:rFonts w:ascii="Calibri" w:hAnsi="Calibri"/>
          <w:b w:val="0"/>
          <w:i w:val="0"/>
          <w:sz w:val="20"/>
        </w:rPr>
        <w:t>• S4 — Lekkage uit verpakking of installatie</w:t>
      </w:r>
    </w:p>
    <w:p>
      <w:pPr>
        <w:spacing w:after="120"/>
      </w:pPr>
      <w:r>
        <w:rPr>
          <w:rFonts w:ascii="Calibri" w:hAnsi="Calibri"/>
          <w:b w:val="0"/>
          <w:i w:val="0"/>
          <w:sz w:val="20"/>
        </w:rPr>
        <w:t>• S5 — Overvullen of onbedoeld mengen</w:t>
      </w:r>
    </w:p>
    <w:p>
      <w:pPr>
        <w:spacing w:after="120"/>
      </w:pPr>
      <w:r>
        <w:rPr>
          <w:rFonts w:ascii="Calibri" w:hAnsi="Calibri"/>
          <w:b w:val="0"/>
          <w:i w:val="0"/>
          <w:sz w:val="20"/>
        </w:rPr>
        <w:t>• S6 — Technisch falen (ventilatie, koeling, pompen)</w:t>
      </w:r>
    </w:p>
    <w:p>
      <w:pPr>
        <w:spacing w:after="120"/>
      </w:pPr>
      <w:r>
        <w:rPr>
          <w:rFonts w:ascii="Calibri" w:hAnsi="Calibri"/>
          <w:b w:val="0"/>
          <w:i w:val="0"/>
          <w:sz w:val="20"/>
        </w:rPr>
        <w:t>• S7 — Externe hitte (brand nabij, zonnestraling)</w:t>
      </w:r>
    </w:p>
    <w:p>
      <w:pPr>
        <w:spacing w:after="120"/>
      </w:pPr>
      <w:r>
        <w:rPr>
          <w:rFonts w:ascii="Calibri" w:hAnsi="Calibri"/>
          <w:b w:val="0"/>
          <w:i w:val="0"/>
          <w:sz w:val="20"/>
        </w:rPr>
        <w:t>• S8 — Blikseminslag</w:t>
      </w:r>
    </w:p>
    <w:p>
      <w:pPr>
        <w:spacing w:after="120"/>
      </w:pPr>
      <w:r>
        <w:rPr>
          <w:rFonts w:ascii="Calibri" w:hAnsi="Calibri"/>
          <w:b w:val="0"/>
          <w:i w:val="0"/>
          <w:sz w:val="20"/>
        </w:rPr>
        <w:t>• S9 — Aardbeving</w:t>
      </w:r>
    </w:p>
    <w:p>
      <w:pPr>
        <w:spacing w:after="120"/>
      </w:pPr>
      <w:r>
        <w:rPr>
          <w:rFonts w:ascii="Calibri" w:hAnsi="Calibri"/>
          <w:b w:val="0"/>
          <w:i w:val="0"/>
          <w:sz w:val="20"/>
        </w:rPr>
        <w:t>• S10 — Opzettelijke handeling (sabotage, diefstal)</w:t>
      </w:r>
    </w:p>
    <w:p>
      <w:pPr>
        <w:spacing w:after="120"/>
      </w:pPr>
      <w:r>
        <w:rPr>
          <w:rFonts w:ascii="Calibri" w:hAnsi="Calibri"/>
          <w:b w:val="0"/>
          <w:i w:val="0"/>
          <w:sz w:val="20"/>
        </w:rPr>
        <w:t>• S11 — Vrijkomen gevaarlijke stof (vloeibaar)</w:t>
      </w:r>
    </w:p>
    <w:p>
      <w:pPr>
        <w:spacing w:after="120"/>
      </w:pPr>
      <w:r>
        <w:rPr>
          <w:rFonts w:ascii="Calibri" w:hAnsi="Calibri"/>
          <w:b w:val="0"/>
          <w:i w:val="0"/>
          <w:sz w:val="20"/>
        </w:rPr>
        <w:t>• S12 — Vormen van een giftige wolk</w:t>
      </w:r>
    </w:p>
    <w:p>
      <w:pPr>
        <w:spacing w:after="120"/>
      </w:pPr>
      <w:r>
        <w:rPr>
          <w:rFonts w:ascii="Calibri" w:hAnsi="Calibri"/>
          <w:b w:val="0"/>
          <w:i w:val="0"/>
          <w:sz w:val="20"/>
        </w:rPr>
        <w:t>• S13 — Brand van opgeslagen stof</w:t>
      </w:r>
    </w:p>
    <w:p>
      <w:pPr>
        <w:spacing w:after="120"/>
      </w:pPr>
      <w:r>
        <w:rPr>
          <w:rFonts w:ascii="Calibri" w:hAnsi="Calibri"/>
          <w:b w:val="0"/>
          <w:i w:val="0"/>
          <w:sz w:val="20"/>
        </w:rPr>
        <w:t>• S14 — Brandoverslag naar naastgelegen</w:t>
      </w:r>
    </w:p>
    <w:p>
      <w:pPr>
        <w:spacing w:after="120"/>
      </w:pPr>
      <w:r>
        <w:rPr>
          <w:rFonts w:ascii="Calibri" w:hAnsi="Calibri"/>
          <w:b w:val="0"/>
          <w:i w:val="0"/>
          <w:sz w:val="20"/>
        </w:rPr>
        <w:t>• S15 — Ontploffing</w:t>
      </w:r>
    </w:p>
    <w:p>
      <w:pPr>
        <w:spacing w:after="120"/>
      </w:pPr>
      <w:r>
        <w:rPr>
          <w:rFonts w:ascii="Calibri" w:hAnsi="Calibri"/>
          <w:b w:val="0"/>
          <w:i w:val="0"/>
          <w:sz w:val="20"/>
        </w:rPr>
        <w:t>• S16 — Eskalatie brand (bouwconstructie)</w:t>
      </w:r>
    </w:p>
    <w:p>
      <w:pPr>
        <w:pStyle w:val="Heading3"/>
      </w:pPr>
      <w:r>
        <w:t>2.3.4 Verplichte Maatregelen</w:t>
      </w:r>
    </w:p>
    <w:p>
      <w:pPr>
        <w:spacing w:after="120"/>
      </w:pPr>
      <w:r>
        <w:rPr>
          <w:rFonts w:ascii="Calibri" w:hAnsi="Calibri"/>
          <w:b/>
          <w:i w:val="0"/>
          <w:color w:val="374151"/>
          <w:sz w:val="22"/>
        </w:rPr>
        <w:t>Niveau Basis (28 maatregelen)</w:t>
      </w:r>
    </w:p>
    <w:p>
      <w:pPr>
        <w:spacing w:after="120"/>
      </w:pPr>
      <w:r>
        <w:rPr>
          <w:rFonts w:ascii="Calibri" w:hAnsi="Calibri"/>
          <w:b/>
          <w:i w:val="0"/>
          <w:color w:val="1F2937"/>
          <w:sz w:val="20"/>
        </w:rPr>
        <w:t>MW1: Zorgplicht beheerder</w:t>
      </w:r>
    </w:p>
    <w:p>
      <w:pPr>
        <w:spacing w:after="16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20"/>
        </w:rPr>
        <w:t>M2: Opslaan in opslagvoorziening</w:t>
      </w:r>
    </w:p>
    <w:p>
      <w:pPr>
        <w:spacing w:after="16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20"/>
        </w:rPr>
        <w:t>M3: Vereist veiligheidsniveau</w:t>
      </w:r>
    </w:p>
    <w:p>
      <w:pPr>
        <w:spacing w:after="16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20"/>
        </w:rPr>
        <w:t>M14: Werkvoorraad</w:t>
      </w:r>
    </w:p>
    <w:p>
      <w:pPr>
        <w:spacing w:after="16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20"/>
        </w:rPr>
        <w:t>M20: Lege/onreinigde verpakkingen</w:t>
      </w:r>
    </w:p>
    <w:p>
      <w:pPr>
        <w:spacing w:after="16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20"/>
        </w:rPr>
        <w:t>M30: Opvangvoorziening (110%/10%)</w:t>
      </w:r>
    </w:p>
    <w:p>
      <w:pPr>
        <w:spacing w:after="16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20"/>
        </w:rPr>
        <w:t>M35: Onverenigbare combinaties scheiden</w:t>
      </w:r>
    </w:p>
    <w:p>
      <w:pPr>
        <w:spacing w:after="16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20"/>
        </w:rPr>
        <w:t>M48: Geschikte verpakking</w:t>
      </w:r>
    </w:p>
    <w:p>
      <w:pPr>
        <w:spacing w:after="16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20"/>
        </w:rPr>
        <w:t>M68: Eisen machines/installaties</w:t>
      </w:r>
    </w:p>
    <w:p>
      <w:pPr>
        <w:spacing w:after="16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20"/>
        </w:rPr>
        <w:t>M85: Deskundig personeel (≥2.500 kg)</w:t>
      </w:r>
    </w:p>
    <w:p>
      <w:pPr>
        <w:spacing w:after="160"/>
      </w:pPr>
      <w:r>
        <w:rPr>
          <w:rFonts w:ascii="Calibri" w:hAnsi="Calibri"/>
          <w:b w:val="0"/>
          <w:i w:val="0"/>
          <w:color w:val="374151"/>
          <w:sz w:val="18"/>
        </w:rPr>
        <w:t>Bij een opslagcapaciteit van 2.500 kg of meer gevaarlijke stoffen moet minimaal één persoon aanwezig zijn die beschikt over voldoende kennis en ervaring om de veiligheid te waarborgen en de aanwijzingen van de beheerder op te volgen.</w:t>
      </w:r>
    </w:p>
    <w:p>
      <w:pPr>
        <w:spacing w:after="120"/>
      </w:pPr>
      <w:r>
        <w:rPr>
          <w:rFonts w:ascii="Calibri" w:hAnsi="Calibri"/>
          <w:b/>
          <w:i w:val="0"/>
          <w:color w:val="1F2937"/>
          <w:sz w:val="20"/>
        </w:rPr>
        <w:t>M86: Instructie medewerkers</w:t>
      </w:r>
    </w:p>
    <w:p>
      <w:pPr>
        <w:spacing w:after="16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20"/>
        </w:rPr>
        <w:t>M87: Opleiding bestuurders</w:t>
      </w:r>
    </w:p>
    <w:p>
      <w:pPr>
        <w:spacing w:after="16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20"/>
        </w:rPr>
        <w:t>M88: Niet toegankelijk onbevoegden</w:t>
      </w:r>
    </w:p>
    <w:p>
      <w:pPr>
        <w:spacing w:after="16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20"/>
        </w:rPr>
        <w:t>M89: Failsafe/behoud functie</w:t>
      </w:r>
    </w:p>
    <w:p>
      <w:pPr>
        <w:spacing w:after="16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20"/>
        </w:rPr>
        <w:t>M95: Draagbaar blustoestel</w:t>
      </w:r>
    </w:p>
    <w:p>
      <w:pPr>
        <w:spacing w:after="16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20"/>
        </w:rPr>
        <w:t>M109: Bereikbaarheid</w:t>
      </w:r>
    </w:p>
    <w:p>
      <w:pPr>
        <w:spacing w:after="16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20"/>
        </w:rPr>
        <w:t>M111: Vrijkomen dampen</w:t>
      </w:r>
    </w:p>
    <w:p>
      <w:pPr>
        <w:spacing w:after="16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20"/>
        </w:rPr>
        <w:t>M119: Opruimen gemorste stoffen</w:t>
      </w:r>
    </w:p>
    <w:p>
      <w:pPr>
        <w:spacing w:after="16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20"/>
        </w:rPr>
        <w:t>M120: Lekkage-instructie</w:t>
      </w:r>
    </w:p>
    <w:p>
      <w:pPr>
        <w:spacing w:after="16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20"/>
        </w:rPr>
        <w:t>M121: Calamiteiteninstructie</w:t>
      </w:r>
    </w:p>
    <w:p>
      <w:pPr>
        <w:spacing w:after="16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20"/>
        </w:rPr>
        <w:t>M130: Niet in vluchtroute</w:t>
      </w:r>
    </w:p>
    <w:p>
      <w:pPr>
        <w:spacing w:after="16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20"/>
        </w:rPr>
        <w:t>M131: Twee vluchtroutes</w:t>
      </w:r>
    </w:p>
    <w:p>
      <w:pPr>
        <w:spacing w:after="16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20"/>
        </w:rPr>
        <w:t>M132: Toegangsdeur zonder sleutel</w:t>
      </w:r>
    </w:p>
    <w:p>
      <w:pPr>
        <w:spacing w:after="16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20"/>
        </w:rPr>
        <w:t>M133: Noodverlichting</w:t>
      </w:r>
    </w:p>
    <w:p>
      <w:pPr>
        <w:spacing w:after="16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20"/>
        </w:rPr>
        <w:t>M134: Rook-/vuurverbod</w:t>
      </w:r>
    </w:p>
    <w:p>
      <w:pPr>
        <w:spacing w:after="16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20"/>
        </w:rPr>
        <w:t>M135: Veiligheidssignalering</w:t>
      </w:r>
    </w:p>
    <w:p>
      <w:pPr>
        <w:spacing w:after="16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20"/>
        </w:rPr>
        <w:t>M136: Etiketten gevaarsaspecten</w:t>
      </w:r>
    </w:p>
    <w:p>
      <w:pPr>
        <w:spacing w:after="16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20"/>
        </w:rPr>
        <w:t>M137: Veiligheidsinformatiebladen (VIB)</w:t>
      </w:r>
    </w:p>
    <w:p>
      <w:pPr>
        <w:spacing w:after="16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3B82F6"/>
          <w:sz w:val="22"/>
        </w:rPr>
        <w:t>Niveau C (14 maatregelen)</w:t>
      </w:r>
    </w:p>
    <w:p>
      <w:pPr>
        <w:spacing w:after="120"/>
      </w:pPr>
      <w:r>
        <w:rPr>
          <w:rFonts w:ascii="Calibri" w:hAnsi="Calibri"/>
          <w:b/>
          <w:i w:val="0"/>
          <w:color w:val="1F2937"/>
          <w:sz w:val="20"/>
        </w:rPr>
        <w:t>M21: WBDBO constructie (60/90 min)</w:t>
      </w:r>
    </w:p>
    <w:p>
      <w:pPr>
        <w:spacing w:after="16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20"/>
        </w:rPr>
        <w:t>M23: Escalatie voorkomen naastgelegen</w:t>
      </w:r>
    </w:p>
    <w:p>
      <w:pPr>
        <w:spacing w:after="16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pPr>
        <w:spacing w:after="120"/>
      </w:pPr>
      <w:r>
        <w:rPr>
          <w:rFonts w:ascii="Calibri" w:hAnsi="Calibri"/>
          <w:b/>
          <w:i w:val="0"/>
          <w:color w:val="1F2937"/>
          <w:sz w:val="20"/>
        </w:rPr>
        <w:t>M29: Verspreiding voorkomen (geen riool)</w:t>
      </w:r>
    </w:p>
    <w:p>
      <w:pPr>
        <w:spacing w:after="16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20"/>
        </w:rPr>
        <w:t>M70: Verwarming eisen</w:t>
      </w:r>
    </w:p>
    <w:p>
      <w:pPr>
        <w:spacing w:after="16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Pr>
        <w:spacing w:after="120"/>
      </w:pPr>
      <w:r>
        <w:rPr>
          <w:rFonts w:ascii="Calibri" w:hAnsi="Calibri"/>
          <w:b/>
          <w:i w:val="0"/>
          <w:color w:val="1F2937"/>
          <w:sz w:val="20"/>
        </w:rPr>
        <w:t>M76: Manoeuvreerruimte</w:t>
      </w:r>
    </w:p>
    <w:p>
      <w:pPr>
        <w:spacing w:after="16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20"/>
        </w:rPr>
        <w:t>M77: Aanrijdbeveiliging stellingen</w:t>
      </w:r>
    </w:p>
    <w:p>
      <w:pPr>
        <w:spacing w:after="16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20"/>
        </w:rPr>
        <w:t>M78: Aanrijdbeveiliging afwijken</w:t>
      </w:r>
    </w:p>
    <w:p>
      <w:pPr>
        <w:spacing w:after="16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Pr>
        <w:spacing w:after="120"/>
      </w:pPr>
      <w:r>
        <w:rPr>
          <w:rFonts w:ascii="Calibri" w:hAnsi="Calibri"/>
          <w:b/>
          <w:i w:val="0"/>
          <w:color w:val="1F2937"/>
          <w:sz w:val="20"/>
        </w:rPr>
        <w:t>M103: Bluswatervoorziening</w:t>
      </w:r>
    </w:p>
    <w:p>
      <w:pPr>
        <w:spacing w:after="16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20"/>
        </w:rPr>
        <w:t>M113: Intern noodplan (≥10.000 kg)</w:t>
      </w:r>
    </w:p>
    <w:p>
      <w:pPr>
        <w:spacing w:after="16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20"/>
        </w:rPr>
        <w:t>M114: Noodplan evaluatie (3-jaarlijks)</w:t>
      </w:r>
    </w:p>
    <w:p>
      <w:pPr>
        <w:spacing w:after="16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20"/>
        </w:rPr>
        <w:t>M115: Nooddouche/oogspoeling</w:t>
      </w:r>
    </w:p>
    <w:p>
      <w:pPr>
        <w:spacing w:after="16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20"/>
        </w:rPr>
        <w:t>M116: Informatie hulpdiensten (plattegrond)</w:t>
      </w:r>
    </w:p>
    <w:p>
      <w:pPr>
        <w:spacing w:after="16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20"/>
        </w:rPr>
        <w:t>M117: Aanvullende info hulpdiensten (30 min)</w:t>
      </w:r>
    </w:p>
    <w:p>
      <w:pPr>
        <w:spacing w:after="16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20"/>
        </w:rPr>
        <w:t>M118: Hardcopy informatie</w:t>
      </w:r>
    </w:p>
    <w:p>
      <w:pPr>
        <w:spacing w:after="160"/>
      </w:pPr>
      <w:r>
        <w:rPr>
          <w:rFonts w:ascii="Calibri" w:hAnsi="Calibri"/>
          <w:b w:val="0"/>
          <w:i w:val="0"/>
          <w:color w:val="374151"/>
          <w:sz w:val="18"/>
        </w:rPr>
        <w:t>Essentiële veiligheidsinformatie (plattegrond, stoffenlijst, noodplan) moet ook in hardcopy aanwezig zijn, voor het geval digitale systemen niet beschikbaar zijn.</w:t>
      </w:r>
    </w:p>
    <w:p>
      <w:r>
        <w:br w:type="page"/>
      </w:r>
    </w:p>
    <w:p>
      <w:pPr>
        <w:pStyle w:val="Heading1"/>
      </w:pPr>
      <w:r>
        <w:t>3. Stoffencombinatieanalyse</w:t>
      </w:r>
    </w:p>
    <w:p>
      <w:pPr>
        <w:pStyle w:val="Heading2"/>
      </w:pPr>
      <w:r>
        <w:t>3.1 Onverenigbare Combinaties (Tabel 8)</w:t>
      </w:r>
    </w:p>
    <w:p>
      <w:pPr>
        <w:spacing w:after="120"/>
      </w:pPr>
      <w:r>
        <w:rPr>
          <w:rFonts w:ascii="Calibri" w:hAnsi="Calibri"/>
          <w:b w:val="0"/>
          <w:i w:val="0"/>
          <w:color w:val="00A859"/>
          <w:sz w:val="22"/>
        </w:rPr>
        <w:t>Geen onverenigbare combinaties gevonden. Alle stoffen mogen volgens PGS 15 Tabel 8 in dezelfde opslagruimte worden opgeslagen.</w:t>
      </w:r>
    </w:p>
    <w:p/>
    <w:p>
      <w:pPr>
        <w:spacing w:after="120"/>
      </w:pPr>
      <w:r>
        <w:rPr>
          <w:rFonts w:ascii="Calibri" w:hAnsi="Calibri"/>
          <w:b w:val="0"/>
          <w:i w:val="0"/>
          <w:sz w:val="20"/>
        </w:rPr>
        <w:t>SG1: Ontvlambare vloeistoffen — Benzene, Benzene, Benzene</w:t>
      </w:r>
    </w:p>
    <w:p>
      <w:pPr>
        <w:pStyle w:val="Heading2"/>
      </w:pPr>
      <w:r>
        <w:t>3.2 Aggregatie-effecten</w:t>
      </w:r>
    </w:p>
    <w:p>
      <w:pPr>
        <w:spacing w:after="120"/>
      </w:pPr>
      <w:r>
        <w:rPr>
          <w:rFonts w:ascii="Calibri" w:hAnsi="Calibri"/>
          <w:b/>
          <w:i w:val="0"/>
          <w:sz w:val="20"/>
        </w:rPr>
        <w:t>ADR klasse 3: 3 stof(fen), 25.0 kg totaal, Niveau C</w:t>
      </w:r>
    </w:p>
    <w:p>
      <w:pPr>
        <w:spacing w:after="120"/>
      </w:pPr>
      <w:r>
        <w:rPr>
          <w:rFonts w:ascii="Calibri" w:hAnsi="Calibri"/>
          <w:b w:val="0"/>
          <w:i w:val="0"/>
          <w:color w:val="374151"/>
          <w:sz w:val="18"/>
        </w:rPr>
        <w:t>Stoffen: Benzene, Benzene, Benzene</w:t>
      </w:r>
    </w:p>
    <w:p/>
    <w:p>
      <w:pPr>
        <w:spacing w:after="120"/>
      </w:pPr>
      <w:r>
        <w:rPr>
          <w:rFonts w:ascii="Calibri" w:hAnsi="Calibri"/>
          <w:b/>
          <w:i w:val="0"/>
          <w:color w:val="F59E0B"/>
          <w:sz w:val="22"/>
        </w:rPr>
        <w:t>Niveau-opschuivingen door aggregatie:</w:t>
      </w:r>
    </w:p>
    <w:p>
      <w:pPr>
        <w:spacing w:after="120"/>
      </w:pPr>
      <w:r>
        <w:rPr>
          <w:rFonts w:ascii="Calibri" w:hAnsi="Calibri"/>
          <w:b w:val="0"/>
          <w:i w:val="0"/>
          <w:sz w:val="20"/>
        </w:rPr>
        <w:t>• Benzene (5 kg): Niveau Buiten scope → C</w:t>
      </w:r>
    </w:p>
    <w:p>
      <w:pPr>
        <w:spacing w:after="120"/>
      </w:pPr>
      <w:r>
        <w:rPr>
          <w:rFonts w:ascii="Calibri" w:hAnsi="Calibri"/>
          <w:b w:val="0"/>
          <w:i w:val="0"/>
          <w:sz w:val="20"/>
        </w:rPr>
        <w:t>• Benzene (5 kg): Niveau Buiten scope → C</w:t>
      </w:r>
    </w:p>
    <w:p>
      <w:pPr>
        <w:spacing w:after="120"/>
      </w:pPr>
      <w:r>
        <w:rPr>
          <w:rFonts w:ascii="Calibri" w:hAnsi="Calibri"/>
          <w:b w:val="0"/>
          <w:i w:val="0"/>
          <w:sz w:val="20"/>
        </w:rPr>
        <w:t>• Benzene (15 kg): Niveau Buiten scope → C</w:t>
      </w:r>
    </w:p>
    <w:p>
      <w:pPr>
        <w:pStyle w:val="Heading2"/>
      </w:pPr>
      <w:r>
        <w:t>3.3 Synergie-effecten</w:t>
      </w:r>
    </w:p>
    <w:p>
      <w:pPr>
        <w:spacing w:after="120"/>
      </w:pPr>
      <w:r>
        <w:rPr>
          <w:rFonts w:ascii="Calibri" w:hAnsi="Calibri"/>
          <w:b/>
          <w:i w:val="0"/>
          <w:color w:val="EF4444"/>
          <w:sz w:val="22"/>
        </w:rPr>
        <w:t>☢️ CMR + Brandbaar</w:t>
      </w:r>
    </w:p>
    <w:p>
      <w:pPr>
        <w:spacing w:after="120"/>
      </w:pPr>
      <w:r>
        <w:rPr>
          <w:rFonts w:ascii="Calibri" w:hAnsi="Calibri"/>
          <w:b w:val="0"/>
          <w:i w:val="0"/>
          <w:sz w:val="20"/>
        </w:rPr>
        <w:t>CMR-stoffen (Benzene, Benzene, Benzene) in combinatie met brandbare stoffen (Benzene, Benzene, Benzene) vormen een verhoogd risico. Bij brand kunnen CMR-stoffen vrijkomen als giftige rookgassen. Extra aandacht voor: rook- en warmteafvoer, branddetectie, en evacuatieprocedure rekening houdend met giftige rook.</w:t>
      </w:r>
    </w:p>
    <w:p/>
    <w:p>
      <w:pPr>
        <w:spacing w:after="120"/>
      </w:pPr>
      <w:r>
        <w:rPr>
          <w:rFonts w:ascii="Calibri" w:hAnsi="Calibri"/>
          <w:b/>
          <w:i w:val="0"/>
          <w:color w:val="F59E0B"/>
          <w:sz w:val="22"/>
        </w:rPr>
        <w:t>💨 Acute Tox + Brandbaar</w:t>
      </w:r>
    </w:p>
    <w:p>
      <w:pPr>
        <w:spacing w:after="120"/>
      </w:pPr>
      <w:r>
        <w:rPr>
          <w:rFonts w:ascii="Calibri" w:hAnsi="Calibri"/>
          <w:b w:val="0"/>
          <w:i w:val="0"/>
          <w:sz w:val="20"/>
        </w:rPr>
        <w:t>Stoffen met acute toxiciteit (Benzene, Benzene, Benzene) in combinatie met brandbare stoffen (Benzene, Benzene, Benzene) kunnen bij brand giftige rookgassen verspreiden. Extra eisen: uitgebreider noodplan, hulpdiensten informeren over giftige rook, en evacuatieroute buiten de rookverspreiding.</w:t>
      </w:r>
    </w:p>
    <w:p/>
    <w:p>
      <w:pPr>
        <w:spacing w:after="120"/>
      </w:pPr>
      <w:r>
        <w:rPr>
          <w:rFonts w:ascii="Calibri" w:hAnsi="Calibri"/>
          <w:b/>
          <w:i w:val="0"/>
          <w:color w:val="F59E0B"/>
          <w:sz w:val="22"/>
        </w:rPr>
        <w:t>⚠️ Cumulatieve Acute Toxiciteit</w:t>
      </w:r>
    </w:p>
    <w:p>
      <w:pPr>
        <w:spacing w:after="120"/>
      </w:pPr>
      <w:r>
        <w:rPr>
          <w:rFonts w:ascii="Calibri" w:hAnsi="Calibri"/>
          <w:b w:val="0"/>
          <w:i w:val="0"/>
          <w:sz w:val="20"/>
        </w:rPr>
        <w:t>Meerdere acuut toxische stoffen: Benzene (Cat. 3), Benzene (Cat. 3), Benzene (Cat. 3). PGS 15 hanteert een cumulatiebeginsel: stoffen met Acute Tox. Cat. 1-3 worden gezamenlijk opgeteld bij de CLP-route. De gecombineerde hoeveelheid bepaalt het vereiste veiligheidsniveau.</w:t>
      </w:r>
    </w:p>
    <w:p/>
    <w:p/>
    <w:p>
      <w:pPr>
        <w:spacing w:after="120"/>
      </w:pPr>
      <w:r>
        <w:rPr>
          <w:rFonts w:ascii="Calibri" w:hAnsi="Calibri"/>
          <w:b/>
          <w:i w:val="0"/>
          <w:sz w:val="22"/>
        </w:rPr>
        <w:t>Extra eisen door combinatie:</w:t>
      </w:r>
    </w:p>
    <w:p>
      <w:pPr>
        <w:spacing w:after="120"/>
      </w:pPr>
      <w:r>
        <w:rPr>
          <w:rFonts w:ascii="Calibri" w:hAnsi="Calibri"/>
          <w:b w:val="0"/>
          <w:i w:val="0"/>
          <w:sz w:val="20"/>
        </w:rPr>
        <w:t>• CMR-stoffen vereisen extra labelvoorschriften en registratie (ARBO-catalogus)</w:t>
      </w:r>
    </w:p>
    <w:p>
      <w:pPr>
        <w:spacing w:after="120"/>
      </w:pPr>
      <w:r>
        <w:rPr>
          <w:rFonts w:ascii="Calibri" w:hAnsi="Calibri"/>
          <w:b w:val="0"/>
          <w:i w:val="0"/>
          <w:sz w:val="20"/>
        </w:rPr>
        <w:t>• Acuut toxische stoffen vereisen nooddouche/oogspoeling binnen 10 seconden (M115)</w:t>
      </w:r>
    </w:p>
    <w:p>
      <w:pPr>
        <w:pStyle w:val="Heading1"/>
      </w:pPr>
      <w:r>
        <w:t>4. Conclusie</w:t>
      </w:r>
    </w:p>
    <w:p>
      <w:pPr>
        <w:spacing w:after="120"/>
      </w:pPr>
      <w:r>
        <w:rPr>
          <w:rFonts w:ascii="Calibri" w:hAnsi="Calibri"/>
          <w:b w:val="0"/>
          <w:i w:val="0"/>
          <w:sz w:val="22"/>
        </w:rPr>
        <w:t>Met een geaggregeerd veiligheidsniveau C gelden de maatregelen van niveau Basis en C.</w:t>
      </w:r>
    </w:p>
    <w:p/>
    <w:p>
      <w:pPr>
        <w:spacing w:after="120"/>
      </w:pPr>
      <w:r>
        <w:rPr>
          <w:rFonts w:ascii="Calibri" w:hAnsi="Calibri"/>
          <w:b w:val="0"/>
          <w:i/>
          <w:color w:val="374151"/>
          <w:sz w:val="18"/>
        </w:rPr>
        <w:t>Dit rapport is automatisch gegenereerd door de JvG Consultancy PGS 15 Compliance Scanner. Raadpleeg altijd de volledige PGS 15:2025 publicatie voor de definitieve tekst van de voorschriften.</w:t>
      </w:r>
    </w:p>
    <w:sectPr w:rsidR="00FC693F" w:rsidRPr="0006063C" w:rsidSect="00034616">
      <w:headerReference w:type="default" r:id="rId10"/>
      <w:footerReference w:type="default" r:id="rId11"/>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PGS 15:2025 Compliance Rapport — Vertrouwelijk</w:t>
    </w:r>
  </w:p>
  <w:p>
    <w:pPr>
      <w:jc w:val="center"/>
    </w:pPr>
    <w:r>
      <w:rPr>
        <w:color w:val="374151"/>
        <w:sz w:val="16"/>
      </w:rPr>
      <w:t xml:space="preserve">Pagina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9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