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6"/>
        </w:rPr>
        <w:t>PGS-15 Basishandleiding</w:t>
      </w:r>
    </w:p>
    <w:p>
      <w:pPr>
        <w:jc w:val="center"/>
      </w:pPr>
      <w:r>
        <w:rPr>
          <w:color w:val="003366"/>
          <w:sz w:val="36"/>
        </w:rPr>
        <w:t>Opslag van Verpakte Gevaarlijke Stoffen</w:t>
      </w:r>
    </w:p>
    <w:p/>
    <w:p>
      <w:pPr>
        <w:jc w:val="center"/>
      </w:pPr>
      <w:r>
        <w:rPr>
          <w:sz w:val="28"/>
        </w:rPr>
        <w:t>Versie 2.0 — April 2026</w:t>
      </w:r>
    </w:p>
    <w:p/>
    <w:p>
      <w:pPr>
        <w:jc w:val="center"/>
      </w:pPr>
      <w:r>
        <w:rPr>
          <w:i/>
          <w:sz w:val="22"/>
        </w:rPr>
        <w:t>Bron: PGS 15:2025 versie 1.0 (januari 2025)</w:t>
        <w:br/>
        <w:t>Vastgesteld door BOb op 16 januari 2025</w:t>
      </w:r>
    </w:p>
    <w:p/>
    <w:p/>
    <w:p/>
    <w:p/>
    <w:p>
      <w:pPr>
        <w:jc w:val="center"/>
      </w:pPr>
      <w:r>
        <w:rPr>
          <w:sz w:val="22"/>
        </w:rPr>
        <w:t>Doelgroep: HSE-medewerkers, operationeel managers, auditors, veiligheidsadviseurs</w:t>
      </w:r>
    </w:p>
    <w:p>
      <w:r>
        <w:br w:type="page"/>
      </w:r>
    </w:p>
    <w:p>
      <w:pPr>
        <w:pStyle w:val="Heading1"/>
      </w:pPr>
      <w:r>
        <w:t>Hoofdstuk 1 — Wat is PGS-15?</w:t>
      </w:r>
    </w:p>
    <w:p>
      <w:pPr>
        <w:pStyle w:val="Heading2"/>
      </w:pPr>
      <w:r>
        <w:t>1.1 De Publicatiereeks Gevaarlijke Stoffen</w:t>
      </w:r>
    </w:p>
    <w:p>
      <w:r>
        <w:rPr>
          <w:b w:val="0"/>
          <w:i w:val="0"/>
          <w:sz w:val="22"/>
        </w:rPr>
        <w:t>De Publicatiereeks Gevaarlijke Stoffen (PGS) is een verzameling richtlijnen voor bedrijven die gevaarlijke stoffen produceren, transporteren, opslaan of gebruiken, en voor overheden belast met vergunningverlening en toezicht. De reeks integreert arbeidsveiligheid, omgevingsveiligheid, brandpreventie en rampenbestrijding in één samenhangend kader. [PGS 15:2025 — Inleiding]</w:t>
      </w:r>
    </w:p>
    <w:p>
      <w:r>
        <w:rPr>
          <w:b w:val="0"/>
          <w:i w:val="0"/>
          <w:sz w:val="22"/>
        </w:rPr>
        <w:t>PGS 15:2025 is uitgevoerd in de PGS Nieuwe Stijl. Dit betekent dat alle maatregelen tot stand zijn gekomen op basis van een transparante risicobenadering met scenario's, doelen en maatregelen. De richtlijn is vastgesteld door de Stuurgroep op 5 december 2024 en door het Bestuurlijk Omgevingsberaar (BOb) op 16 januari 2025. [PGS 15:2025 — Inleiding]</w:t>
      </w:r>
    </w:p>
    <w:p>
      <w:pPr>
        <w:pStyle w:val="Heading2"/>
      </w:pPr>
      <w:r>
        <w:t>1.2 PGS-15:2025 — De huidige versie</w:t>
      </w:r>
    </w:p>
    <w:p>
      <w:r>
        <w:rPr>
          <w:b w:val="0"/>
          <w:i w:val="0"/>
          <w:sz w:val="22"/>
        </w:rPr>
        <w:t>PGS 15 beschrijft de technische en organisatorische maatregelen voor de opslag van verpakte gevaarlijke stoffen. De richtlijn behandelt arbeidsveiligheid, omgevingsveiligheid, brandpreventie en rampenbestrijding. De indeling van gevaarlijke stoffen is gebaseerd op de vervoerswetgeving (ADR). [PGS 15:2025 — §1.1]</w:t>
      </w:r>
    </w:p>
    <w:p>
      <w:r>
        <w:rPr>
          <w:b/>
          <w:i w:val="0"/>
          <w:sz w:val="22"/>
        </w:rPr>
        <w:t>PGS 15:2025 volgt de Nieuwe Stijl-methodiek:</w:t>
      </w:r>
    </w:p>
    <w:p>
      <w:r>
        <w:rPr>
          <w:b w:val="0"/>
          <w:i w:val="0"/>
          <w:sz w:val="22"/>
        </w:rPr>
        <w:t>1. Wettelijke kaders</w:t>
        <w:br/>
        <w:t>2. Risicobenadering met scenario's (S1–S15)</w:t>
        <w:br/>
        <w:t>3. Doelen (D1–D12)</w:t>
        <w:br/>
        <w:t>4. Maatregelen (M1–M164, MW1)</w:t>
      </w:r>
    </w:p>
    <w:p>
      <w:r>
        <w:rPr>
          <w:b/>
          <w:i w:val="0"/>
          <w:sz w:val="22"/>
        </w:rPr>
        <w:t>Belangrijkste wijzigingen versus PGS 15:2021:</w:t>
      </w:r>
    </w:p>
    <w:p>
      <w:r>
        <w:rPr>
          <w:b w:val="0"/>
          <w:i w:val="0"/>
          <w:sz w:val="22"/>
        </w:rPr>
        <w:t>• Structuur gewijzigd van beschermingsniveaus (1, 2, 2a, 3, 4) naar veiligheidsniveaus (Basis, A, B, C)</w:t>
        <w:br/>
        <w:t>• Onderscheid inpandig/uitpandig vervallen; vervangen door binnenopslag/buitenopslag</w:t>
        <w:br/>
        <w:t>• Scenario-benadering geïntroduceerd met oorzaak- en gevolgscenario's</w:t>
        <w:br/>
        <w:t>• Maatregelen gecodeerd (M1–M164) en gefilterd op categorie (Tabel 5)</w:t>
        <w:br/>
        <w:t>• 12 nieuwe maatregelen toegevoegd</w:t>
        <w:br/>
        <w:t>• Diverse maatregelen samengevoegd en geactualiseerd (Bijlage I)</w:t>
      </w:r>
    </w:p>
    <w:p>
      <w:pPr>
        <w:pStyle w:val="Heading2"/>
      </w:pPr>
      <w:r>
        <w:t>1.3 Relatie tot de Omgevingswet en het BAL</w:t>
      </w:r>
    </w:p>
    <w:p>
      <w:r>
        <w:rPr>
          <w:b w:val="0"/>
          <w:i w:val="0"/>
          <w:sz w:val="22"/>
        </w:rPr>
        <w:t>De PGS-richtlijnen krijgen juridische kracht doordat ze worden opgenomen in omgevingsvergunningen of direct werkend zijn via het Besluit activiteiten leefomgeving (Bal). [PGS 15:2025 — §1.3, §5.2]</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b/>
                <w:color w:val="FFFFFF"/>
                <w:sz w:val="20"/>
              </w:rPr>
              <w:t>Onderwerp</w:t>
            </w:r>
          </w:p>
        </w:tc>
        <w:tc>
          <w:tcPr>
            <w:tcW w:type="dxa" w:w="4703"/>
            <w:shd w:fill="003366"/>
          </w:tcPr>
          <w:p>
            <w:r>
              <w:rPr>
                <w:b/>
                <w:color w:val="FFFFFF"/>
                <w:sz w:val="20"/>
              </w:rPr>
              <w:t>Toepassing</w:t>
            </w:r>
          </w:p>
        </w:tc>
      </w:tr>
      <w:tr>
        <w:tc>
          <w:tcPr>
            <w:tcW w:type="dxa" w:w="4703"/>
          </w:tcPr>
          <w:p>
            <w:r>
              <w:rPr>
                <w:sz w:val="20"/>
              </w:rPr>
              <w:t>Bal art. 3.27</w:t>
            </w:r>
          </w:p>
        </w:tc>
        <w:tc>
          <w:tcPr>
            <w:tcW w:type="dxa" w:w="4703"/>
          </w:tcPr>
          <w:p>
            <w:r>
              <w:rPr>
                <w:sz w:val="20"/>
              </w:rPr>
              <w:t>Stelt ondergrenzen voor opslag van gevaarlijke stoffen</w:t>
            </w:r>
          </w:p>
        </w:tc>
      </w:tr>
      <w:tr>
        <w:tc>
          <w:tcPr>
            <w:tcW w:type="dxa" w:w="4703"/>
            <w:shd w:fill="F2F2F2"/>
          </w:tcPr>
          <w:p>
            <w:r>
              <w:rPr>
                <w:sz w:val="20"/>
              </w:rPr>
              <w:t>Bal art. 4.1012</w:t>
            </w:r>
          </w:p>
        </w:tc>
        <w:tc>
          <w:tcPr>
            <w:tcW w:type="dxa" w:w="4703"/>
            <w:shd w:fill="F2F2F2"/>
          </w:tcPr>
          <w:p>
            <w:r>
              <w:rPr>
                <w:sz w:val="20"/>
              </w:rPr>
              <w:t>Bevat vrijstellingsgrondslagen</w:t>
            </w:r>
          </w:p>
        </w:tc>
      </w:tr>
      <w:tr>
        <w:tc>
          <w:tcPr>
            <w:tcW w:type="dxa" w:w="4703"/>
          </w:tcPr>
          <w:p>
            <w:r>
              <w:rPr>
                <w:sz w:val="20"/>
              </w:rPr>
              <w:t>Bkl</w:t>
            </w:r>
          </w:p>
        </w:tc>
        <w:tc>
          <w:tcPr>
            <w:tcW w:type="dxa" w:w="4703"/>
          </w:tcPr>
          <w:p>
            <w:r>
              <w:rPr>
                <w:sz w:val="20"/>
              </w:rPr>
              <w:t>PGS 15 aangewezen als BBT-document</w:t>
            </w:r>
          </w:p>
        </w:tc>
      </w:tr>
      <w:tr>
        <w:tc>
          <w:tcPr>
            <w:tcW w:type="dxa" w:w="4703"/>
            <w:shd w:fill="F2F2F2"/>
          </w:tcPr>
          <w:p>
            <w:r>
              <w:rPr>
                <w:sz w:val="20"/>
              </w:rPr>
              <w:t>Arbeidsinspectie</w:t>
            </w:r>
          </w:p>
        </w:tc>
        <w:tc>
          <w:tcPr>
            <w:tcW w:type="dxa" w:w="4703"/>
            <w:shd w:fill="F2F2F2"/>
          </w:tcPr>
          <w:p>
            <w:r>
              <w:rPr>
                <w:sz w:val="20"/>
              </w:rPr>
              <w:t>PGS 15 als toezichtkader</w:t>
            </w:r>
          </w:p>
        </w:tc>
      </w:tr>
      <w:tr>
        <w:tc>
          <w:tcPr>
            <w:tcW w:type="dxa" w:w="4703"/>
          </w:tcPr>
          <w:p>
            <w:r>
              <w:rPr>
                <w:sz w:val="20"/>
              </w:rPr>
              <w:t>Veiligheidsregio's</w:t>
            </w:r>
          </w:p>
        </w:tc>
        <w:tc>
          <w:tcPr>
            <w:tcW w:type="dxa" w:w="4703"/>
          </w:tcPr>
          <w:p>
            <w:r>
              <w:rPr>
                <w:sz w:val="20"/>
              </w:rPr>
              <w:t>Adviesrol bij brandveiligheid en rampenbestrijding</w:t>
            </w:r>
          </w:p>
        </w:tc>
      </w:tr>
    </w:tbl>
    <w:p/>
    <w:p>
      <w:pPr>
        <w:pStyle w:val="Heading2"/>
      </w:pPr>
      <w:r>
        <w:t>1.4 Relatie tot het ADR</w:t>
      </w:r>
    </w:p>
    <w:p>
      <w:r>
        <w:rPr>
          <w:b w:val="0"/>
          <w:i w:val="0"/>
          <w:sz w:val="22"/>
        </w:rPr>
        <w:t>Het ADR vormt de basis voor de stoffenindeling. De ADR-klassen en verpakkingsgroepen bepalen welke eisen van toepassing zijn. Gelijkwaardige maatregelen zijn toegestaan indien aantoonbaar gelijkwaardige bescherming wordt bereikt (Hoofdstuk 8). [PGS 15:2025 — §1.2, §8]</w:t>
      </w:r>
    </w:p>
    <w:p>
      <w:r>
        <w:br w:type="page"/>
      </w:r>
    </w:p>
    <w:p>
      <w:pPr>
        <w:pStyle w:val="Heading1"/>
      </w:pPr>
      <w:r>
        <w:t>Hoofdstuk 2 — Wanneer is PGS-15 van toepassing?</w:t>
      </w:r>
    </w:p>
    <w:p>
      <w:pPr>
        <w:pStyle w:val="Heading2"/>
      </w:pPr>
      <w:r>
        <w:t>2.1 Stoffen die onder de werkingssfeer vallen</w:t>
      </w:r>
    </w:p>
    <w:p>
      <w:r>
        <w:rPr>
          <w:b w:val="0"/>
          <w:i w:val="0"/>
          <w:sz w:val="22"/>
        </w:rPr>
        <w:t>PGS 15:2025 is van toepassing op de opslag en tijdelijke opslag van de volgende categorieën (Tabel 1): [PGS 15:2025 — §1.2, Tabel 1]</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ADR-klasse</w:t>
            </w:r>
          </w:p>
        </w:tc>
        <w:tc>
          <w:tcPr>
            <w:tcW w:type="dxa" w:w="3135"/>
            <w:shd w:fill="003366"/>
          </w:tcPr>
          <w:p>
            <w:r>
              <w:rPr>
                <w:b/>
                <w:color w:val="FFFFFF"/>
                <w:sz w:val="20"/>
              </w:rPr>
              <w:t>Omschrijving</w:t>
            </w:r>
          </w:p>
        </w:tc>
        <w:tc>
          <w:tcPr>
            <w:tcW w:type="dxa" w:w="3135"/>
            <w:shd w:fill="003366"/>
          </w:tcPr>
          <w:p>
            <w:r>
              <w:rPr>
                <w:b/>
                <w:color w:val="FFFFFF"/>
                <w:sz w:val="20"/>
              </w:rPr>
              <w:t>Voorwaarden</w:t>
            </w:r>
          </w:p>
        </w:tc>
      </w:tr>
      <w:tr>
        <w:tc>
          <w:tcPr>
            <w:tcW w:type="dxa" w:w="3135"/>
          </w:tcPr>
          <w:p>
            <w:r>
              <w:rPr>
                <w:sz w:val="20"/>
              </w:rPr>
              <w:t>2</w:t>
            </w:r>
          </w:p>
        </w:tc>
        <w:tc>
          <w:tcPr>
            <w:tcW w:type="dxa" w:w="3135"/>
          </w:tcPr>
          <w:p>
            <w:r>
              <w:rPr>
                <w:sz w:val="20"/>
              </w:rPr>
              <w:t>Alle drukhouders (gasflessen, spuitbussen, canisters)</w:t>
            </w:r>
          </w:p>
        </w:tc>
        <w:tc>
          <w:tcPr>
            <w:tcW w:type="dxa" w:w="3135"/>
          </w:tcPr>
          <w:p>
            <w:r>
              <w:rPr>
                <w:sz w:val="20"/>
              </w:rPr>
              <w:t>M.u.v. cryohouders, blusgassen, ademluchtflessen</w:t>
            </w:r>
          </w:p>
        </w:tc>
      </w:tr>
      <w:tr>
        <w:tc>
          <w:tcPr>
            <w:tcW w:type="dxa" w:w="3135"/>
            <w:shd w:fill="F2F2F2"/>
          </w:tcPr>
          <w:p>
            <w:r>
              <w:rPr>
                <w:sz w:val="20"/>
              </w:rPr>
              <w:t>3</w:t>
            </w:r>
          </w:p>
        </w:tc>
        <w:tc>
          <w:tcPr>
            <w:tcW w:type="dxa" w:w="3135"/>
            <w:shd w:fill="F2F2F2"/>
          </w:tcPr>
          <w:p>
            <w:r>
              <w:rPr>
                <w:sz w:val="20"/>
              </w:rPr>
              <w:t>Brandbare vloeistoffen</w:t>
            </w:r>
          </w:p>
        </w:tc>
        <w:tc>
          <w:tcPr>
            <w:tcW w:type="dxa" w:w="3135"/>
            <w:shd w:fill="F2F2F2"/>
          </w:tcPr>
          <w:p>
            <w:r>
              <w:rPr>
                <w:sz w:val="20"/>
              </w:rPr>
              <w:t>M.u.v. diesel/vlampunt ≥55°C, viscositeitsregel ADR</w:t>
            </w:r>
          </w:p>
        </w:tc>
      </w:tr>
      <w:tr>
        <w:tc>
          <w:tcPr>
            <w:tcW w:type="dxa" w:w="3135"/>
          </w:tcPr>
          <w:p>
            <w:r>
              <w:rPr>
                <w:sz w:val="20"/>
              </w:rPr>
              <w:t>4.1</w:t>
            </w:r>
          </w:p>
        </w:tc>
        <w:tc>
          <w:tcPr>
            <w:tcW w:type="dxa" w:w="3135"/>
          </w:tcPr>
          <w:p>
            <w:r>
              <w:rPr>
                <w:sz w:val="20"/>
              </w:rPr>
              <w:t>Brandbare vaste stoffen</w:t>
            </w:r>
          </w:p>
        </w:tc>
        <w:tc>
          <w:tcPr>
            <w:tcW w:type="dxa" w:w="3135"/>
          </w:tcPr>
          <w:p>
            <w:r>
              <w:rPr>
                <w:sz w:val="20"/>
              </w:rPr>
              <w:t>Alle stoffen</w:t>
            </w:r>
          </w:p>
        </w:tc>
      </w:tr>
      <w:tr>
        <w:tc>
          <w:tcPr>
            <w:tcW w:type="dxa" w:w="3135"/>
            <w:shd w:fill="F2F2F2"/>
          </w:tcPr>
          <w:p>
            <w:r>
              <w:rPr>
                <w:sz w:val="20"/>
              </w:rPr>
              <w:t>4.2</w:t>
            </w:r>
          </w:p>
        </w:tc>
        <w:tc>
          <w:tcPr>
            <w:tcW w:type="dxa" w:w="3135"/>
            <w:shd w:fill="F2F2F2"/>
          </w:tcPr>
          <w:p>
            <w:r>
              <w:rPr>
                <w:sz w:val="20"/>
              </w:rPr>
              <w:t>Zelfontbranding vatbare stoffen</w:t>
            </w:r>
          </w:p>
        </w:tc>
        <w:tc>
          <w:tcPr>
            <w:tcW w:type="dxa" w:w="3135"/>
            <w:shd w:fill="F2F2F2"/>
          </w:tcPr>
          <w:p>
            <w:r>
              <w:rPr>
                <w:sz w:val="20"/>
              </w:rPr>
              <w:t>Alle stoffen</w:t>
            </w:r>
          </w:p>
        </w:tc>
      </w:tr>
      <w:tr>
        <w:tc>
          <w:tcPr>
            <w:tcW w:type="dxa" w:w="3135"/>
          </w:tcPr>
          <w:p>
            <w:r>
              <w:rPr>
                <w:sz w:val="20"/>
              </w:rPr>
              <w:t>4.3</w:t>
            </w:r>
          </w:p>
        </w:tc>
        <w:tc>
          <w:tcPr>
            <w:tcW w:type="dxa" w:w="3135"/>
          </w:tcPr>
          <w:p>
            <w:r>
              <w:rPr>
                <w:sz w:val="20"/>
              </w:rPr>
              <w:t>Stoffen + water → brandbare gassen</w:t>
            </w:r>
          </w:p>
        </w:tc>
        <w:tc>
          <w:tcPr>
            <w:tcW w:type="dxa" w:w="3135"/>
          </w:tcPr>
          <w:p>
            <w:r>
              <w:rPr>
                <w:sz w:val="20"/>
              </w:rPr>
              <w:t>Alle stoffen</w:t>
            </w:r>
          </w:p>
        </w:tc>
      </w:tr>
      <w:tr>
        <w:tc>
          <w:tcPr>
            <w:tcW w:type="dxa" w:w="3135"/>
            <w:shd w:fill="F2F2F2"/>
          </w:tcPr>
          <w:p>
            <w:r>
              <w:rPr>
                <w:sz w:val="20"/>
              </w:rPr>
              <w:t>5.1</w:t>
            </w:r>
          </w:p>
        </w:tc>
        <w:tc>
          <w:tcPr>
            <w:tcW w:type="dxa" w:w="3135"/>
            <w:shd w:fill="F2F2F2"/>
          </w:tcPr>
          <w:p>
            <w:r>
              <w:rPr>
                <w:sz w:val="20"/>
              </w:rPr>
              <w:t>Oxiderende stoffen</w:t>
            </w:r>
          </w:p>
        </w:tc>
        <w:tc>
          <w:tcPr>
            <w:tcW w:type="dxa" w:w="3135"/>
            <w:shd w:fill="F2F2F2"/>
          </w:tcPr>
          <w:p>
            <w:r>
              <w:rPr>
                <w:sz w:val="20"/>
              </w:rPr>
              <w:t>M.u.v. vaste minerale anorganische meststoffen</w:t>
            </w:r>
          </w:p>
        </w:tc>
      </w:tr>
      <w:tr>
        <w:tc>
          <w:tcPr>
            <w:tcW w:type="dxa" w:w="3135"/>
          </w:tcPr>
          <w:p>
            <w:r>
              <w:rPr>
                <w:sz w:val="20"/>
              </w:rPr>
              <w:t>5.2</w:t>
            </w:r>
          </w:p>
        </w:tc>
        <w:tc>
          <w:tcPr>
            <w:tcW w:type="dxa" w:w="3135"/>
          </w:tcPr>
          <w:p>
            <w:r>
              <w:rPr>
                <w:sz w:val="20"/>
              </w:rPr>
              <w:t>Organische peroxiden</w:t>
            </w:r>
          </w:p>
        </w:tc>
        <w:tc>
          <w:tcPr>
            <w:tcW w:type="dxa" w:w="3135"/>
          </w:tcPr>
          <w:p>
            <w:r>
              <w:rPr>
                <w:sz w:val="20"/>
              </w:rPr>
              <w:t>Uitsluitend LQ tot max. 1.000 kg</w:t>
            </w:r>
          </w:p>
        </w:tc>
      </w:tr>
      <w:tr>
        <w:tc>
          <w:tcPr>
            <w:tcW w:type="dxa" w:w="3135"/>
            <w:shd w:fill="F2F2F2"/>
          </w:tcPr>
          <w:p>
            <w:r>
              <w:rPr>
                <w:sz w:val="20"/>
              </w:rPr>
              <w:t>6.1</w:t>
            </w:r>
          </w:p>
        </w:tc>
        <w:tc>
          <w:tcPr>
            <w:tcW w:type="dxa" w:w="3135"/>
            <w:shd w:fill="F2F2F2"/>
          </w:tcPr>
          <w:p>
            <w:r>
              <w:rPr>
                <w:sz w:val="20"/>
              </w:rPr>
              <w:t>Giftige stoffen</w:t>
            </w:r>
          </w:p>
        </w:tc>
        <w:tc>
          <w:tcPr>
            <w:tcW w:type="dxa" w:w="3135"/>
            <w:shd w:fill="F2F2F2"/>
          </w:tcPr>
          <w:p>
            <w:r>
              <w:rPr>
                <w:sz w:val="20"/>
              </w:rPr>
              <w:t>Alle stoffen</w:t>
            </w:r>
          </w:p>
        </w:tc>
      </w:tr>
      <w:tr>
        <w:tc>
          <w:tcPr>
            <w:tcW w:type="dxa" w:w="3135"/>
          </w:tcPr>
          <w:p>
            <w:r>
              <w:rPr>
                <w:sz w:val="20"/>
              </w:rPr>
              <w:t>6.2</w:t>
            </w:r>
          </w:p>
        </w:tc>
        <w:tc>
          <w:tcPr>
            <w:tcW w:type="dxa" w:w="3135"/>
          </w:tcPr>
          <w:p>
            <w:r>
              <w:rPr>
                <w:sz w:val="20"/>
              </w:rPr>
              <w:t>Infectueuze stoffen</w:t>
            </w:r>
          </w:p>
        </w:tc>
        <w:tc>
          <w:tcPr>
            <w:tcW w:type="dxa" w:w="3135"/>
          </w:tcPr>
          <w:p>
            <w:r>
              <w:rPr>
                <w:sz w:val="20"/>
              </w:rPr>
              <w:t>Cat. I1–I4</w:t>
            </w:r>
          </w:p>
        </w:tc>
      </w:tr>
      <w:tr>
        <w:tc>
          <w:tcPr>
            <w:tcW w:type="dxa" w:w="3135"/>
            <w:shd w:fill="F2F2F2"/>
          </w:tcPr>
          <w:p>
            <w:r>
              <w:rPr>
                <w:sz w:val="20"/>
              </w:rPr>
              <w:t>8</w:t>
            </w:r>
          </w:p>
        </w:tc>
        <w:tc>
          <w:tcPr>
            <w:tcW w:type="dxa" w:w="3135"/>
            <w:shd w:fill="F2F2F2"/>
          </w:tcPr>
          <w:p>
            <w:r>
              <w:rPr>
                <w:sz w:val="20"/>
              </w:rPr>
              <w:t>Bijtende stoffen</w:t>
            </w:r>
          </w:p>
        </w:tc>
        <w:tc>
          <w:tcPr>
            <w:tcW w:type="dxa" w:w="3135"/>
            <w:shd w:fill="F2F2F2"/>
          </w:tcPr>
          <w:p>
            <w:r>
              <w:rPr>
                <w:sz w:val="20"/>
              </w:rPr>
              <w:t>Alle stoffen</w:t>
            </w:r>
          </w:p>
        </w:tc>
      </w:tr>
      <w:tr>
        <w:tc>
          <w:tcPr>
            <w:tcW w:type="dxa" w:w="3135"/>
          </w:tcPr>
          <w:p>
            <w:r>
              <w:rPr>
                <w:sz w:val="20"/>
              </w:rPr>
              <w:t>9</w:t>
            </w:r>
          </w:p>
        </w:tc>
        <w:tc>
          <w:tcPr>
            <w:tcW w:type="dxa" w:w="3135"/>
          </w:tcPr>
          <w:p>
            <w:r>
              <w:rPr>
                <w:sz w:val="20"/>
              </w:rPr>
              <w:t>Milieugevaarlijke stoffen</w:t>
            </w:r>
          </w:p>
        </w:tc>
        <w:tc>
          <w:tcPr>
            <w:tcW w:type="dxa" w:w="3135"/>
          </w:tcPr>
          <w:p>
            <w:r>
              <w:rPr>
                <w:sz w:val="20"/>
              </w:rPr>
              <w:t>Uitsluitend M6 (UN 3082) en M7 (UN 3077)</w:t>
            </w:r>
          </w:p>
        </w:tc>
      </w:tr>
      <w:tr>
        <w:tc>
          <w:tcPr>
            <w:tcW w:type="dxa" w:w="3135"/>
            <w:shd w:fill="F2F2F2"/>
          </w:tcPr>
          <w:p>
            <w:r>
              <w:rPr>
                <w:sz w:val="20"/>
              </w:rPr>
              <w:t>CMR/CLP</w:t>
            </w:r>
          </w:p>
        </w:tc>
        <w:tc>
          <w:tcPr>
            <w:tcW w:type="dxa" w:w="3135"/>
            <w:shd w:fill="F2F2F2"/>
          </w:tcPr>
          <w:p>
            <w:r>
              <w:rPr>
                <w:sz w:val="20"/>
              </w:rPr>
              <w:t>Carcinogeen, mutageen, reprotoxisch</w:t>
            </w:r>
          </w:p>
        </w:tc>
        <w:tc>
          <w:tcPr>
            <w:tcW w:type="dxa" w:w="3135"/>
            <w:shd w:fill="F2F2F2"/>
          </w:tcPr>
          <w:p>
            <w:r>
              <w:rPr>
                <w:sz w:val="20"/>
              </w:rPr>
              <w:t>Zonder ADR-klasse</w:t>
            </w:r>
          </w:p>
        </w:tc>
      </w:tr>
    </w:tbl>
    <w:p/>
    <w:p>
      <w:pPr>
        <w:pStyle w:val="Heading2"/>
      </w:pPr>
      <w:r>
        <w:t>2.2 Stoffen die NIET onder de werkingssfeer vallen</w:t>
      </w:r>
    </w:p>
    <w:p>
      <w:r>
        <w:rPr>
          <w:b w:val="0"/>
          <w:i w:val="0"/>
          <w:sz w:val="22"/>
        </w:rPr>
        <w:t>• ADR-klasse 1: Ontplofbare stoffen</w:t>
        <w:br/>
        <w:t>• ADR-klasse 7: Radioactieve stoffen</w:t>
        <w:br/>
        <w:t>• ADR-klasse 5.2 (overige): PGS 8</w:t>
        <w:br/>
        <w:t>• Lithiumhoudende energiedragers: PGS 37-2</w:t>
        <w:br/>
        <w:t>• Vaste minerale anorganische meststoffen: PGS 7</w:t>
        <w:br/>
        <w:t>• Gewasbeschermingsmiddelen &lt;400 kg</w:t>
        <w:br/>
        <w:t>• Acuut toxische stoffen CLP cat. 1-3</w:t>
        <w:br/>
        <w:t>• Vrijgestelde hoeveelheden conform ADR</w:t>
      </w:r>
    </w:p>
    <w:p>
      <w:pPr>
        <w:pStyle w:val="Heading2"/>
      </w:pPr>
      <w:r>
        <w:t>2.3 Ondergrenzen</w:t>
      </w:r>
    </w:p>
    <w:p>
      <w:r>
        <w:rPr>
          <w:b w:val="0"/>
          <w:i w:val="0"/>
          <w:sz w:val="22"/>
        </w:rPr>
        <w:t>Wanneer een ondergrens wordt overschreden, gelden alle PGS 15-maatregelen voor alle opgeslagen stoffen binnen de activiteit. [PGS 15:2025 — §1.2.1, Tabel 2]</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Gevaar conform ADR-klasse</w:t>
            </w:r>
          </w:p>
        </w:tc>
        <w:tc>
          <w:tcPr>
            <w:tcW w:type="dxa" w:w="3135"/>
            <w:shd w:fill="003366"/>
          </w:tcPr>
          <w:p>
            <w:r>
              <w:rPr>
                <w:b/>
                <w:color w:val="FFFFFF"/>
                <w:sz w:val="20"/>
              </w:rPr>
              <w:t>Verpakkingsgroep</w:t>
            </w:r>
          </w:p>
        </w:tc>
        <w:tc>
          <w:tcPr>
            <w:tcW w:type="dxa" w:w="3135"/>
            <w:shd w:fill="003366"/>
          </w:tcPr>
          <w:p>
            <w:r>
              <w:rPr>
                <w:b/>
                <w:color w:val="FFFFFF"/>
                <w:sz w:val="20"/>
              </w:rPr>
              <w:t>Ondergrens</w:t>
            </w:r>
          </w:p>
        </w:tc>
      </w:tr>
      <w:tr>
        <w:tc>
          <w:tcPr>
            <w:tcW w:type="dxa" w:w="3135"/>
          </w:tcPr>
          <w:p>
            <w:r>
              <w:rPr>
                <w:sz w:val="20"/>
              </w:rPr>
              <w:t>Alle ADR-klassen</w:t>
            </w:r>
          </w:p>
        </w:tc>
        <w:tc>
          <w:tcPr>
            <w:tcW w:type="dxa" w:w="3135"/>
          </w:tcPr>
          <w:p>
            <w:r>
              <w:rPr>
                <w:sz w:val="20"/>
              </w:rPr>
              <w:t>I</w:t>
            </w:r>
          </w:p>
        </w:tc>
        <w:tc>
          <w:tcPr>
            <w:tcW w:type="dxa" w:w="3135"/>
          </w:tcPr>
          <w:p>
            <w:r>
              <w:rPr>
                <w:sz w:val="20"/>
              </w:rPr>
              <w:t>1 kg</w:t>
            </w:r>
          </w:p>
        </w:tc>
      </w:tr>
      <w:tr>
        <w:tc>
          <w:tcPr>
            <w:tcW w:type="dxa" w:w="3135"/>
            <w:shd w:fill="F2F2F2"/>
          </w:tcPr>
          <w:p>
            <w:r>
              <w:rPr>
                <w:sz w:val="20"/>
              </w:rPr>
              <w:t>CMR-stoffen</w:t>
            </w:r>
          </w:p>
        </w:tc>
        <w:tc>
          <w:tcPr>
            <w:tcW w:type="dxa" w:w="3135"/>
            <w:shd w:fill="F2F2F2"/>
          </w:tcPr>
          <w:p>
            <w:r>
              <w:rPr>
                <w:sz w:val="20"/>
              </w:rPr>
              <w:t>n.v.t.</w:t>
            </w:r>
          </w:p>
        </w:tc>
        <w:tc>
          <w:tcPr>
            <w:tcW w:type="dxa" w:w="3135"/>
            <w:shd w:fill="F2F2F2"/>
          </w:tcPr>
          <w:p>
            <w:r>
              <w:rPr>
                <w:sz w:val="20"/>
              </w:rPr>
              <w:t>25 kg</w:t>
            </w:r>
          </w:p>
        </w:tc>
      </w:tr>
      <w:tr>
        <w:tc>
          <w:tcPr>
            <w:tcW w:type="dxa" w:w="3135"/>
          </w:tcPr>
          <w:p>
            <w:r>
              <w:rPr>
                <w:sz w:val="20"/>
              </w:rPr>
              <w:t>Acuut toxische CLP cat. 1-3</w:t>
            </w:r>
          </w:p>
        </w:tc>
        <w:tc>
          <w:tcPr>
            <w:tcW w:type="dxa" w:w="3135"/>
          </w:tcPr>
          <w:p>
            <w:r>
              <w:rPr>
                <w:sz w:val="20"/>
              </w:rPr>
              <w:t>n.v.t.</w:t>
            </w:r>
          </w:p>
        </w:tc>
        <w:tc>
          <w:tcPr>
            <w:tcW w:type="dxa" w:w="3135"/>
          </w:tcPr>
          <w:p>
            <w:r>
              <w:rPr>
                <w:sz w:val="20"/>
              </w:rPr>
              <w:t>1 kg</w:t>
            </w:r>
          </w:p>
        </w:tc>
      </w:tr>
      <w:tr>
        <w:tc>
          <w:tcPr>
            <w:tcW w:type="dxa" w:w="3135"/>
            <w:shd w:fill="F2F2F2"/>
          </w:tcPr>
          <w:p>
            <w:r>
              <w:rPr>
                <w:sz w:val="20"/>
              </w:rPr>
              <w:t>Klasse 2 spuitbussen/canisters</w:t>
            </w:r>
          </w:p>
        </w:tc>
        <w:tc>
          <w:tcPr>
            <w:tcW w:type="dxa" w:w="3135"/>
            <w:shd w:fill="F2F2F2"/>
          </w:tcPr>
          <w:p>
            <w:r>
              <w:rPr>
                <w:sz w:val="20"/>
              </w:rPr>
              <w:t>n.v.t.</w:t>
            </w:r>
          </w:p>
        </w:tc>
        <w:tc>
          <w:tcPr>
            <w:tcW w:type="dxa" w:w="3135"/>
            <w:shd w:fill="F2F2F2"/>
          </w:tcPr>
          <w:p>
            <w:r>
              <w:rPr>
                <w:sz w:val="20"/>
              </w:rPr>
              <w:t>50 kg</w:t>
            </w:r>
          </w:p>
        </w:tc>
      </w:tr>
      <w:tr>
        <w:tc>
          <w:tcPr>
            <w:tcW w:type="dxa" w:w="3135"/>
          </w:tcPr>
          <w:p>
            <w:r>
              <w:rPr>
                <w:sz w:val="20"/>
              </w:rPr>
              <w:t>Klasse 2.1 brandbare gassen (gasflessen)</w:t>
            </w:r>
          </w:p>
        </w:tc>
        <w:tc>
          <w:tcPr>
            <w:tcW w:type="dxa" w:w="3135"/>
          </w:tcPr>
          <w:p>
            <w:r>
              <w:rPr>
                <w:sz w:val="20"/>
              </w:rPr>
              <w:t>n.v.t.</w:t>
            </w:r>
          </w:p>
        </w:tc>
        <w:tc>
          <w:tcPr>
            <w:tcW w:type="dxa" w:w="3135"/>
          </w:tcPr>
          <w:p>
            <w:r>
              <w:rPr>
                <w:sz w:val="20"/>
              </w:rPr>
              <w:t>125 l</w:t>
            </w:r>
          </w:p>
        </w:tc>
      </w:tr>
      <w:tr>
        <w:tc>
          <w:tcPr>
            <w:tcW w:type="dxa" w:w="3135"/>
            <w:shd w:fill="F2F2F2"/>
          </w:tcPr>
          <w:p>
            <w:r>
              <w:rPr>
                <w:sz w:val="20"/>
              </w:rPr>
              <w:t>Klasse 2.3 giftige/bijtende gassen</w:t>
            </w:r>
          </w:p>
        </w:tc>
        <w:tc>
          <w:tcPr>
            <w:tcW w:type="dxa" w:w="3135"/>
            <w:shd w:fill="F2F2F2"/>
          </w:tcPr>
          <w:p>
            <w:r>
              <w:rPr>
                <w:sz w:val="20"/>
              </w:rPr>
              <w:t>n.v.t.</w:t>
            </w:r>
          </w:p>
        </w:tc>
        <w:tc>
          <w:tcPr>
            <w:tcW w:type="dxa" w:w="3135"/>
            <w:shd w:fill="F2F2F2"/>
          </w:tcPr>
          <w:p>
            <w:r>
              <w:rPr>
                <w:sz w:val="20"/>
              </w:rPr>
              <w:t>25 l</w:t>
            </w:r>
          </w:p>
        </w:tc>
      </w:tr>
      <w:tr>
        <w:tc>
          <w:tcPr>
            <w:tcW w:type="dxa" w:w="3135"/>
          </w:tcPr>
          <w:p>
            <w:r>
              <w:rPr>
                <w:sz w:val="20"/>
              </w:rPr>
              <w:t>Klasse 2 overige gassen</w:t>
            </w:r>
          </w:p>
        </w:tc>
        <w:tc>
          <w:tcPr>
            <w:tcW w:type="dxa" w:w="3135"/>
          </w:tcPr>
          <w:p>
            <w:r>
              <w:rPr>
                <w:sz w:val="20"/>
              </w:rPr>
              <w:t>n.v.t.</w:t>
            </w:r>
          </w:p>
        </w:tc>
        <w:tc>
          <w:tcPr>
            <w:tcW w:type="dxa" w:w="3135"/>
          </w:tcPr>
          <w:p>
            <w:r>
              <w:rPr>
                <w:sz w:val="20"/>
              </w:rPr>
              <w:t>125 l</w:t>
            </w:r>
          </w:p>
        </w:tc>
      </w:tr>
      <w:tr>
        <w:tc>
          <w:tcPr>
            <w:tcW w:type="dxa" w:w="3135"/>
            <w:shd w:fill="F2F2F2"/>
          </w:tcPr>
          <w:p>
            <w:r>
              <w:rPr>
                <w:sz w:val="20"/>
              </w:rPr>
              <w:t>Klasse 3 VG II</w:t>
            </w:r>
          </w:p>
        </w:tc>
        <w:tc>
          <w:tcPr>
            <w:tcW w:type="dxa" w:w="3135"/>
            <w:shd w:fill="F2F2F2"/>
          </w:tcPr>
          <w:p>
            <w:r>
              <w:rPr>
                <w:sz w:val="20"/>
              </w:rPr>
              <w:t>II</w:t>
            </w:r>
          </w:p>
        </w:tc>
        <w:tc>
          <w:tcPr>
            <w:tcW w:type="dxa" w:w="3135"/>
            <w:shd w:fill="F2F2F2"/>
          </w:tcPr>
          <w:p>
            <w:r>
              <w:rPr>
                <w:sz w:val="20"/>
              </w:rPr>
              <w:t>25 kg</w:t>
            </w:r>
          </w:p>
        </w:tc>
      </w:tr>
      <w:tr>
        <w:tc>
          <w:tcPr>
            <w:tcW w:type="dxa" w:w="3135"/>
          </w:tcPr>
          <w:p>
            <w:r>
              <w:rPr>
                <w:sz w:val="20"/>
              </w:rPr>
              <w:t>Klasse 3 VG III</w:t>
            </w:r>
          </w:p>
        </w:tc>
        <w:tc>
          <w:tcPr>
            <w:tcW w:type="dxa" w:w="3135"/>
          </w:tcPr>
          <w:p>
            <w:r>
              <w:rPr>
                <w:sz w:val="20"/>
              </w:rPr>
              <w:t>III</w:t>
            </w:r>
          </w:p>
        </w:tc>
        <w:tc>
          <w:tcPr>
            <w:tcW w:type="dxa" w:w="3135"/>
          </w:tcPr>
          <w:p>
            <w:r>
              <w:rPr>
                <w:sz w:val="20"/>
              </w:rPr>
              <w:t>50 kg</w:t>
            </w:r>
          </w:p>
        </w:tc>
      </w:tr>
      <w:tr>
        <w:tc>
          <w:tcPr>
            <w:tcW w:type="dxa" w:w="3135"/>
            <w:shd w:fill="F2F2F2"/>
          </w:tcPr>
          <w:p>
            <w:r>
              <w:rPr>
                <w:sz w:val="20"/>
              </w:rPr>
              <w:t>Klassen 4.1, 4.2, 4.3</w:t>
            </w:r>
          </w:p>
        </w:tc>
        <w:tc>
          <w:tcPr>
            <w:tcW w:type="dxa" w:w="3135"/>
            <w:shd w:fill="F2F2F2"/>
          </w:tcPr>
          <w:p>
            <w:r>
              <w:rPr>
                <w:sz w:val="20"/>
              </w:rPr>
              <w:t>II/III</w:t>
            </w:r>
          </w:p>
        </w:tc>
        <w:tc>
          <w:tcPr>
            <w:tcW w:type="dxa" w:w="3135"/>
            <w:shd w:fill="F2F2F2"/>
          </w:tcPr>
          <w:p>
            <w:r>
              <w:rPr>
                <w:sz w:val="20"/>
              </w:rPr>
              <w:t>50 kg</w:t>
            </w:r>
          </w:p>
        </w:tc>
      </w:tr>
      <w:tr>
        <w:tc>
          <w:tcPr>
            <w:tcW w:type="dxa" w:w="3135"/>
          </w:tcPr>
          <w:p>
            <w:r>
              <w:rPr>
                <w:sz w:val="20"/>
              </w:rPr>
              <w:t>Klasse 5.1</w:t>
            </w:r>
          </w:p>
        </w:tc>
        <w:tc>
          <w:tcPr>
            <w:tcW w:type="dxa" w:w="3135"/>
          </w:tcPr>
          <w:p>
            <w:r>
              <w:rPr>
                <w:sz w:val="20"/>
              </w:rPr>
              <w:t>II/III</w:t>
            </w:r>
          </w:p>
        </w:tc>
        <w:tc>
          <w:tcPr>
            <w:tcW w:type="dxa" w:w="3135"/>
          </w:tcPr>
          <w:p>
            <w:r>
              <w:rPr>
                <w:sz w:val="20"/>
              </w:rPr>
              <w:t>50 kg</w:t>
            </w:r>
          </w:p>
        </w:tc>
      </w:tr>
      <w:tr>
        <w:tc>
          <w:tcPr>
            <w:tcW w:type="dxa" w:w="3135"/>
            <w:shd w:fill="F2F2F2"/>
          </w:tcPr>
          <w:p>
            <w:r>
              <w:rPr>
                <w:sz w:val="20"/>
              </w:rPr>
              <w:t>Klasse 5.2 LQ (UN 3103–3110)</w:t>
            </w:r>
          </w:p>
        </w:tc>
        <w:tc>
          <w:tcPr>
            <w:tcW w:type="dxa" w:w="3135"/>
            <w:shd w:fill="F2F2F2"/>
          </w:tcPr>
          <w:p>
            <w:r>
              <w:rPr>
                <w:sz w:val="20"/>
              </w:rPr>
              <w:t>—</w:t>
            </w:r>
          </w:p>
        </w:tc>
        <w:tc>
          <w:tcPr>
            <w:tcW w:type="dxa" w:w="3135"/>
            <w:shd w:fill="F2F2F2"/>
          </w:tcPr>
          <w:p>
            <w:r>
              <w:rPr>
                <w:sz w:val="20"/>
              </w:rPr>
              <w:t>30 kg</w:t>
            </w:r>
          </w:p>
        </w:tc>
      </w:tr>
      <w:tr>
        <w:tc>
          <w:tcPr>
            <w:tcW w:type="dxa" w:w="3135"/>
          </w:tcPr>
          <w:p>
            <w:r>
              <w:rPr>
                <w:sz w:val="20"/>
              </w:rPr>
              <w:t>Klasse 6.1</w:t>
            </w:r>
          </w:p>
        </w:tc>
        <w:tc>
          <w:tcPr>
            <w:tcW w:type="dxa" w:w="3135"/>
          </w:tcPr>
          <w:p>
            <w:r>
              <w:rPr>
                <w:sz w:val="20"/>
              </w:rPr>
              <w:t>II/III</w:t>
            </w:r>
          </w:p>
        </w:tc>
        <w:tc>
          <w:tcPr>
            <w:tcW w:type="dxa" w:w="3135"/>
          </w:tcPr>
          <w:p>
            <w:r>
              <w:rPr>
                <w:sz w:val="20"/>
              </w:rPr>
              <w:t>50 kg</w:t>
            </w:r>
          </w:p>
        </w:tc>
      </w:tr>
      <w:tr>
        <w:tc>
          <w:tcPr>
            <w:tcW w:type="dxa" w:w="3135"/>
            <w:shd w:fill="F2F2F2"/>
          </w:tcPr>
          <w:p>
            <w:r>
              <w:rPr>
                <w:sz w:val="20"/>
              </w:rPr>
              <w:t>Klasse 6.2 cat. I1/I2</w:t>
            </w:r>
          </w:p>
        </w:tc>
        <w:tc>
          <w:tcPr>
            <w:tcW w:type="dxa" w:w="3135"/>
            <w:shd w:fill="F2F2F2"/>
          </w:tcPr>
          <w:p>
            <w:r>
              <w:rPr>
                <w:sz w:val="20"/>
              </w:rPr>
              <w:t>—</w:t>
            </w:r>
          </w:p>
        </w:tc>
        <w:tc>
          <w:tcPr>
            <w:tcW w:type="dxa" w:w="3135"/>
            <w:shd w:fill="F2F2F2"/>
          </w:tcPr>
          <w:p>
            <w:r>
              <w:rPr>
                <w:sz w:val="20"/>
              </w:rPr>
              <w:t>0 kg</w:t>
            </w:r>
          </w:p>
        </w:tc>
      </w:tr>
      <w:tr>
        <w:tc>
          <w:tcPr>
            <w:tcW w:type="dxa" w:w="3135"/>
          </w:tcPr>
          <w:p>
            <w:r>
              <w:rPr>
                <w:sz w:val="20"/>
              </w:rPr>
              <w:t>Klasse 6.2 overig</w:t>
            </w:r>
          </w:p>
        </w:tc>
        <w:tc>
          <w:tcPr>
            <w:tcW w:type="dxa" w:w="3135"/>
          </w:tcPr>
          <w:p>
            <w:r>
              <w:rPr>
                <w:sz w:val="20"/>
              </w:rPr>
              <w:t>—</w:t>
            </w:r>
          </w:p>
        </w:tc>
        <w:tc>
          <w:tcPr>
            <w:tcW w:type="dxa" w:w="3135"/>
          </w:tcPr>
          <w:p>
            <w:r>
              <w:rPr>
                <w:sz w:val="20"/>
              </w:rPr>
              <w:t>50 kg</w:t>
            </w:r>
          </w:p>
        </w:tc>
      </w:tr>
      <w:tr>
        <w:tc>
          <w:tcPr>
            <w:tcW w:type="dxa" w:w="3135"/>
            <w:shd w:fill="F2F2F2"/>
          </w:tcPr>
          <w:p>
            <w:r>
              <w:rPr>
                <w:sz w:val="20"/>
              </w:rPr>
              <w:t>Klasse 8</w:t>
            </w:r>
          </w:p>
        </w:tc>
        <w:tc>
          <w:tcPr>
            <w:tcW w:type="dxa" w:w="3135"/>
            <w:shd w:fill="F2F2F2"/>
          </w:tcPr>
          <w:p>
            <w:r>
              <w:rPr>
                <w:sz w:val="20"/>
              </w:rPr>
              <w:t>II/III</w:t>
            </w:r>
          </w:p>
        </w:tc>
        <w:tc>
          <w:tcPr>
            <w:tcW w:type="dxa" w:w="3135"/>
            <w:shd w:fill="F2F2F2"/>
          </w:tcPr>
          <w:p>
            <w:r>
              <w:rPr>
                <w:sz w:val="20"/>
              </w:rPr>
              <w:t>250 kg</w:t>
            </w:r>
          </w:p>
        </w:tc>
      </w:tr>
      <w:tr>
        <w:tc>
          <w:tcPr>
            <w:tcW w:type="dxa" w:w="3135"/>
          </w:tcPr>
          <w:p>
            <w:r>
              <w:rPr>
                <w:sz w:val="20"/>
              </w:rPr>
              <w:t>Klasse 9</w:t>
            </w:r>
          </w:p>
        </w:tc>
        <w:tc>
          <w:tcPr>
            <w:tcW w:type="dxa" w:w="3135"/>
          </w:tcPr>
          <w:p>
            <w:r>
              <w:rPr>
                <w:sz w:val="20"/>
              </w:rPr>
              <w:t>Alle</w:t>
            </w:r>
          </w:p>
        </w:tc>
        <w:tc>
          <w:tcPr>
            <w:tcW w:type="dxa" w:w="3135"/>
          </w:tcPr>
          <w:p>
            <w:r>
              <w:rPr>
                <w:sz w:val="20"/>
              </w:rPr>
              <w:t>250 kg</w:t>
            </w:r>
          </w:p>
        </w:tc>
      </w:tr>
    </w:tbl>
    <w:p/>
    <w:p>
      <w:r>
        <w:rPr>
          <w:b w:val="0"/>
          <w:i/>
          <w:sz w:val="22"/>
        </w:rPr>
        <w:t>Voor LQ/EQ-verpakkingen geldt een aanvullende vrijstelling tot het dubbele van de ondergrens, mits opgeslagen in transportverpakking (uitzondering: klasse 5.2). [PGS 15:2025 — §1.2.1]</w:t>
      </w:r>
    </w:p>
    <w:p>
      <w:pPr>
        <w:pStyle w:val="Heading2"/>
      </w:pPr>
      <w:r>
        <w:t>2.4 Werkvoorraad vs opslag (M14)</w:t>
      </w:r>
    </w:p>
    <w:p>
      <w:r>
        <w:rPr>
          <w:b w:val="0"/>
          <w:i w:val="0"/>
          <w:sz w:val="22"/>
        </w:rPr>
        <w:t>Werkvoorraad is uitsluitend de hoeveelheid stoffen die voor de bedrijfsvoering noodzakelijk is. Werkvoorraad hoeft niet in een opslagvoorziening, mits voldaan aan M14. Meerdere niet-geopende verpakkingen die onnodig lang in een werkruimte verblijven kwalificeren als opslag. [PGS 15:2025 — M14]</w:t>
      </w:r>
    </w:p>
    <w:p>
      <w:r>
        <w:br w:type="page"/>
      </w:r>
    </w:p>
    <w:p>
      <w:pPr>
        <w:pStyle w:val="Heading1"/>
      </w:pPr>
      <w:r>
        <w:t>Hoofdstuk 3 — Hoe is PGS-15 opgebouwd?</w:t>
      </w:r>
    </w:p>
    <w:p>
      <w:pPr>
        <w:pStyle w:val="Heading2"/>
      </w:pPr>
      <w:r>
        <w:t>3.1 Hoofdstukindeling PGS 15:2025</w:t>
      </w:r>
    </w:p>
    <w:p>
      <w:r>
        <w:rPr>
          <w:b/>
          <w:i w:val="0"/>
          <w:sz w:val="22"/>
        </w:rPr>
        <w:t>Normatieve hoofdstukken:</w:t>
      </w:r>
    </w:p>
    <w:p>
      <w:r>
        <w:rPr>
          <w:b w:val="0"/>
          <w:i w:val="0"/>
          <w:sz w:val="22"/>
        </w:rPr>
        <w:t>• §1: Inleiding (alleen §1.2 is normatief)</w:t>
        <w:br/>
        <w:t>• §5: Richtingaanwijzer wet- en regelgeving</w:t>
        <w:br/>
        <w:t>• §6: Doelen (D1–D12)</w:t>
        <w:br/>
        <w:t>• §7: Maatregelen (M1–M164, MW1)</w:t>
      </w:r>
    </w:p>
    <w:p>
      <w:r>
        <w:rPr>
          <w:b/>
          <w:i w:val="0"/>
          <w:sz w:val="22"/>
        </w:rPr>
        <w:t>Informatieve hoofdstukken:</w:t>
      </w:r>
    </w:p>
    <w:p>
      <w:r>
        <w:rPr>
          <w:b w:val="0"/>
          <w:i w:val="0"/>
          <w:sz w:val="22"/>
        </w:rPr>
        <w:t>• §2: Beschrijving opslag en tijdelijke opslag</w:t>
        <w:br/>
        <w:t>• §3: Risicobenadering</w:t>
        <w:br/>
        <w:t>• §4: Scenario's (S1–S15)</w:t>
        <w:br/>
        <w:t>• §8: Gelijkwaardige maatregelen</w:t>
      </w:r>
    </w:p>
    <w:p>
      <w:r>
        <w:rPr>
          <w:b/>
          <w:i w:val="0"/>
          <w:sz w:val="22"/>
        </w:rPr>
        <w:t>Belangrijke bijlagen:</w:t>
      </w:r>
    </w:p>
    <w:p>
      <w:r>
        <w:rPr>
          <w:b w:val="0"/>
          <w:i w:val="0"/>
          <w:sz w:val="22"/>
        </w:rPr>
        <w:t>• E: Stoffenscheiding (onverenigbare combinaties)</w:t>
        <w:br/>
        <w:t>• F: Eisen aan brandveiligheidsopslagkasten</w:t>
        <w:br/>
        <w:t>• G: Brandbeveiligingsinstallaties (PGS 14)</w:t>
        <w:br/>
        <w:t>• H: Straling door openingen in brandwerende gevel</w:t>
        <w:br/>
        <w:t>• I: Verschillen met vorige versie</w:t>
        <w:br/>
        <w:t>• J: Implementatietermijnen (NORMATIEF)</w:t>
      </w:r>
    </w:p>
    <w:p>
      <w:pPr>
        <w:pStyle w:val="Heading2"/>
      </w:pPr>
      <w:r>
        <w:t>3.2 Waar vind je wat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Onderwerp</w:t>
            </w:r>
          </w:p>
        </w:tc>
        <w:tc>
          <w:tcPr>
            <w:tcW w:type="dxa" w:w="3135"/>
            <w:shd w:fill="003366"/>
          </w:tcPr>
          <w:p>
            <w:r>
              <w:rPr>
                <w:b/>
                <w:color w:val="FFFFFF"/>
                <w:sz w:val="20"/>
              </w:rPr>
              <w:t>Paragraaf</w:t>
            </w:r>
          </w:p>
        </w:tc>
        <w:tc>
          <w:tcPr>
            <w:tcW w:type="dxa" w:w="3135"/>
            <w:shd w:fill="003366"/>
          </w:tcPr>
          <w:p>
            <w:r>
              <w:rPr>
                <w:b/>
                <w:color w:val="FFFFFF"/>
                <w:sz w:val="20"/>
              </w:rPr>
              <w:t>Maatregel</w:t>
            </w:r>
          </w:p>
        </w:tc>
      </w:tr>
      <w:tr>
        <w:tc>
          <w:tcPr>
            <w:tcW w:type="dxa" w:w="3135"/>
          </w:tcPr>
          <w:p>
            <w:r>
              <w:rPr>
                <w:sz w:val="20"/>
              </w:rPr>
              <w:t>Toepassingsbereik en ondergrenzen</w:t>
            </w:r>
          </w:p>
        </w:tc>
        <w:tc>
          <w:tcPr>
            <w:tcW w:type="dxa" w:w="3135"/>
          </w:tcPr>
          <w:p>
            <w:r>
              <w:rPr>
                <w:sz w:val="20"/>
              </w:rPr>
              <w:t>§1.2</w:t>
            </w:r>
          </w:p>
        </w:tc>
        <w:tc>
          <w:tcPr>
            <w:tcW w:type="dxa" w:w="3135"/>
          </w:tcPr>
          <w:p>
            <w:r>
              <w:rPr>
                <w:sz w:val="20"/>
              </w:rPr>
              <w:t>—</w:t>
            </w:r>
          </w:p>
        </w:tc>
      </w:tr>
      <w:tr>
        <w:tc>
          <w:tcPr>
            <w:tcW w:type="dxa" w:w="3135"/>
            <w:shd w:fill="F2F2F2"/>
          </w:tcPr>
          <w:p>
            <w:r>
              <w:rPr>
                <w:sz w:val="20"/>
              </w:rPr>
              <w:t>Opslagvoorziening (binnen/buiten)</w:t>
            </w:r>
          </w:p>
        </w:tc>
        <w:tc>
          <w:tcPr>
            <w:tcW w:type="dxa" w:w="3135"/>
            <w:shd w:fill="F2F2F2"/>
          </w:tcPr>
          <w:p>
            <w:r>
              <w:rPr>
                <w:sz w:val="20"/>
              </w:rPr>
              <w:t>§7.3</w:t>
            </w:r>
          </w:p>
        </w:tc>
        <w:tc>
          <w:tcPr>
            <w:tcW w:type="dxa" w:w="3135"/>
            <w:shd w:fill="F2F2F2"/>
          </w:tcPr>
          <w:p>
            <w:r>
              <w:rPr>
                <w:sz w:val="20"/>
              </w:rPr>
              <w:t>M2, M3</w:t>
            </w:r>
          </w:p>
        </w:tc>
      </w:tr>
      <w:tr>
        <w:tc>
          <w:tcPr>
            <w:tcW w:type="dxa" w:w="3135"/>
          </w:tcPr>
          <w:p>
            <w:r>
              <w:rPr>
                <w:sz w:val="20"/>
              </w:rPr>
              <w:t>Brandwerendheid en WBDBO</w:t>
            </w:r>
          </w:p>
        </w:tc>
        <w:tc>
          <w:tcPr>
            <w:tcW w:type="dxa" w:w="3135"/>
          </w:tcPr>
          <w:p>
            <w:r>
              <w:rPr>
                <w:sz w:val="20"/>
              </w:rPr>
              <w:t>§7.5.2</w:t>
            </w:r>
          </w:p>
        </w:tc>
        <w:tc>
          <w:tcPr>
            <w:tcW w:type="dxa" w:w="3135"/>
          </w:tcPr>
          <w:p>
            <w:r>
              <w:rPr>
                <w:sz w:val="20"/>
              </w:rPr>
              <w:t>M21, M24</w:t>
            </w:r>
          </w:p>
        </w:tc>
      </w:tr>
      <w:tr>
        <w:tc>
          <w:tcPr>
            <w:tcW w:type="dxa" w:w="3135"/>
            <w:shd w:fill="F2F2F2"/>
          </w:tcPr>
          <w:p>
            <w:r>
              <w:rPr>
                <w:sz w:val="20"/>
              </w:rPr>
              <w:t>Veiligheidsafstanden</w:t>
            </w:r>
          </w:p>
        </w:tc>
        <w:tc>
          <w:tcPr>
            <w:tcW w:type="dxa" w:w="3135"/>
            <w:shd w:fill="F2F2F2"/>
          </w:tcPr>
          <w:p>
            <w:r>
              <w:rPr>
                <w:sz w:val="20"/>
              </w:rPr>
              <w:t>§7.5.2</w:t>
            </w:r>
          </w:p>
        </w:tc>
        <w:tc>
          <w:tcPr>
            <w:tcW w:type="dxa" w:w="3135"/>
            <w:shd w:fill="F2F2F2"/>
          </w:tcPr>
          <w:p>
            <w:r>
              <w:rPr>
                <w:sz w:val="20"/>
              </w:rPr>
              <w:t>M90, M91, M92</w:t>
            </w:r>
          </w:p>
        </w:tc>
      </w:tr>
      <w:tr>
        <w:tc>
          <w:tcPr>
            <w:tcW w:type="dxa" w:w="3135"/>
          </w:tcPr>
          <w:p>
            <w:r>
              <w:rPr>
                <w:sz w:val="20"/>
              </w:rPr>
              <w:t>Productopvang</w:t>
            </w:r>
          </w:p>
        </w:tc>
        <w:tc>
          <w:tcPr>
            <w:tcW w:type="dxa" w:w="3135"/>
          </w:tcPr>
          <w:p>
            <w:r>
              <w:rPr>
                <w:sz w:val="20"/>
              </w:rPr>
              <w:t>§7.3.2</w:t>
            </w:r>
          </w:p>
        </w:tc>
        <w:tc>
          <w:tcPr>
            <w:tcW w:type="dxa" w:w="3135"/>
          </w:tcPr>
          <w:p>
            <w:r>
              <w:rPr>
                <w:sz w:val="20"/>
              </w:rPr>
              <w:t>M35, M36</w:t>
            </w:r>
          </w:p>
        </w:tc>
      </w:tr>
      <w:tr>
        <w:tc>
          <w:tcPr>
            <w:tcW w:type="dxa" w:w="3135"/>
            <w:shd w:fill="F2F2F2"/>
          </w:tcPr>
          <w:p>
            <w:r>
              <w:rPr>
                <w:sz w:val="20"/>
              </w:rPr>
              <w:t>Stoffenscheiding</w:t>
            </w:r>
          </w:p>
        </w:tc>
        <w:tc>
          <w:tcPr>
            <w:tcW w:type="dxa" w:w="3135"/>
            <w:shd w:fill="F2F2F2"/>
          </w:tcPr>
          <w:p>
            <w:r>
              <w:rPr>
                <w:sz w:val="20"/>
              </w:rPr>
              <w:t>Bijlage E</w:t>
            </w:r>
          </w:p>
        </w:tc>
        <w:tc>
          <w:tcPr>
            <w:tcW w:type="dxa" w:w="3135"/>
            <w:shd w:fill="F2F2F2"/>
          </w:tcPr>
          <w:p>
            <w:r>
              <w:rPr>
                <w:sz w:val="20"/>
              </w:rPr>
              <w:t>M42–M44</w:t>
            </w:r>
          </w:p>
        </w:tc>
      </w:tr>
      <w:tr>
        <w:tc>
          <w:tcPr>
            <w:tcW w:type="dxa" w:w="3135"/>
          </w:tcPr>
          <w:p>
            <w:r>
              <w:rPr>
                <w:sz w:val="20"/>
              </w:rPr>
              <w:t>Brandbeveiliging (VBB)</w:t>
            </w:r>
          </w:p>
        </w:tc>
        <w:tc>
          <w:tcPr>
            <w:tcW w:type="dxa" w:w="3135"/>
          </w:tcPr>
          <w:p>
            <w:r>
              <w:rPr>
                <w:sz w:val="20"/>
              </w:rPr>
              <w:t>§7.5.3</w:t>
            </w:r>
          </w:p>
        </w:tc>
        <w:tc>
          <w:tcPr>
            <w:tcW w:type="dxa" w:w="3135"/>
          </w:tcPr>
          <w:p>
            <w:r>
              <w:rPr>
                <w:sz w:val="20"/>
              </w:rPr>
              <w:t>M96, M97, M99</w:t>
            </w:r>
          </w:p>
        </w:tc>
      </w:tr>
      <w:tr>
        <w:tc>
          <w:tcPr>
            <w:tcW w:type="dxa" w:w="3135"/>
            <w:shd w:fill="F2F2F2"/>
          </w:tcPr>
          <w:p>
            <w:r>
              <w:rPr>
                <w:sz w:val="20"/>
              </w:rPr>
              <w:t>Bluswatervoorziening</w:t>
            </w:r>
          </w:p>
        </w:tc>
        <w:tc>
          <w:tcPr>
            <w:tcW w:type="dxa" w:w="3135"/>
            <w:shd w:fill="F2F2F2"/>
          </w:tcPr>
          <w:p>
            <w:r>
              <w:rPr>
                <w:sz w:val="20"/>
              </w:rPr>
              <w:t>§7.5.3</w:t>
            </w:r>
          </w:p>
        </w:tc>
        <w:tc>
          <w:tcPr>
            <w:tcW w:type="dxa" w:w="3135"/>
            <w:shd w:fill="F2F2F2"/>
          </w:tcPr>
          <w:p>
            <w:r>
              <w:rPr>
                <w:sz w:val="20"/>
              </w:rPr>
              <w:t>M103</w:t>
            </w:r>
          </w:p>
        </w:tc>
      </w:tr>
      <w:tr>
        <w:tc>
          <w:tcPr>
            <w:tcW w:type="dxa" w:w="3135"/>
          </w:tcPr>
          <w:p>
            <w:r>
              <w:rPr>
                <w:sz w:val="20"/>
              </w:rPr>
              <w:t>Informatievoorziening hulpdiensten</w:t>
            </w:r>
          </w:p>
        </w:tc>
        <w:tc>
          <w:tcPr>
            <w:tcW w:type="dxa" w:w="3135"/>
          </w:tcPr>
          <w:p>
            <w:r>
              <w:rPr>
                <w:sz w:val="20"/>
              </w:rPr>
              <w:t>§7.5.5</w:t>
            </w:r>
          </w:p>
        </w:tc>
        <w:tc>
          <w:tcPr>
            <w:tcW w:type="dxa" w:w="3135"/>
          </w:tcPr>
          <w:p>
            <w:r>
              <w:rPr>
                <w:sz w:val="20"/>
              </w:rPr>
              <w:t>M116, M117, M118</w:t>
            </w:r>
          </w:p>
        </w:tc>
      </w:tr>
      <w:tr>
        <w:tc>
          <w:tcPr>
            <w:tcW w:type="dxa" w:w="3135"/>
            <w:shd w:fill="F2F2F2"/>
          </w:tcPr>
          <w:p>
            <w:r>
              <w:rPr>
                <w:sz w:val="20"/>
              </w:rPr>
              <w:t>Noodplan</w:t>
            </w:r>
          </w:p>
        </w:tc>
        <w:tc>
          <w:tcPr>
            <w:tcW w:type="dxa" w:w="3135"/>
            <w:shd w:fill="F2F2F2"/>
          </w:tcPr>
          <w:p>
            <w:r>
              <w:rPr>
                <w:sz w:val="20"/>
              </w:rPr>
              <w:t>§7.5.5</w:t>
            </w:r>
          </w:p>
        </w:tc>
        <w:tc>
          <w:tcPr>
            <w:tcW w:type="dxa" w:w="3135"/>
            <w:shd w:fill="F2F2F2"/>
          </w:tcPr>
          <w:p>
            <w:r>
              <w:rPr>
                <w:sz w:val="20"/>
              </w:rPr>
              <w:t>M113</w:t>
            </w:r>
          </w:p>
        </w:tc>
      </w:tr>
      <w:tr>
        <w:tc>
          <w:tcPr>
            <w:tcW w:type="dxa" w:w="3135"/>
          </w:tcPr>
          <w:p>
            <w:r>
              <w:rPr>
                <w:sz w:val="20"/>
              </w:rPr>
              <w:t>Tijdelijke opslag</w:t>
            </w:r>
          </w:p>
        </w:tc>
        <w:tc>
          <w:tcPr>
            <w:tcW w:type="dxa" w:w="3135"/>
          </w:tcPr>
          <w:p>
            <w:r>
              <w:rPr>
                <w:sz w:val="20"/>
              </w:rPr>
              <w:t>§7.6.2</w:t>
            </w:r>
          </w:p>
        </w:tc>
        <w:tc>
          <w:tcPr>
            <w:tcW w:type="dxa" w:w="3135"/>
          </w:tcPr>
          <w:p>
            <w:r>
              <w:rPr>
                <w:sz w:val="20"/>
              </w:rPr>
              <w:t>M109–M115</w:t>
            </w:r>
          </w:p>
        </w:tc>
      </w:tr>
      <w:tr>
        <w:tc>
          <w:tcPr>
            <w:tcW w:type="dxa" w:w="3135"/>
            <w:shd w:fill="F2F2F2"/>
          </w:tcPr>
          <w:p>
            <w:r>
              <w:rPr>
                <w:sz w:val="20"/>
              </w:rPr>
              <w:t>Gasflessen</w:t>
            </w:r>
          </w:p>
        </w:tc>
        <w:tc>
          <w:tcPr>
            <w:tcW w:type="dxa" w:w="3135"/>
            <w:shd w:fill="F2F2F2"/>
          </w:tcPr>
          <w:p>
            <w:r>
              <w:rPr>
                <w:sz w:val="20"/>
              </w:rPr>
              <w:t>§7.3</w:t>
            </w:r>
          </w:p>
        </w:tc>
        <w:tc>
          <w:tcPr>
            <w:tcW w:type="dxa" w:w="3135"/>
            <w:shd w:fill="F2F2F2"/>
          </w:tcPr>
          <w:p>
            <w:r>
              <w:rPr>
                <w:sz w:val="20"/>
              </w:rPr>
              <w:t>M7, M8, M54–M56</w:t>
            </w:r>
          </w:p>
        </w:tc>
      </w:tr>
      <w:tr>
        <w:tc>
          <w:tcPr>
            <w:tcW w:type="dxa" w:w="3135"/>
          </w:tcPr>
          <w:p>
            <w:r>
              <w:rPr>
                <w:sz w:val="20"/>
              </w:rPr>
              <w:t>Onderhoud, keuring, training</w:t>
            </w:r>
          </w:p>
        </w:tc>
        <w:tc>
          <w:tcPr>
            <w:tcW w:type="dxa" w:w="3135"/>
          </w:tcPr>
          <w:p>
            <w:r>
              <w:rPr>
                <w:sz w:val="20"/>
              </w:rPr>
              <w:t>§7.4</w:t>
            </w:r>
          </w:p>
        </w:tc>
        <w:tc>
          <w:tcPr>
            <w:tcW w:type="dxa" w:w="3135"/>
          </w:tcPr>
          <w:p>
            <w:r>
              <w:rPr>
                <w:sz w:val="20"/>
              </w:rPr>
              <w:t>M45, M104</w:t>
            </w:r>
          </w:p>
        </w:tc>
      </w:tr>
    </w:tbl>
    <w:p/>
    <w:p>
      <w:pPr>
        <w:pStyle w:val="Heading2"/>
      </w:pPr>
      <w:r>
        <w:t>3.3 De scenario-benadering uitgelegd</w:t>
      </w:r>
    </w:p>
    <w:p>
      <w:r>
        <w:rPr>
          <w:b w:val="0"/>
          <w:i w:val="0"/>
          <w:sz w:val="22"/>
        </w:rPr>
        <w:t>PGS 15:2025 gebruikt de BowTie-methode. De centrale gebeurtenis is een lekkage. [PGS 15:2025 — §3.2, §4]</w:t>
      </w:r>
    </w:p>
    <w:p>
      <w:r>
        <w:rPr>
          <w:b/>
          <w:i w:val="0"/>
          <w:sz w:val="22"/>
        </w:rPr>
        <w:t>Oorzaakscenario's (S1–S8):</w:t>
      </w:r>
    </w:p>
    <w:p>
      <w:r>
        <w:rPr>
          <w:b w:val="0"/>
          <w:i w:val="0"/>
          <w:sz w:val="22"/>
        </w:rPr>
        <w:t>• S1: Lekkage door externe oorzaak</w:t>
        <w:br/>
        <w:t>• S2: Lekkage tijdens handelingen</w:t>
        <w:br/>
        <w:t>• S3: Lekkage door interne oorzaak opslagvoorziening</w:t>
        <w:br/>
        <w:t>• S4: Lekkage door falen verpakking</w:t>
        <w:br/>
        <w:t>• S5: Lekkage door falen (tank)container</w:t>
        <w:br/>
        <w:t>• S6: Lekkage door falen vervoerseenheid</w:t>
        <w:br/>
        <w:t>• S7: Lekkage door falen gasfles</w:t>
        <w:br/>
        <w:t>• S8: Lekkage als gevolg van domino-effect</w:t>
      </w:r>
    </w:p>
    <w:p>
      <w:r>
        <w:rPr>
          <w:b/>
          <w:i w:val="0"/>
          <w:sz w:val="22"/>
        </w:rPr>
        <w:t>Gevolgscenario's (S9–S15):</w:t>
      </w:r>
    </w:p>
    <w:p>
      <w:r>
        <w:rPr>
          <w:b w:val="0"/>
          <w:i w:val="0"/>
          <w:sz w:val="22"/>
        </w:rPr>
        <w:t>• S9: Brand</w:t>
        <w:br/>
        <w:t>• S10: Ontploffing</w:t>
        <w:br/>
        <w:t>• S11: Blootstelling werknemers</w:t>
        <w:br/>
        <w:t>• S12: Verspreiding brandbare gassen (zwaarder dan lucht)</w:t>
        <w:br/>
        <w:t>• S13: Verspreiding giftige stoffen</w:t>
        <w:br/>
        <w:t>• S14: Verspreiding naar omgeving</w:t>
        <w:br/>
        <w:t>• S15: Escalatie binnen opslagvoorziening</w:t>
      </w:r>
    </w:p>
    <w:p>
      <w:r>
        <w:br w:type="page"/>
      </w:r>
    </w:p>
    <w:p>
      <w:pPr>
        <w:pStyle w:val="Heading1"/>
      </w:pPr>
      <w:r>
        <w:t>Hoofdstuk 4 — Risicobenadering &amp; Veiligheidsniveaus</w:t>
      </w:r>
    </w:p>
    <w:p>
      <w:pPr>
        <w:pStyle w:val="Heading2"/>
      </w:pPr>
      <w:r>
        <w:t>4.1 Basisveiligheidsniveau (MW1)</w:t>
      </w:r>
    </w:p>
    <w:p>
      <w:r>
        <w:rPr>
          <w:b w:val="0"/>
          <w:i w:val="0"/>
          <w:sz w:val="22"/>
        </w:rPr>
        <w:t>Elke opslagvoorziening heeft een basisveiligheidsniveau. Dit bestaat uit: [PGS 15:2025 — §3.1, MW1]</w:t>
      </w:r>
    </w:p>
    <w:p>
      <w:r>
        <w:rPr>
          <w:b w:val="0"/>
          <w:i w:val="0"/>
          <w:sz w:val="22"/>
        </w:rPr>
        <w:t>1. Beschermende maatregelen volgens wet- en regelgeving</w:t>
        <w:br/>
        <w:t>2. Maatregelen volgens bewezen en geaccepteerde goede praktijken</w:t>
        <w:br/>
        <w:t>3. Good housekeeping (netheid en orde)</w:t>
        <w:br/>
        <w:t>4. Goed vakmanschap (vaardigheden werknemers)</w:t>
      </w:r>
    </w:p>
    <w:p>
      <w:r>
        <w:rPr>
          <w:b w:val="0"/>
          <w:i/>
          <w:sz w:val="22"/>
        </w:rPr>
        <w:t>MW1 is van toepassing op alle categorieën. De scenario's zijn gebaseerd op dit niveau.</w:t>
      </w:r>
    </w:p>
    <w:p>
      <w:pPr>
        <w:pStyle w:val="Heading2"/>
      </w:pPr>
      <w:r>
        <w:t>4.2 Veiligheidsniveaus (M3, Tabel 6)</w:t>
      </w:r>
    </w:p>
    <w:p>
      <w:r>
        <w:rPr>
          <w:b w:val="0"/>
          <w:i w:val="0"/>
          <w:sz w:val="22"/>
        </w:rPr>
        <w:t>Het cascademodel: Basisveiligheidsniveau → (stof + hoeveelheid) → Veiligheidsniveau A/B/C</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Niveau</w:t>
            </w:r>
          </w:p>
        </w:tc>
        <w:tc>
          <w:tcPr>
            <w:tcW w:type="dxa" w:w="3135"/>
            <w:shd w:fill="003366"/>
          </w:tcPr>
          <w:p>
            <w:r>
              <w:rPr>
                <w:b/>
                <w:color w:val="FFFFFF"/>
                <w:sz w:val="20"/>
              </w:rPr>
              <w:t>Omschrijving</w:t>
            </w:r>
          </w:p>
        </w:tc>
        <w:tc>
          <w:tcPr>
            <w:tcW w:type="dxa" w:w="3135"/>
            <w:shd w:fill="003366"/>
          </w:tcPr>
          <w:p>
            <w:r>
              <w:rPr>
                <w:b/>
                <w:color w:val="FFFFFF"/>
                <w:sz w:val="20"/>
              </w:rPr>
              <w:t>Kenmerken</w:t>
            </w:r>
          </w:p>
        </w:tc>
      </w:tr>
      <w:tr>
        <w:tc>
          <w:tcPr>
            <w:tcW w:type="dxa" w:w="3135"/>
          </w:tcPr>
          <w:p>
            <w:r>
              <w:rPr>
                <w:sz w:val="20"/>
              </w:rPr>
              <w:t>Basis</w:t>
            </w:r>
          </w:p>
        </w:tc>
        <w:tc>
          <w:tcPr>
            <w:tcW w:type="dxa" w:w="3135"/>
          </w:tcPr>
          <w:p>
            <w:r>
              <w:rPr>
                <w:sz w:val="20"/>
              </w:rPr>
              <w:t>Geldt voor ELKE opslagvoorziening</w:t>
            </w:r>
          </w:p>
        </w:tc>
        <w:tc>
          <w:tcPr>
            <w:tcW w:type="dxa" w:w="3135"/>
          </w:tcPr>
          <w:p>
            <w:r>
              <w:rPr>
                <w:sz w:val="20"/>
              </w:rPr>
              <w:t>MW1 + alle basismaatregelen</w:t>
            </w:r>
          </w:p>
        </w:tc>
      </w:tr>
      <w:tr>
        <w:tc>
          <w:tcPr>
            <w:tcW w:type="dxa" w:w="3135"/>
            <w:shd w:fill="F2F2F2"/>
          </w:tcPr>
          <w:p>
            <w:r>
              <w:rPr>
                <w:sz w:val="20"/>
              </w:rPr>
              <w:t>A</w:t>
            </w:r>
          </w:p>
        </w:tc>
        <w:tc>
          <w:tcPr>
            <w:tcW w:type="dxa" w:w="3135"/>
            <w:shd w:fill="F2F2F2"/>
          </w:tcPr>
          <w:p>
            <w:r>
              <w:rPr>
                <w:sz w:val="20"/>
              </w:rPr>
              <w:t>Brandescalatie-scenario's (D6, D10-D12)</w:t>
            </w:r>
          </w:p>
        </w:tc>
        <w:tc>
          <w:tcPr>
            <w:tcW w:type="dxa" w:w="3135"/>
            <w:shd w:fill="F2F2F2"/>
          </w:tcPr>
          <w:p>
            <w:r>
              <w:rPr>
                <w:sz w:val="20"/>
              </w:rPr>
              <w:t>UPD + VBB + WBDBO 60/90 min + jaarlijkse inspectie</w:t>
            </w:r>
          </w:p>
        </w:tc>
      </w:tr>
      <w:tr>
        <w:tc>
          <w:tcPr>
            <w:tcW w:type="dxa" w:w="3135"/>
          </w:tcPr>
          <w:p>
            <w:r>
              <w:rPr>
                <w:sz w:val="20"/>
              </w:rPr>
              <w:t>B</w:t>
            </w:r>
          </w:p>
        </w:tc>
        <w:tc>
          <w:tcPr>
            <w:tcW w:type="dxa" w:w="3135"/>
          </w:tcPr>
          <w:p>
            <w:r>
              <w:rPr>
                <w:sz w:val="20"/>
              </w:rPr>
              <w:t>Middelste scenario's (D6, D10, D11)</w:t>
            </w:r>
          </w:p>
        </w:tc>
        <w:tc>
          <w:tcPr>
            <w:tcW w:type="dxa" w:w="3135"/>
          </w:tcPr>
          <w:p>
            <w:r>
              <w:rPr>
                <w:sz w:val="20"/>
              </w:rPr>
              <w:t>Brandwerendheid en/of afstanden</w:t>
            </w:r>
          </w:p>
        </w:tc>
      </w:tr>
      <w:tr>
        <w:tc>
          <w:tcPr>
            <w:tcW w:type="dxa" w:w="3135"/>
            <w:shd w:fill="F2F2F2"/>
          </w:tcPr>
          <w:p>
            <w:r>
              <w:rPr>
                <w:sz w:val="20"/>
              </w:rPr>
              <w:t>C</w:t>
            </w:r>
          </w:p>
        </w:tc>
        <w:tc>
          <w:tcPr>
            <w:tcW w:type="dxa" w:w="3135"/>
            <w:shd w:fill="F2F2F2"/>
          </w:tcPr>
          <w:p>
            <w:r>
              <w:rPr>
                <w:sz w:val="20"/>
              </w:rPr>
              <w:t>Niet-ontstoken escalatie (D7)</w:t>
            </w:r>
          </w:p>
        </w:tc>
        <w:tc>
          <w:tcPr>
            <w:tcW w:type="dxa" w:w="3135"/>
            <w:shd w:fill="F2F2F2"/>
          </w:tcPr>
          <w:p>
            <w:r>
              <w:rPr>
                <w:sz w:val="20"/>
              </w:rPr>
              <w:t>Verspreidingspreventie</w:t>
            </w:r>
          </w:p>
        </w:tc>
      </w:tr>
    </w:tbl>
    <w:p/>
    <w:p>
      <w:r>
        <w:rPr>
          <w:b/>
          <w:i w:val="0"/>
          <w:sz w:val="22"/>
        </w:rPr>
        <w:t>Veiligheidsniveau A — Details:</w:t>
      </w:r>
    </w:p>
    <w:p>
      <w:r>
        <w:rPr>
          <w:b w:val="0"/>
          <w:i w:val="0"/>
          <w:sz w:val="22"/>
        </w:rPr>
        <w:t>• WBDBO: 60 min bij ≤10 ton, 90 min bij &gt;10 ton</w:t>
        <w:br/>
        <w:t>• Uitgangspuntendocument (UPD) verplicht (M99)</w:t>
        <w:br/>
        <w:t>• Vaste brandbeveiligingsinstallatie (VBB) — in samenhang met PGS 14</w:t>
        <w:br/>
        <w:t>• Jaarlijkse inspectie door geaccrediteerde instelling</w:t>
        <w:br/>
        <w:t>• Bedrijfsbrandweer (M97) of gelijkwaardig</w:t>
      </w:r>
    </w:p>
    <w:p>
      <w:pPr>
        <w:pStyle w:val="Heading2"/>
      </w:pPr>
      <w:r>
        <w:t>4.3 Categorieën en filtering (Tabel 5)</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Groep</w:t>
            </w:r>
          </w:p>
        </w:tc>
        <w:tc>
          <w:tcPr>
            <w:tcW w:type="dxa" w:w="3135"/>
            <w:shd w:fill="003366"/>
          </w:tcPr>
          <w:p>
            <w:r>
              <w:rPr>
                <w:b/>
                <w:color w:val="FFFFFF"/>
                <w:sz w:val="20"/>
              </w:rPr>
              <w:t>Categorie</w:t>
            </w:r>
          </w:p>
        </w:tc>
        <w:tc>
          <w:tcPr>
            <w:tcW w:type="dxa" w:w="3135"/>
            <w:shd w:fill="003366"/>
          </w:tcPr>
          <w:p>
            <w:r>
              <w:rPr>
                <w:b/>
                <w:color w:val="FFFFFF"/>
                <w:sz w:val="20"/>
              </w:rPr>
              <w:t>Toelichting</w:t>
            </w:r>
          </w:p>
        </w:tc>
      </w:tr>
      <w:tr>
        <w:tc>
          <w:tcPr>
            <w:tcW w:type="dxa" w:w="3135"/>
          </w:tcPr>
          <w:p>
            <w:r>
              <w:rPr>
                <w:sz w:val="20"/>
              </w:rPr>
              <w:t>Veiligheidsniveau</w:t>
            </w:r>
          </w:p>
        </w:tc>
        <w:tc>
          <w:tcPr>
            <w:tcW w:type="dxa" w:w="3135"/>
          </w:tcPr>
          <w:p>
            <w:r>
              <w:rPr>
                <w:sz w:val="20"/>
              </w:rPr>
              <w:t>Basis / A / B / C</w:t>
            </w:r>
          </w:p>
        </w:tc>
        <w:tc>
          <w:tcPr>
            <w:tcW w:type="dxa" w:w="3135"/>
          </w:tcPr>
          <w:p>
            <w:r>
              <w:rPr>
                <w:sz w:val="20"/>
              </w:rPr>
              <w:t>Volgens M3/Tabel 6</w:t>
            </w:r>
          </w:p>
        </w:tc>
      </w:tr>
      <w:tr>
        <w:tc>
          <w:tcPr>
            <w:tcW w:type="dxa" w:w="3135"/>
            <w:shd w:fill="F2F2F2"/>
          </w:tcPr>
          <w:p>
            <w:r>
              <w:rPr>
                <w:sz w:val="20"/>
              </w:rPr>
              <w:t>Type opslag</w:t>
            </w:r>
          </w:p>
        </w:tc>
        <w:tc>
          <w:tcPr>
            <w:tcW w:type="dxa" w:w="3135"/>
            <w:shd w:fill="F2F2F2"/>
          </w:tcPr>
          <w:p>
            <w:r>
              <w:rPr>
                <w:sz w:val="20"/>
              </w:rPr>
              <w:t>Binnen / Buiten / Kast / Container / Tijdelijk</w:t>
            </w:r>
          </w:p>
        </w:tc>
        <w:tc>
          <w:tcPr>
            <w:tcW w:type="dxa" w:w="3135"/>
            <w:shd w:fill="F2F2F2"/>
          </w:tcPr>
          <w:p>
            <w:r>
              <w:rPr>
                <w:sz w:val="20"/>
              </w:rPr>
            </w:r>
          </w:p>
        </w:tc>
      </w:tr>
      <w:tr>
        <w:tc>
          <w:tcPr>
            <w:tcW w:type="dxa" w:w="3135"/>
          </w:tcPr>
          <w:p>
            <w:r>
              <w:rPr>
                <w:sz w:val="20"/>
              </w:rPr>
              <w:t>Stofgroepen</w:t>
            </w:r>
          </w:p>
        </w:tc>
        <w:tc>
          <w:tcPr>
            <w:tcW w:type="dxa" w:w="3135"/>
          </w:tcPr>
          <w:p>
            <w:r>
              <w:rPr>
                <w:sz w:val="20"/>
              </w:rPr>
              <w:t>ADR 2 gasflessen, ADR 2 spuitbussen, ADR 3 VG I+II, ADR 4.1 VG II+III, ADR 5.1, ADR 5.2, ADR 6.1, ADR 6.2, Acuut toxisch</w:t>
            </w:r>
          </w:p>
        </w:tc>
        <w:tc>
          <w:tcPr>
            <w:tcW w:type="dxa" w:w="3135"/>
          </w:tcPr>
          <w:p>
            <w:r>
              <w:rPr>
                <w:sz w:val="20"/>
              </w:rPr>
            </w:r>
          </w:p>
        </w:tc>
      </w:tr>
    </w:tbl>
    <w:p/>
    <w:p>
      <w:r>
        <w:br w:type="page"/>
      </w:r>
    </w:p>
    <w:p>
      <w:pPr>
        <w:pStyle w:val="Heading1"/>
      </w:pPr>
      <w:r>
        <w:t>Hoofdstuk 5 — Kernbegrippen uitgelegd</w:t>
      </w:r>
    </w:p>
    <w:p>
      <w:pPr>
        <w:pStyle w:val="Heading2"/>
      </w:pPr>
      <w:r>
        <w:t>5.1 Opslagvoorziening (binnenopslag vs buitenopslag)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Kenmerk</w:t>
            </w:r>
          </w:p>
        </w:tc>
        <w:tc>
          <w:tcPr>
            <w:tcW w:type="dxa" w:w="3135"/>
            <w:shd w:fill="003366"/>
          </w:tcPr>
          <w:p>
            <w:r>
              <w:rPr>
                <w:b/>
                <w:color w:val="FFFFFF"/>
                <w:sz w:val="20"/>
              </w:rPr>
              <w:t>Binnenopslag</w:t>
            </w:r>
          </w:p>
        </w:tc>
        <w:tc>
          <w:tcPr>
            <w:tcW w:type="dxa" w:w="3135"/>
            <w:shd w:fill="003366"/>
          </w:tcPr>
          <w:p>
            <w:r>
              <w:rPr>
                <w:b/>
                <w:color w:val="FFFFFF"/>
                <w:sz w:val="20"/>
              </w:rPr>
              <w:t>Buitenopslag</w:t>
            </w:r>
          </w:p>
        </w:tc>
      </w:tr>
      <w:tr>
        <w:tc>
          <w:tcPr>
            <w:tcW w:type="dxa" w:w="3135"/>
          </w:tcPr>
          <w:p>
            <w:r>
              <w:rPr>
                <w:sz w:val="20"/>
              </w:rPr>
              <w:t>WBDBO standaard</w:t>
            </w:r>
          </w:p>
        </w:tc>
        <w:tc>
          <w:tcPr>
            <w:tcW w:type="dxa" w:w="3135"/>
          </w:tcPr>
          <w:p>
            <w:r>
              <w:rPr>
                <w:sz w:val="20"/>
              </w:rPr>
              <w:t>60 min</w:t>
            </w:r>
          </w:p>
        </w:tc>
        <w:tc>
          <w:tcPr>
            <w:tcW w:type="dxa" w:w="3135"/>
          </w:tcPr>
          <w:p>
            <w:r>
              <w:rPr>
                <w:sz w:val="20"/>
              </w:rPr>
              <w:t>60 min</w:t>
            </w:r>
          </w:p>
        </w:tc>
      </w:tr>
      <w:tr>
        <w:tc>
          <w:tcPr>
            <w:tcW w:type="dxa" w:w="3135"/>
            <w:shd w:fill="F2F2F2"/>
          </w:tcPr>
          <w:p>
            <w:r>
              <w:rPr>
                <w:sz w:val="20"/>
              </w:rPr>
              <w:t>Afstand als alternatief</w:t>
            </w:r>
          </w:p>
        </w:tc>
        <w:tc>
          <w:tcPr>
            <w:tcW w:type="dxa" w:w="3135"/>
            <w:shd w:fill="F2F2F2"/>
          </w:tcPr>
          <w:p>
            <w:r>
              <w:rPr>
                <w:sz w:val="20"/>
              </w:rPr>
              <w:t>Niet van toepassing</w:t>
            </w:r>
          </w:p>
        </w:tc>
        <w:tc>
          <w:tcPr>
            <w:tcW w:type="dxa" w:w="3135"/>
            <w:shd w:fill="F2F2F2"/>
          </w:tcPr>
          <w:p>
            <w:r>
              <w:rPr>
                <w:sz w:val="20"/>
              </w:rPr>
              <w:t>≥5 m = -30 min; ≥15 m = -60 min</w:t>
            </w:r>
          </w:p>
        </w:tc>
      </w:tr>
      <w:tr>
        <w:tc>
          <w:tcPr>
            <w:tcW w:type="dxa" w:w="3135"/>
          </w:tcPr>
          <w:p>
            <w:r>
              <w:rPr>
                <w:sz w:val="20"/>
              </w:rPr>
              <w:t>90 min WBDBO</w:t>
            </w:r>
          </w:p>
        </w:tc>
        <w:tc>
          <w:tcPr>
            <w:tcW w:type="dxa" w:w="3135"/>
          </w:tcPr>
          <w:p>
            <w:r>
              <w:rPr>
                <w:sz w:val="20"/>
              </w:rPr>
              <w:t>Via constructie</w:t>
            </w:r>
          </w:p>
        </w:tc>
        <w:tc>
          <w:tcPr>
            <w:tcW w:type="dxa" w:w="3135"/>
          </w:tcPr>
          <w:p>
            <w:r>
              <w:rPr>
                <w:sz w:val="20"/>
              </w:rPr>
              <w:t>Alleen via berekening NEN 6068</w:t>
            </w:r>
          </w:p>
        </w:tc>
      </w:tr>
      <w:tr>
        <w:tc>
          <w:tcPr>
            <w:tcW w:type="dxa" w:w="3135"/>
            <w:shd w:fill="F2F2F2"/>
          </w:tcPr>
          <w:p>
            <w:r>
              <w:rPr>
                <w:sz w:val="20"/>
              </w:rPr>
              <w:t>Deuren</w:t>
            </w:r>
          </w:p>
        </w:tc>
        <w:tc>
          <w:tcPr>
            <w:tcW w:type="dxa" w:w="3135"/>
            <w:shd w:fill="F2F2F2"/>
          </w:tcPr>
          <w:p>
            <w:r>
              <w:rPr>
                <w:sz w:val="20"/>
              </w:rPr>
              <w:t>Zelfsluitend</w:t>
            </w:r>
          </w:p>
        </w:tc>
        <w:tc>
          <w:tcPr>
            <w:tcW w:type="dxa" w:w="3135"/>
            <w:shd w:fill="F2F2F2"/>
          </w:tcPr>
          <w:p>
            <w:r>
              <w:rPr>
                <w:sz w:val="20"/>
              </w:rPr>
              <w:t>—</w:t>
            </w:r>
          </w:p>
        </w:tc>
      </w:tr>
      <w:tr>
        <w:tc>
          <w:tcPr>
            <w:tcW w:type="dxa" w:w="3135"/>
          </w:tcPr>
          <w:p>
            <w:r>
              <w:rPr>
                <w:sz w:val="20"/>
              </w:rPr>
              <w:t>WBDBO-verlaging bestaande bouw</w:t>
            </w:r>
          </w:p>
        </w:tc>
        <w:tc>
          <w:tcPr>
            <w:tcW w:type="dxa" w:w="3135"/>
          </w:tcPr>
          <w:p>
            <w:r>
              <w:rPr>
                <w:sz w:val="20"/>
              </w:rPr>
              <w:t>Niet toegestaan</w:t>
            </w:r>
          </w:p>
        </w:tc>
        <w:tc>
          <w:tcPr>
            <w:tcW w:type="dxa" w:w="3135"/>
          </w:tcPr>
          <w:p>
            <w:r>
              <w:rPr>
                <w:sz w:val="20"/>
              </w:rPr>
              <w:t>Niet toegestaan</w:t>
            </w:r>
          </w:p>
        </w:tc>
      </w:tr>
    </w:tbl>
    <w:p/>
    <w:p>
      <w:pPr>
        <w:pStyle w:val="Heading2"/>
      </w:pPr>
      <w:r>
        <w:t>5.2 Zonnepanelen op opslagvoorzieningen (M21)</w:t>
      </w:r>
    </w:p>
    <w:p>
      <w:r>
        <w:rPr>
          <w:b w:val="0"/>
          <w:i w:val="0"/>
          <w:sz w:val="22"/>
        </w:rPr>
        <w:t>Zonnepanelen (PV-installatie) op een PGS 15-opslagvoorziening zijn ALLEEN toegestaan na voorafgaande toestemming van het bevoegd gezag (Omgevingswet én Veiligheidsregio). [PGS 15:2025 — M21]</w:t>
      </w:r>
    </w:p>
    <w:p>
      <w:r>
        <w:rPr>
          <w:b/>
          <w:i w:val="0"/>
          <w:sz w:val="22"/>
        </w:rPr>
        <w:t>Wanneer een dak niet brandwerend is, is alles op het dak onderdeel van het brandcompartiment. Installaties mogen dan NIET aanwezig zijn, met uitzondering van installaties onlosmakelijk noodzakelijk voor de opslagfunctie.</w:t>
      </w:r>
    </w:p>
    <w:p>
      <w:pPr>
        <w:pStyle w:val="Heading2"/>
      </w:pPr>
      <w:r>
        <w:t>5.3 Brandveiligheidsopslagkast</w:t>
      </w:r>
    </w:p>
    <w:p>
      <w:r>
        <w:rPr>
          <w:b w:val="0"/>
          <w:i w:val="0"/>
          <w:sz w:val="22"/>
        </w:rPr>
        <w:t>Zelfstandige opslagvoorziening conform NEN-EN 14470-1 (type 30, 60 of 90 min). Voor gasflessen: minimaal 60 min brandwerendheid (NEN-EN 14470-11, NEN 2678). [PGS 15:2025 — Bijlage F]</w:t>
      </w:r>
    </w:p>
    <w:p>
      <w:pPr>
        <w:pStyle w:val="Heading2"/>
      </w:pPr>
      <w:r>
        <w:t>5.4 Productopvang (110%-regel)</w:t>
      </w:r>
    </w:p>
    <w:p>
      <w:r>
        <w:rPr>
          <w:b w:val="0"/>
          <w:i w:val="0"/>
          <w:sz w:val="22"/>
        </w:rPr>
        <w:t>De opvangcapaciteit is het hoogste van: [PGS 15:2025 — M35, M36]</w:t>
        <w:br/>
        <w:t>• 110% van de grootste afzonderlijke verpakking; of</w:t>
        <w:br/>
        <w:t>• 10% van de totale inhoud van alle verpakkingen</w:t>
      </w:r>
    </w:p>
    <w:p>
      <w:r>
        <w:rPr>
          <w:b w:val="0"/>
          <w:i/>
          <w:sz w:val="22"/>
        </w:rPr>
        <w:t>Bij acuut toxische stoffen (ADR 3 VG I/II, H300-H331): monsternamepunt op lekbak verplicht (M59).</w:t>
      </w:r>
    </w:p>
    <w:p>
      <w:pPr>
        <w:pStyle w:val="Heading2"/>
      </w:pPr>
      <w:r>
        <w:t>5.5 Compartimentering (Bijlage 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b/>
                <w:color w:val="FFFFFF"/>
                <w:sz w:val="20"/>
              </w:rPr>
              <w:t>Code</w:t>
            </w:r>
          </w:p>
        </w:tc>
        <w:tc>
          <w:tcPr>
            <w:tcW w:type="dxa" w:w="4703"/>
            <w:shd w:fill="003366"/>
          </w:tcPr>
          <w:p>
            <w:r>
              <w:rPr>
                <w:b/>
                <w:color w:val="FFFFFF"/>
                <w:sz w:val="20"/>
              </w:rPr>
              <w:t>Betekenis</w:t>
            </w:r>
          </w:p>
        </w:tc>
      </w:tr>
      <w:tr>
        <w:tc>
          <w:tcPr>
            <w:tcW w:type="dxa" w:w="4703"/>
          </w:tcPr>
          <w:p>
            <w:r>
              <w:rPr>
                <w:sz w:val="20"/>
              </w:rPr>
              <w:t>V</w:t>
            </w:r>
          </w:p>
        </w:tc>
        <w:tc>
          <w:tcPr>
            <w:tcW w:type="dxa" w:w="4703"/>
          </w:tcPr>
          <w:p>
            <w:r>
              <w:rPr>
                <w:sz w:val="20"/>
              </w:rPr>
              <w:t>Opslag in aparte vakken (vakscheiding)</w:t>
            </w:r>
          </w:p>
        </w:tc>
      </w:tr>
      <w:tr>
        <w:tc>
          <w:tcPr>
            <w:tcW w:type="dxa" w:w="4703"/>
            <w:shd w:fill="F2F2F2"/>
          </w:tcPr>
          <w:p>
            <w:r>
              <w:rPr>
                <w:sz w:val="20"/>
              </w:rPr>
              <w:t>B</w:t>
            </w:r>
          </w:p>
        </w:tc>
        <w:tc>
          <w:tcPr>
            <w:tcW w:type="dxa" w:w="4703"/>
            <w:shd w:fill="F2F2F2"/>
          </w:tcPr>
          <w:p>
            <w:r>
              <w:rPr>
                <w:sz w:val="20"/>
              </w:rPr>
              <w:t>Gescheiden opslag, tenzij beoordeeld dat stoffen niet reageren of beide als vaste stof</w:t>
            </w:r>
          </w:p>
        </w:tc>
      </w:tr>
      <w:tr>
        <w:tc>
          <w:tcPr>
            <w:tcW w:type="dxa" w:w="4703"/>
          </w:tcPr>
          <w:p>
            <w:r>
              <w:rPr>
                <w:sz w:val="20"/>
              </w:rPr>
              <w:t>—</w:t>
            </w:r>
          </w:p>
        </w:tc>
        <w:tc>
          <w:tcPr>
            <w:tcW w:type="dxa" w:w="4703"/>
          </w:tcPr>
          <w:p>
            <w:r>
              <w:rPr>
                <w:sz w:val="20"/>
              </w:rPr>
              <w:t>Gescheiden opslag niet noodzakelijk</w:t>
            </w:r>
          </w:p>
        </w:tc>
      </w:tr>
    </w:tbl>
    <w:p/>
    <w:p>
      <w:r>
        <w:rPr>
          <w:b w:val="0"/>
          <w:i w:val="0"/>
          <w:sz w:val="22"/>
        </w:rPr>
        <w:t>Stoffen ADR 6.1 VG I of ADR 8 VG I met etiket 6.1: apart brandcompartiment of 5 m vrije zone (M49).</w:t>
      </w:r>
    </w:p>
    <w:p>
      <w:pPr>
        <w:pStyle w:val="Heading2"/>
      </w:pPr>
      <w:r>
        <w:t>5.6 WBDBO — Weerstand tegen Branddoorslag en Brandoverslag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b/>
                <w:color w:val="FFFFFF"/>
                <w:sz w:val="20"/>
              </w:rPr>
              <w:t>Constructieonderdeel</w:t>
            </w:r>
          </w:p>
        </w:tc>
        <w:tc>
          <w:tcPr>
            <w:tcW w:type="dxa" w:w="4703"/>
            <w:shd w:fill="003366"/>
          </w:tcPr>
          <w:p>
            <w:r>
              <w:rPr>
                <w:b/>
                <w:color w:val="FFFFFF"/>
                <w:sz w:val="20"/>
              </w:rPr>
              <w:t>Vereiste WBDBO</w:t>
            </w:r>
          </w:p>
        </w:tc>
      </w:tr>
      <w:tr>
        <w:tc>
          <w:tcPr>
            <w:tcW w:type="dxa" w:w="4703"/>
          </w:tcPr>
          <w:p>
            <w:r>
              <w:rPr>
                <w:sz w:val="20"/>
              </w:rPr>
              <w:t>Brandveiligheidsopslagkast</w:t>
            </w:r>
          </w:p>
        </w:tc>
        <w:tc>
          <w:tcPr>
            <w:tcW w:type="dxa" w:w="4703"/>
          </w:tcPr>
          <w:p>
            <w:r>
              <w:rPr>
                <w:sz w:val="20"/>
              </w:rPr>
              <w:t>Min. 30 min (gasflessen: 60 min)</w:t>
            </w:r>
          </w:p>
        </w:tc>
      </w:tr>
      <w:tr>
        <w:tc>
          <w:tcPr>
            <w:tcW w:type="dxa" w:w="4703"/>
            <w:shd w:fill="F2F2F2"/>
          </w:tcPr>
          <w:p>
            <w:r>
              <w:rPr>
                <w:sz w:val="20"/>
              </w:rPr>
              <w:t>Binnenopslag standaard</w:t>
            </w:r>
          </w:p>
        </w:tc>
        <w:tc>
          <w:tcPr>
            <w:tcW w:type="dxa" w:w="4703"/>
            <w:shd w:fill="F2F2F2"/>
          </w:tcPr>
          <w:p>
            <w:r>
              <w:rPr>
                <w:sz w:val="20"/>
              </w:rPr>
              <w:t>60 min</w:t>
            </w:r>
          </w:p>
        </w:tc>
      </w:tr>
      <w:tr>
        <w:tc>
          <w:tcPr>
            <w:tcW w:type="dxa" w:w="4703"/>
          </w:tcPr>
          <w:p>
            <w:r>
              <w:rPr>
                <w:sz w:val="20"/>
              </w:rPr>
              <w:t>Buitenopslag standaard</w:t>
            </w:r>
          </w:p>
        </w:tc>
        <w:tc>
          <w:tcPr>
            <w:tcW w:type="dxa" w:w="4703"/>
          </w:tcPr>
          <w:p>
            <w:r>
              <w:rPr>
                <w:sz w:val="20"/>
              </w:rPr>
              <w:t>60 min</w:t>
            </w:r>
          </w:p>
        </w:tc>
      </w:tr>
      <w:tr>
        <w:tc>
          <w:tcPr>
            <w:tcW w:type="dxa" w:w="4703"/>
            <w:shd w:fill="F2F2F2"/>
          </w:tcPr>
          <w:p>
            <w:r>
              <w:rPr>
                <w:sz w:val="20"/>
              </w:rPr>
              <w:t>Veiligheidsniveau A (≤10 ton)</w:t>
            </w:r>
          </w:p>
        </w:tc>
        <w:tc>
          <w:tcPr>
            <w:tcW w:type="dxa" w:w="4703"/>
            <w:shd w:fill="F2F2F2"/>
          </w:tcPr>
          <w:p>
            <w:r>
              <w:rPr>
                <w:sz w:val="20"/>
              </w:rPr>
              <w:t>60 min</w:t>
            </w:r>
          </w:p>
        </w:tc>
      </w:tr>
      <w:tr>
        <w:tc>
          <w:tcPr>
            <w:tcW w:type="dxa" w:w="4703"/>
          </w:tcPr>
          <w:p>
            <w:r>
              <w:rPr>
                <w:sz w:val="20"/>
              </w:rPr>
              <w:t>Veiligheidsniveau A (&gt;10 ton)</w:t>
            </w:r>
          </w:p>
        </w:tc>
        <w:tc>
          <w:tcPr>
            <w:tcW w:type="dxa" w:w="4703"/>
          </w:tcPr>
          <w:p>
            <w:r>
              <w:rPr>
                <w:sz w:val="20"/>
              </w:rPr>
              <w:t>90 min</w:t>
            </w:r>
          </w:p>
        </w:tc>
      </w:tr>
      <w:tr>
        <w:tc>
          <w:tcPr>
            <w:tcW w:type="dxa" w:w="4703"/>
            <w:shd w:fill="F2F2F2"/>
          </w:tcPr>
          <w:p>
            <w:r>
              <w:rPr>
                <w:sz w:val="20"/>
              </w:rPr>
              <w:t>Draagconstructie (M24)</w:t>
            </w:r>
          </w:p>
        </w:tc>
        <w:tc>
          <w:tcPr>
            <w:tcW w:type="dxa" w:w="4703"/>
            <w:shd w:fill="F2F2F2"/>
          </w:tcPr>
          <w:p>
            <w:r>
              <w:rPr>
                <w:sz w:val="20"/>
              </w:rPr>
              <w:t>Gelijk aan WBDBO brandcompartiment</w:t>
            </w:r>
          </w:p>
        </w:tc>
      </w:tr>
    </w:tbl>
    <w:p/>
    <w:p>
      <w:r>
        <w:rPr>
          <w:b/>
          <w:i w:val="0"/>
          <w:sz w:val="22"/>
        </w:rPr>
        <w:t>Afstandsequivalenten (M90):</w:t>
      </w:r>
    </w:p>
    <w:p>
      <w:r>
        <w:rPr>
          <w:b w:val="0"/>
          <w:i w:val="0"/>
          <w:sz w:val="22"/>
        </w:rPr>
        <w:t>• ≥5 m afstand = reductie 30 min WBDBO</w:t>
        <w:br/>
        <w:t>• ≥15 m afstand = reductie 60 min WBDBO (was 10 m in PGS 15:2021)</w:t>
        <w:br/>
        <w:t>• 90 min WBDBO: ALTIJD via berekening, niet via afstand</w:t>
        <w:br/>
        <w:br/>
        <w:t>Uitsluitingen: WBDBO 90 min, gebouwen &gt;8 m met gevel &lt;30 min, open opslagen hoge vuurbelasting, VBB-eisen.</w:t>
      </w:r>
    </w:p>
    <w:p>
      <w:pPr>
        <w:pStyle w:val="Heading2"/>
      </w:pPr>
      <w:r>
        <w:t>5.7 Informatievoorziening hulpdiensten (M116, M117, M118)</w:t>
      </w:r>
    </w:p>
    <w:p>
      <w:r>
        <w:rPr>
          <w:b w:val="0"/>
          <w:i w:val="0"/>
          <w:sz w:val="22"/>
        </w:rPr>
        <w:t>De oude "journaalverplichting" is vervangen door gegevensbeschikbaarheid: [PGS 15:2025 — M116, M117, M118]</w:t>
      </w:r>
    </w:p>
    <w:p>
      <w:r>
        <w:rPr>
          <w:b/>
          <w:i w:val="0"/>
          <w:sz w:val="22"/>
        </w:rPr>
        <w:t>M116 — Bij &gt;2.500 kg (bij aankomst beschikbaar):</w:t>
      </w:r>
    </w:p>
    <w:p>
      <w:r>
        <w:rPr>
          <w:b w:val="0"/>
          <w:i w:val="0"/>
          <w:sz w:val="22"/>
        </w:rPr>
        <w:t>• Plattegrond conform NEN 1414-1</w:t>
        <w:br/>
        <w:t>• Stoffenlijst per opslagvoorziening (ADR-klasse, maximale hoeveelheid)</w:t>
      </w:r>
    </w:p>
    <w:p>
      <w:r>
        <w:rPr>
          <w:b/>
          <w:i w:val="0"/>
          <w:sz w:val="22"/>
        </w:rPr>
        <w:t>M117 — Binnen 30 min na aankomst hulpdienst:</w:t>
      </w:r>
    </w:p>
    <w:p>
      <w:r>
        <w:rPr>
          <w:b w:val="0"/>
          <w:i w:val="0"/>
          <w:sz w:val="22"/>
        </w:rPr>
        <w:t>• Vervoersnaam + chemische naam</w:t>
        <w:br/>
        <w:t>• ADR-klasse, UN-nummer, GEVI-nummer</w:t>
        <w:br/>
        <w:t>• Actuele hoeveelheid per UN-nummer</w:t>
        <w:br/>
        <w:t>• Verpakkingsgroep</w:t>
        <w:br/>
        <w:t>• CMR/CLP-stoffen met chemische naam</w:t>
        <w:br/>
        <w:t>• MSDS</w:t>
        <w:br/>
        <w:t>• Deskundig persoon beschikbaar (telefonisch toegestaan)</w:t>
      </w:r>
    </w:p>
    <w:p>
      <w:r>
        <w:br w:type="page"/>
      </w:r>
    </w:p>
    <w:p>
      <w:pPr>
        <w:pStyle w:val="Heading1"/>
      </w:pPr>
      <w:r>
        <w:t>Hoofdstuk 6 — Snelde Referentie: Veiligheidsniveaus &amp; Drempelwaarden</w:t>
      </w:r>
    </w:p>
    <w:p>
      <w:pPr>
        <w:pStyle w:val="Heading2"/>
      </w:pPr>
      <w:r>
        <w:t>6.1 Veiligheidsniveau bepalen — Stappenplan</w:t>
      </w:r>
    </w:p>
    <w:p>
      <w:r>
        <w:rPr>
          <w:b w:val="0"/>
          <w:i w:val="0"/>
          <w:sz w:val="22"/>
        </w:rPr>
        <w:t>Stap 1: Bepaal ADR-klasse, verpakkingsgroep en vlampunt</w:t>
        <w:br/>
        <w:t>Stap 2: Bepaal opgeslagen hoeveelheid</w:t>
        <w:br/>
        <w:t>Stap 3: Raadpleeg Tabel 6 in M3 → lees veiligheidsniveau en WBDBO</w:t>
        <w:br/>
        <w:t>Stap 4: Bepaal type opslag (binnen/buiten/kast/container/tijdelijk)</w:t>
        <w:br/>
        <w:t>Stap 5: Filter maatregelen uit §7 op veiligheidsniveau + type opslag + stofgroep</w:t>
      </w:r>
    </w:p>
    <w:p>
      <w:pPr>
        <w:pStyle w:val="Heading2"/>
      </w:pPr>
      <w:r>
        <w:t>6.2 Overzicht veiligheidsniveaus per stofklasse (Tabel 6 — samenvatting)</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Pr>
                <w:b/>
                <w:color w:val="FFFFFF"/>
                <w:sz w:val="20"/>
              </w:rPr>
              <w:t>Stofklasse</w:t>
            </w:r>
          </w:p>
        </w:tc>
        <w:tc>
          <w:tcPr>
            <w:tcW w:type="dxa" w:w="1881"/>
            <w:shd w:fill="003366"/>
          </w:tcPr>
          <w:p>
            <w:r>
              <w:rPr>
                <w:b/>
                <w:color w:val="FFFFFF"/>
                <w:sz w:val="20"/>
              </w:rPr>
              <w:t>Niveau A drempel</w:t>
            </w:r>
          </w:p>
        </w:tc>
        <w:tc>
          <w:tcPr>
            <w:tcW w:type="dxa" w:w="1881"/>
            <w:shd w:fill="003366"/>
          </w:tcPr>
          <w:p>
            <w:r>
              <w:rPr>
                <w:b/>
                <w:color w:val="FFFFFF"/>
                <w:sz w:val="20"/>
              </w:rPr>
              <w:t>WBDBO</w:t>
            </w:r>
          </w:p>
        </w:tc>
        <w:tc>
          <w:tcPr>
            <w:tcW w:type="dxa" w:w="1881"/>
            <w:shd w:fill="003366"/>
          </w:tcPr>
          <w:p>
            <w:r>
              <w:rPr>
                <w:b/>
                <w:color w:val="FFFFFF"/>
                <w:sz w:val="20"/>
              </w:rPr>
              <w:t>Niveau B drempel</w:t>
            </w:r>
          </w:p>
        </w:tc>
        <w:tc>
          <w:tcPr>
            <w:tcW w:type="dxa" w:w="1881"/>
            <w:shd w:fill="003366"/>
          </w:tcPr>
          <w:p>
            <w:r>
              <w:rPr>
                <w:b/>
                <w:color w:val="FFFFFF"/>
                <w:sz w:val="20"/>
              </w:rPr>
              <w:t>WBDBO</w:t>
            </w:r>
          </w:p>
        </w:tc>
      </w:tr>
      <w:tr>
        <w:tc>
          <w:tcPr>
            <w:tcW w:type="dxa" w:w="1881"/>
          </w:tcPr>
          <w:p>
            <w:r>
              <w:rPr>
                <w:sz w:val="20"/>
              </w:rPr>
              <w:t>ADR 2.1 gasflessen</w:t>
            </w:r>
          </w:p>
        </w:tc>
        <w:tc>
          <w:tcPr>
            <w:tcW w:type="dxa" w:w="1881"/>
          </w:tcPr>
          <w:p>
            <w:r>
              <w:rPr>
                <w:sz w:val="20"/>
              </w:rPr>
              <w:t>Vanaf ondergrens</w:t>
            </w:r>
          </w:p>
        </w:tc>
        <w:tc>
          <w:tcPr>
            <w:tcW w:type="dxa" w:w="1881"/>
          </w:tcPr>
          <w:p>
            <w:r>
              <w:rPr>
                <w:sz w:val="20"/>
              </w:rPr>
              <w:t>60 min</w:t>
            </w:r>
          </w:p>
        </w:tc>
        <w:tc>
          <w:tcPr>
            <w:tcW w:type="dxa" w:w="1881"/>
          </w:tcPr>
          <w:p>
            <w:r>
              <w:rPr>
                <w:sz w:val="20"/>
              </w:rPr>
              <w:t>—</w:t>
            </w:r>
          </w:p>
        </w:tc>
        <w:tc>
          <w:tcPr>
            <w:tcW w:type="dxa" w:w="1881"/>
          </w:tcPr>
          <w:p>
            <w:r>
              <w:rPr>
                <w:sz w:val="20"/>
              </w:rPr>
              <w:t>—</w:t>
            </w:r>
          </w:p>
        </w:tc>
      </w:tr>
      <w:tr>
        <w:tc>
          <w:tcPr>
            <w:tcW w:type="dxa" w:w="1881"/>
            <w:shd w:fill="F2F2F2"/>
          </w:tcPr>
          <w:p>
            <w:r>
              <w:rPr>
                <w:sz w:val="20"/>
              </w:rPr>
              <w:t>ADR 2.3 giftige/bijtende gassen</w:t>
            </w:r>
          </w:p>
        </w:tc>
        <w:tc>
          <w:tcPr>
            <w:tcW w:type="dxa" w:w="1881"/>
            <w:shd w:fill="F2F2F2"/>
          </w:tcPr>
          <w:p>
            <w:r>
              <w:rPr>
                <w:sz w:val="20"/>
              </w:rPr>
              <w:t>Vanaf ondergrens</w:t>
            </w:r>
          </w:p>
        </w:tc>
        <w:tc>
          <w:tcPr>
            <w:tcW w:type="dxa" w:w="1881"/>
            <w:shd w:fill="F2F2F2"/>
          </w:tcPr>
          <w:p>
            <w:r>
              <w:rPr>
                <w:sz w:val="20"/>
              </w:rPr>
              <w:t>60 min</w:t>
            </w:r>
          </w:p>
        </w:tc>
        <w:tc>
          <w:tcPr>
            <w:tcW w:type="dxa" w:w="1881"/>
            <w:shd w:fill="F2F2F2"/>
          </w:tcPr>
          <w:p>
            <w:r>
              <w:rPr>
                <w:sz w:val="20"/>
              </w:rPr>
              <w:t>—</w:t>
            </w:r>
          </w:p>
        </w:tc>
        <w:tc>
          <w:tcPr>
            <w:tcW w:type="dxa" w:w="1881"/>
            <w:shd w:fill="F2F2F2"/>
          </w:tcPr>
          <w:p>
            <w:r>
              <w:rPr>
                <w:sz w:val="20"/>
              </w:rPr>
              <w:t>—</w:t>
            </w:r>
          </w:p>
        </w:tc>
      </w:tr>
      <w:tr>
        <w:tc>
          <w:tcPr>
            <w:tcW w:type="dxa" w:w="1881"/>
          </w:tcPr>
          <w:p>
            <w:r>
              <w:rPr>
                <w:sz w:val="20"/>
              </w:rPr>
              <w:t>ADR 3 VG I</w:t>
            </w:r>
          </w:p>
        </w:tc>
        <w:tc>
          <w:tcPr>
            <w:tcW w:type="dxa" w:w="1881"/>
          </w:tcPr>
          <w:p>
            <w:r>
              <w:rPr>
                <w:sz w:val="20"/>
              </w:rPr>
              <w:t>Maatwerk</w:t>
            </w:r>
          </w:p>
        </w:tc>
        <w:tc>
          <w:tcPr>
            <w:tcW w:type="dxa" w:w="1881"/>
          </w:tcPr>
          <w:p>
            <w:r>
              <w:rPr>
                <w:sz w:val="20"/>
              </w:rPr>
              <w:t>—</w:t>
            </w:r>
          </w:p>
        </w:tc>
        <w:tc>
          <w:tcPr>
            <w:tcW w:type="dxa" w:w="1881"/>
          </w:tcPr>
          <w:p>
            <w:r>
              <w:rPr>
                <w:sz w:val="20"/>
              </w:rPr>
              <w:t>—</w:t>
            </w:r>
          </w:p>
        </w:tc>
        <w:tc>
          <w:tcPr>
            <w:tcW w:type="dxa" w:w="1881"/>
          </w:tcPr>
          <w:p>
            <w:r>
              <w:rPr>
                <w:sz w:val="20"/>
              </w:rPr>
              <w:t>—</w:t>
            </w:r>
          </w:p>
        </w:tc>
      </w:tr>
      <w:tr>
        <w:tc>
          <w:tcPr>
            <w:tcW w:type="dxa" w:w="1881"/>
            <w:shd w:fill="F2F2F2"/>
          </w:tcPr>
          <w:p>
            <w:r>
              <w:rPr>
                <w:sz w:val="20"/>
              </w:rPr>
              <w:t>ADR 3 VG II</w:t>
            </w:r>
          </w:p>
        </w:tc>
        <w:tc>
          <w:tcPr>
            <w:tcW w:type="dxa" w:w="1881"/>
            <w:shd w:fill="F2F2F2"/>
          </w:tcPr>
          <w:p>
            <w:r>
              <w:rPr>
                <w:sz w:val="20"/>
              </w:rPr>
              <w:t>&lt;10 ton</w:t>
            </w:r>
          </w:p>
        </w:tc>
        <w:tc>
          <w:tcPr>
            <w:tcW w:type="dxa" w:w="1881"/>
            <w:shd w:fill="F2F2F2"/>
          </w:tcPr>
          <w:p>
            <w:r>
              <w:rPr>
                <w:sz w:val="20"/>
              </w:rPr>
              <w:t>60/90 min</w:t>
            </w:r>
          </w:p>
        </w:tc>
        <w:tc>
          <w:tcPr>
            <w:tcW w:type="dxa" w:w="1881"/>
            <w:shd w:fill="F2F2F2"/>
          </w:tcPr>
          <w:p>
            <w:r>
              <w:rPr>
                <w:sz w:val="20"/>
              </w:rPr>
              <w:t>—</w:t>
            </w:r>
          </w:p>
        </w:tc>
        <w:tc>
          <w:tcPr>
            <w:tcW w:type="dxa" w:w="1881"/>
            <w:shd w:fill="F2F2F2"/>
          </w:tcPr>
          <w:p>
            <w:r>
              <w:rPr>
                <w:sz w:val="20"/>
              </w:rPr>
              <w:t>—</w:t>
            </w:r>
          </w:p>
        </w:tc>
      </w:tr>
      <w:tr>
        <w:tc>
          <w:tcPr>
            <w:tcW w:type="dxa" w:w="1881"/>
          </w:tcPr>
          <w:p>
            <w:r>
              <w:rPr>
                <w:sz w:val="20"/>
              </w:rPr>
              <w:t>ADR 3 VG III</w:t>
            </w:r>
          </w:p>
        </w:tc>
        <w:tc>
          <w:tcPr>
            <w:tcW w:type="dxa" w:w="1881"/>
          </w:tcPr>
          <w:p>
            <w:r>
              <w:rPr>
                <w:sz w:val="20"/>
              </w:rPr>
              <w:t>&lt;10 ton</w:t>
            </w:r>
          </w:p>
        </w:tc>
        <w:tc>
          <w:tcPr>
            <w:tcW w:type="dxa" w:w="1881"/>
          </w:tcPr>
          <w:p>
            <w:r>
              <w:rPr>
                <w:sz w:val="20"/>
              </w:rPr>
              <w:t>60/90 min</w:t>
            </w:r>
          </w:p>
        </w:tc>
        <w:tc>
          <w:tcPr>
            <w:tcW w:type="dxa" w:w="1881"/>
          </w:tcPr>
          <w:p>
            <w:r>
              <w:rPr>
                <w:sz w:val="20"/>
              </w:rPr>
              <w:t>—</w:t>
            </w:r>
          </w:p>
        </w:tc>
        <w:tc>
          <w:tcPr>
            <w:tcW w:type="dxa" w:w="1881"/>
          </w:tcPr>
          <w:p>
            <w:r>
              <w:rPr>
                <w:sz w:val="20"/>
              </w:rPr>
              <w:t>—</w:t>
            </w:r>
          </w:p>
        </w:tc>
      </w:tr>
      <w:tr>
        <w:tc>
          <w:tcPr>
            <w:tcW w:type="dxa" w:w="1881"/>
            <w:shd w:fill="F2F2F2"/>
          </w:tcPr>
          <w:p>
            <w:r>
              <w:rPr>
                <w:sz w:val="20"/>
              </w:rPr>
              <w:t>ADR 4.1 VG II/III</w:t>
            </w:r>
          </w:p>
        </w:tc>
        <w:tc>
          <w:tcPr>
            <w:tcW w:type="dxa" w:w="1881"/>
            <w:shd w:fill="F2F2F2"/>
          </w:tcPr>
          <w:p>
            <w:r>
              <w:rPr>
                <w:sz w:val="20"/>
              </w:rPr>
              <w:t>&lt;10 ton</w:t>
            </w:r>
          </w:p>
        </w:tc>
        <w:tc>
          <w:tcPr>
            <w:tcW w:type="dxa" w:w="1881"/>
            <w:shd w:fill="F2F2F2"/>
          </w:tcPr>
          <w:p>
            <w:r>
              <w:rPr>
                <w:sz w:val="20"/>
              </w:rPr>
              <w:t>60/90 min</w:t>
            </w:r>
          </w:p>
        </w:tc>
        <w:tc>
          <w:tcPr>
            <w:tcW w:type="dxa" w:w="1881"/>
            <w:shd w:fill="F2F2F2"/>
          </w:tcPr>
          <w:p>
            <w:r>
              <w:rPr>
                <w:sz w:val="20"/>
              </w:rPr>
              <w:t>—</w:t>
            </w:r>
          </w:p>
        </w:tc>
        <w:tc>
          <w:tcPr>
            <w:tcW w:type="dxa" w:w="1881"/>
            <w:shd w:fill="F2F2F2"/>
          </w:tcPr>
          <w:p>
            <w:r>
              <w:rPr>
                <w:sz w:val="20"/>
              </w:rPr>
              <w:t>—</w:t>
            </w:r>
          </w:p>
        </w:tc>
      </w:tr>
      <w:tr>
        <w:tc>
          <w:tcPr>
            <w:tcW w:type="dxa" w:w="1881"/>
          </w:tcPr>
          <w:p>
            <w:r>
              <w:rPr>
                <w:sz w:val="20"/>
              </w:rPr>
              <w:t>ADR 5.1</w:t>
            </w:r>
          </w:p>
        </w:tc>
        <w:tc>
          <w:tcPr>
            <w:tcW w:type="dxa" w:w="1881"/>
          </w:tcPr>
          <w:p>
            <w:r>
              <w:rPr>
                <w:sz w:val="20"/>
              </w:rPr>
              <w:t>&lt;10 ton</w:t>
            </w:r>
          </w:p>
        </w:tc>
        <w:tc>
          <w:tcPr>
            <w:tcW w:type="dxa" w:w="1881"/>
          </w:tcPr>
          <w:p>
            <w:r>
              <w:rPr>
                <w:sz w:val="20"/>
              </w:rPr>
              <w:t>60/90 min</w:t>
            </w:r>
          </w:p>
        </w:tc>
        <w:tc>
          <w:tcPr>
            <w:tcW w:type="dxa" w:w="1881"/>
          </w:tcPr>
          <w:p>
            <w:r>
              <w:rPr>
                <w:sz w:val="20"/>
              </w:rPr>
              <w:t>—</w:t>
            </w:r>
          </w:p>
        </w:tc>
        <w:tc>
          <w:tcPr>
            <w:tcW w:type="dxa" w:w="1881"/>
          </w:tcPr>
          <w:p>
            <w:r>
              <w:rPr>
                <w:sz w:val="20"/>
              </w:rPr>
              <w:t>—</w:t>
            </w:r>
          </w:p>
        </w:tc>
      </w:tr>
      <w:tr>
        <w:tc>
          <w:tcPr>
            <w:tcW w:type="dxa" w:w="1881"/>
            <w:shd w:fill="F2F2F2"/>
          </w:tcPr>
          <w:p>
            <w:r>
              <w:rPr>
                <w:sz w:val="20"/>
              </w:rPr>
              <w:t>ADR 6.1 VG I/II</w:t>
            </w:r>
          </w:p>
        </w:tc>
        <w:tc>
          <w:tcPr>
            <w:tcW w:type="dxa" w:w="1881"/>
            <w:shd w:fill="F2F2F2"/>
          </w:tcPr>
          <w:p>
            <w:r>
              <w:rPr>
                <w:sz w:val="20"/>
              </w:rPr>
              <w:t>—</w:t>
            </w:r>
          </w:p>
        </w:tc>
        <w:tc>
          <w:tcPr>
            <w:tcW w:type="dxa" w:w="1881"/>
            <w:shd w:fill="F2F2F2"/>
          </w:tcPr>
          <w:p>
            <w:r>
              <w:rPr>
                <w:sz w:val="20"/>
              </w:rPr>
              <w:t>—</w:t>
            </w:r>
          </w:p>
        </w:tc>
        <w:tc>
          <w:tcPr>
            <w:tcW w:type="dxa" w:w="1881"/>
            <w:shd w:fill="F2F2F2"/>
          </w:tcPr>
          <w:p>
            <w:r>
              <w:rPr>
                <w:sz w:val="20"/>
              </w:rPr>
              <w:t>Vanaf ondergrens</w:t>
            </w:r>
          </w:p>
        </w:tc>
        <w:tc>
          <w:tcPr>
            <w:tcW w:type="dxa" w:w="1881"/>
            <w:shd w:fill="F2F2F2"/>
          </w:tcPr>
          <w:p>
            <w:r>
              <w:rPr>
                <w:sz w:val="20"/>
              </w:rPr>
              <w:t>60 min</w:t>
            </w:r>
          </w:p>
        </w:tc>
      </w:tr>
      <w:tr>
        <w:tc>
          <w:tcPr>
            <w:tcW w:type="dxa" w:w="1881"/>
          </w:tcPr>
          <w:p>
            <w:r>
              <w:rPr>
                <w:sz w:val="20"/>
              </w:rPr>
              <w:t>ADR 9 (M6/M7)</w:t>
            </w:r>
          </w:p>
        </w:tc>
        <w:tc>
          <w:tcPr>
            <w:tcW w:type="dxa" w:w="1881"/>
          </w:tcPr>
          <w:p>
            <w:r>
              <w:rPr>
                <w:sz w:val="20"/>
              </w:rPr>
              <w:t>—</w:t>
            </w:r>
          </w:p>
        </w:tc>
        <w:tc>
          <w:tcPr>
            <w:tcW w:type="dxa" w:w="1881"/>
          </w:tcPr>
          <w:p>
            <w:r>
              <w:rPr>
                <w:sz w:val="20"/>
              </w:rPr>
              <w:t>—</w:t>
            </w:r>
          </w:p>
        </w:tc>
        <w:tc>
          <w:tcPr>
            <w:tcW w:type="dxa" w:w="1881"/>
          </w:tcPr>
          <w:p>
            <w:r>
              <w:rPr>
                <w:sz w:val="20"/>
              </w:rPr>
              <w:t>Vanaf ondergrens</w:t>
            </w:r>
          </w:p>
        </w:tc>
        <w:tc>
          <w:tcPr>
            <w:tcW w:type="dxa" w:w="1881"/>
          </w:tcPr>
          <w:p>
            <w:r>
              <w:rPr>
                <w:sz w:val="20"/>
              </w:rPr>
              <w:t>60 min</w:t>
            </w:r>
          </w:p>
        </w:tc>
      </w:tr>
    </w:tbl>
    <w:p/>
    <w:p>
      <w:r>
        <w:rPr>
          <w:b w:val="0"/>
          <w:i/>
          <w:sz w:val="22"/>
        </w:rPr>
        <w:t>Raadpleeg altijd de volledige Tabel 6 in M3 voor exacte drempelwaarden.</w:t>
      </w:r>
    </w:p>
    <w:p>
      <w:pPr>
        <w:pStyle w:val="Heading2"/>
      </w:pPr>
      <w:r>
        <w:t>6.3 Eisen per veiligheidsniveau</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Pr>
                <w:b/>
                <w:color w:val="FFFFFF"/>
                <w:sz w:val="20"/>
              </w:rPr>
              <w:t>Eis</w:t>
            </w:r>
          </w:p>
        </w:tc>
        <w:tc>
          <w:tcPr>
            <w:tcW w:type="dxa" w:w="1881"/>
            <w:shd w:fill="003366"/>
          </w:tcPr>
          <w:p>
            <w:r>
              <w:rPr>
                <w:b/>
                <w:color w:val="FFFFFF"/>
                <w:sz w:val="20"/>
              </w:rPr>
              <w:t>Basis</w:t>
            </w:r>
          </w:p>
        </w:tc>
        <w:tc>
          <w:tcPr>
            <w:tcW w:type="dxa" w:w="1881"/>
            <w:shd w:fill="003366"/>
          </w:tcPr>
          <w:p>
            <w:r>
              <w:rPr>
                <w:b/>
                <w:color w:val="FFFFFF"/>
                <w:sz w:val="20"/>
              </w:rPr>
              <w:t>Niveau A</w:t>
            </w:r>
          </w:p>
        </w:tc>
        <w:tc>
          <w:tcPr>
            <w:tcW w:type="dxa" w:w="1881"/>
            <w:shd w:fill="003366"/>
          </w:tcPr>
          <w:p>
            <w:r>
              <w:rPr>
                <w:b/>
                <w:color w:val="FFFFFF"/>
                <w:sz w:val="20"/>
              </w:rPr>
              <w:t>Niveau B</w:t>
            </w:r>
          </w:p>
        </w:tc>
        <w:tc>
          <w:tcPr>
            <w:tcW w:type="dxa" w:w="1881"/>
            <w:shd w:fill="003366"/>
          </w:tcPr>
          <w:p>
            <w:r>
              <w:rPr>
                <w:b/>
                <w:color w:val="FFFFFF"/>
                <w:sz w:val="20"/>
              </w:rPr>
              <w:t>Niveau C</w:t>
            </w:r>
          </w:p>
        </w:tc>
      </w:tr>
      <w:tr>
        <w:tc>
          <w:tcPr>
            <w:tcW w:type="dxa" w:w="1881"/>
          </w:tcPr>
          <w:p>
            <w:r>
              <w:rPr>
                <w:sz w:val="20"/>
              </w:rPr>
              <w:t>MW1 Zorgplicht basisveiligheid</w:t>
            </w:r>
          </w:p>
        </w:tc>
        <w:tc>
          <w:tcPr>
            <w:tcW w:type="dxa" w:w="1881"/>
          </w:tcPr>
          <w:p>
            <w:r>
              <w:rPr>
                <w:sz w:val="20"/>
              </w:rPr>
              <w:t>Ja</w:t>
            </w:r>
          </w:p>
        </w:tc>
        <w:tc>
          <w:tcPr>
            <w:tcW w:type="dxa" w:w="1881"/>
          </w:tcPr>
          <w:p>
            <w:r>
              <w:rPr>
                <w:sz w:val="20"/>
              </w:rPr>
              <w:t>Ja</w:t>
            </w:r>
          </w:p>
        </w:tc>
        <w:tc>
          <w:tcPr>
            <w:tcW w:type="dxa" w:w="1881"/>
          </w:tcPr>
          <w:p>
            <w:r>
              <w:rPr>
                <w:sz w:val="20"/>
              </w:rPr>
              <w:t>Ja</w:t>
            </w:r>
          </w:p>
        </w:tc>
        <w:tc>
          <w:tcPr>
            <w:tcW w:type="dxa" w:w="1881"/>
          </w:tcPr>
          <w:p>
            <w:r>
              <w:rPr>
                <w:sz w:val="20"/>
              </w:rPr>
              <w:t>Ja</w:t>
            </w:r>
          </w:p>
        </w:tc>
      </w:tr>
      <w:tr>
        <w:tc>
          <w:tcPr>
            <w:tcW w:type="dxa" w:w="1881"/>
            <w:shd w:fill="F2F2F2"/>
          </w:tcPr>
          <w:p>
            <w:r>
              <w:rPr>
                <w:sz w:val="20"/>
              </w:rPr>
              <w:t>WBDBO</w:t>
            </w:r>
          </w:p>
        </w:tc>
        <w:tc>
          <w:tcPr>
            <w:tcW w:type="dxa" w:w="1881"/>
            <w:shd w:fill="F2F2F2"/>
          </w:tcPr>
          <w:p>
            <w:r>
              <w:rPr>
                <w:sz w:val="20"/>
              </w:rPr>
              <w:t>60 min</w:t>
            </w:r>
          </w:p>
        </w:tc>
        <w:tc>
          <w:tcPr>
            <w:tcW w:type="dxa" w:w="1881"/>
            <w:shd w:fill="F2F2F2"/>
          </w:tcPr>
          <w:p>
            <w:r>
              <w:rPr>
                <w:sz w:val="20"/>
              </w:rPr>
              <w:t>60/90 min</w:t>
            </w:r>
          </w:p>
        </w:tc>
        <w:tc>
          <w:tcPr>
            <w:tcW w:type="dxa" w:w="1881"/>
            <w:shd w:fill="F2F2F2"/>
          </w:tcPr>
          <w:p>
            <w:r>
              <w:rPr>
                <w:sz w:val="20"/>
              </w:rPr>
              <w:t>60 min</w:t>
            </w:r>
          </w:p>
        </w:tc>
        <w:tc>
          <w:tcPr>
            <w:tcW w:type="dxa" w:w="1881"/>
            <w:shd w:fill="F2F2F2"/>
          </w:tcPr>
          <w:p>
            <w:r>
              <w:rPr>
                <w:sz w:val="20"/>
              </w:rPr>
              <w:t>Per maatregel</w:t>
            </w:r>
          </w:p>
        </w:tc>
      </w:tr>
      <w:tr>
        <w:tc>
          <w:tcPr>
            <w:tcW w:type="dxa" w:w="1881"/>
          </w:tcPr>
          <w:p>
            <w:r>
              <w:rPr>
                <w:sz w:val="20"/>
              </w:rPr>
              <w:t>VBB-installatie</w:t>
            </w:r>
          </w:p>
        </w:tc>
        <w:tc>
          <w:tcPr>
            <w:tcW w:type="dxa" w:w="1881"/>
          </w:tcPr>
          <w:p>
            <w:r>
              <w:rPr>
                <w:sz w:val="20"/>
              </w:rPr>
              <w:t>Nee</w:t>
            </w:r>
          </w:p>
        </w:tc>
        <w:tc>
          <w:tcPr>
            <w:tcW w:type="dxa" w:w="1881"/>
          </w:tcPr>
          <w:p>
            <w:r>
              <w:rPr>
                <w:sz w:val="20"/>
              </w:rPr>
              <w:t>Ja</w:t>
            </w:r>
          </w:p>
        </w:tc>
        <w:tc>
          <w:tcPr>
            <w:tcW w:type="dxa" w:w="1881"/>
          </w:tcPr>
          <w:p>
            <w:r>
              <w:rPr>
                <w:sz w:val="20"/>
              </w:rPr>
              <w:t>Nee</w:t>
            </w:r>
          </w:p>
        </w:tc>
        <w:tc>
          <w:tcPr>
            <w:tcW w:type="dxa" w:w="1881"/>
          </w:tcPr>
          <w:p>
            <w:r>
              <w:rPr>
                <w:sz w:val="20"/>
              </w:rPr>
              <w:t>Nee</w:t>
            </w:r>
          </w:p>
        </w:tc>
      </w:tr>
      <w:tr>
        <w:tc>
          <w:tcPr>
            <w:tcW w:type="dxa" w:w="1881"/>
            <w:shd w:fill="F2F2F2"/>
          </w:tcPr>
          <w:p>
            <w:r>
              <w:rPr>
                <w:sz w:val="20"/>
              </w:rPr>
              <w:t>UPD</w:t>
            </w:r>
          </w:p>
        </w:tc>
        <w:tc>
          <w:tcPr>
            <w:tcW w:type="dxa" w:w="1881"/>
            <w:shd w:fill="F2F2F2"/>
          </w:tcPr>
          <w:p>
            <w:r>
              <w:rPr>
                <w:sz w:val="20"/>
              </w:rPr>
              <w:t>Nee</w:t>
            </w:r>
          </w:p>
        </w:tc>
        <w:tc>
          <w:tcPr>
            <w:tcW w:type="dxa" w:w="1881"/>
            <w:shd w:fill="F2F2F2"/>
          </w:tcPr>
          <w:p>
            <w:r>
              <w:rPr>
                <w:sz w:val="20"/>
              </w:rPr>
              <w:t>Ja</w:t>
            </w:r>
          </w:p>
        </w:tc>
        <w:tc>
          <w:tcPr>
            <w:tcW w:type="dxa" w:w="1881"/>
            <w:shd w:fill="F2F2F2"/>
          </w:tcPr>
          <w:p>
            <w:r>
              <w:rPr>
                <w:sz w:val="20"/>
              </w:rPr>
              <w:t>Nee</w:t>
            </w:r>
          </w:p>
        </w:tc>
        <w:tc>
          <w:tcPr>
            <w:tcW w:type="dxa" w:w="1881"/>
            <w:shd w:fill="F2F2F2"/>
          </w:tcPr>
          <w:p>
            <w:r>
              <w:rPr>
                <w:sz w:val="20"/>
              </w:rPr>
              <w:t>Nee</w:t>
            </w:r>
          </w:p>
        </w:tc>
      </w:tr>
      <w:tr>
        <w:tc>
          <w:tcPr>
            <w:tcW w:type="dxa" w:w="1881"/>
          </w:tcPr>
          <w:p>
            <w:r>
              <w:rPr>
                <w:sz w:val="20"/>
              </w:rPr>
              <w:t>Bedrijfsbrandweer</w:t>
            </w:r>
          </w:p>
        </w:tc>
        <w:tc>
          <w:tcPr>
            <w:tcW w:type="dxa" w:w="1881"/>
          </w:tcPr>
          <w:p>
            <w:r>
              <w:rPr>
                <w:sz w:val="20"/>
              </w:rPr>
              <w:t>Nee</w:t>
            </w:r>
          </w:p>
        </w:tc>
        <w:tc>
          <w:tcPr>
            <w:tcW w:type="dxa" w:w="1881"/>
          </w:tcPr>
          <w:p>
            <w:r>
              <w:rPr>
                <w:sz w:val="20"/>
              </w:rPr>
              <w:t>Mogelijk</w:t>
            </w:r>
          </w:p>
        </w:tc>
        <w:tc>
          <w:tcPr>
            <w:tcW w:type="dxa" w:w="1881"/>
          </w:tcPr>
          <w:p>
            <w:r>
              <w:rPr>
                <w:sz w:val="20"/>
              </w:rPr>
              <w:t>Nee</w:t>
            </w:r>
          </w:p>
        </w:tc>
        <w:tc>
          <w:tcPr>
            <w:tcW w:type="dxa" w:w="1881"/>
          </w:tcPr>
          <w:p>
            <w:r>
              <w:rPr>
                <w:sz w:val="20"/>
              </w:rPr>
              <w:t>Nee</w:t>
            </w:r>
          </w:p>
        </w:tc>
      </w:tr>
      <w:tr>
        <w:tc>
          <w:tcPr>
            <w:tcW w:type="dxa" w:w="1881"/>
            <w:shd w:fill="F2F2F2"/>
          </w:tcPr>
          <w:p>
            <w:r>
              <w:rPr>
                <w:sz w:val="20"/>
              </w:rPr>
              <w:t>Bluswatervoorziening</w:t>
            </w:r>
          </w:p>
        </w:tc>
        <w:tc>
          <w:tcPr>
            <w:tcW w:type="dxa" w:w="1881"/>
            <w:shd w:fill="F2F2F2"/>
          </w:tcPr>
          <w:p>
            <w:r>
              <w:rPr>
                <w:sz w:val="20"/>
              </w:rPr>
              <w:t>Per situatie</w:t>
            </w:r>
          </w:p>
        </w:tc>
        <w:tc>
          <w:tcPr>
            <w:tcW w:type="dxa" w:w="1881"/>
            <w:shd w:fill="F2F2F2"/>
          </w:tcPr>
          <w:p>
            <w:r>
              <w:rPr>
                <w:sz w:val="20"/>
              </w:rPr>
              <w:t>Ja</w:t>
            </w:r>
          </w:p>
        </w:tc>
        <w:tc>
          <w:tcPr>
            <w:tcW w:type="dxa" w:w="1881"/>
            <w:shd w:fill="F2F2F2"/>
          </w:tcPr>
          <w:p>
            <w:r>
              <w:rPr>
                <w:sz w:val="20"/>
              </w:rPr>
              <w:t>Per situatie</w:t>
            </w:r>
          </w:p>
        </w:tc>
        <w:tc>
          <w:tcPr>
            <w:tcW w:type="dxa" w:w="1881"/>
            <w:shd w:fill="F2F2F2"/>
          </w:tcPr>
          <w:p>
            <w:r>
              <w:rPr>
                <w:sz w:val="20"/>
              </w:rPr>
              <w:t>Per situatie</w:t>
            </w:r>
          </w:p>
        </w:tc>
      </w:tr>
      <w:tr>
        <w:tc>
          <w:tcPr>
            <w:tcW w:type="dxa" w:w="1881"/>
          </w:tcPr>
          <w:p>
            <w:r>
              <w:rPr>
                <w:sz w:val="20"/>
              </w:rPr>
              <w:t>Informatie hulpdiensten</w:t>
            </w:r>
          </w:p>
        </w:tc>
        <w:tc>
          <w:tcPr>
            <w:tcW w:type="dxa" w:w="1881"/>
          </w:tcPr>
          <w:p>
            <w:r>
              <w:rPr>
                <w:sz w:val="20"/>
              </w:rPr>
              <w:t>&gt;2.500 kg</w:t>
            </w:r>
          </w:p>
        </w:tc>
        <w:tc>
          <w:tcPr>
            <w:tcW w:type="dxa" w:w="1881"/>
          </w:tcPr>
          <w:p>
            <w:r>
              <w:rPr>
                <w:sz w:val="20"/>
              </w:rPr>
              <w:t>Ja</w:t>
            </w:r>
          </w:p>
        </w:tc>
        <w:tc>
          <w:tcPr>
            <w:tcW w:type="dxa" w:w="1881"/>
          </w:tcPr>
          <w:p>
            <w:r>
              <w:rPr>
                <w:sz w:val="20"/>
              </w:rPr>
              <w:t>Ja</w:t>
            </w:r>
          </w:p>
        </w:tc>
        <w:tc>
          <w:tcPr>
            <w:tcW w:type="dxa" w:w="1881"/>
          </w:tcPr>
          <w:p>
            <w:r>
              <w:rPr>
                <w:sz w:val="20"/>
              </w:rPr>
              <w:t>Ja</w:t>
            </w:r>
          </w:p>
        </w:tc>
      </w:tr>
      <w:tr>
        <w:tc>
          <w:tcPr>
            <w:tcW w:type="dxa" w:w="1881"/>
            <w:shd w:fill="F2F2F2"/>
          </w:tcPr>
          <w:p>
            <w:r>
              <w:rPr>
                <w:sz w:val="20"/>
              </w:rPr>
              <w:t>30-min informatieverplichting</w:t>
            </w:r>
          </w:p>
        </w:tc>
        <w:tc>
          <w:tcPr>
            <w:tcW w:type="dxa" w:w="1881"/>
            <w:shd w:fill="F2F2F2"/>
          </w:tcPr>
          <w:p>
            <w:r>
              <w:rPr>
                <w:sz w:val="20"/>
              </w:rPr>
              <w:t>&gt;2.500 kg</w:t>
            </w:r>
          </w:p>
        </w:tc>
        <w:tc>
          <w:tcPr>
            <w:tcW w:type="dxa" w:w="1881"/>
            <w:shd w:fill="F2F2F2"/>
          </w:tcPr>
          <w:p>
            <w:r>
              <w:rPr>
                <w:sz w:val="20"/>
              </w:rPr>
              <w:t>Ja</w:t>
            </w:r>
          </w:p>
        </w:tc>
        <w:tc>
          <w:tcPr>
            <w:tcW w:type="dxa" w:w="1881"/>
            <w:shd w:fill="F2F2F2"/>
          </w:tcPr>
          <w:p>
            <w:r>
              <w:rPr>
                <w:sz w:val="20"/>
              </w:rPr>
              <w:t>Ja</w:t>
            </w:r>
          </w:p>
        </w:tc>
        <w:tc>
          <w:tcPr>
            <w:tcW w:type="dxa" w:w="1881"/>
            <w:shd w:fill="F2F2F2"/>
          </w:tcPr>
          <w:p>
            <w:r>
              <w:rPr>
                <w:sz w:val="20"/>
              </w:rPr>
              <w:t>Ja</w:t>
            </w:r>
          </w:p>
        </w:tc>
      </w:tr>
      <w:tr>
        <w:tc>
          <w:tcPr>
            <w:tcW w:type="dxa" w:w="1881"/>
          </w:tcPr>
          <w:p>
            <w:r>
              <w:rPr>
                <w:sz w:val="20"/>
              </w:rPr>
              <w:t>Jaarlijkse inspectie VBB</w:t>
            </w:r>
          </w:p>
        </w:tc>
        <w:tc>
          <w:tcPr>
            <w:tcW w:type="dxa" w:w="1881"/>
          </w:tcPr>
          <w:p>
            <w:r>
              <w:rPr>
                <w:sz w:val="20"/>
              </w:rPr>
              <w:t>Nee</w:t>
            </w:r>
          </w:p>
        </w:tc>
        <w:tc>
          <w:tcPr>
            <w:tcW w:type="dxa" w:w="1881"/>
          </w:tcPr>
          <w:p>
            <w:r>
              <w:rPr>
                <w:sz w:val="20"/>
              </w:rPr>
              <w:t>Ja</w:t>
            </w:r>
          </w:p>
        </w:tc>
        <w:tc>
          <w:tcPr>
            <w:tcW w:type="dxa" w:w="1881"/>
          </w:tcPr>
          <w:p>
            <w:r>
              <w:rPr>
                <w:sz w:val="20"/>
              </w:rPr>
              <w:t>Nee</w:t>
            </w:r>
          </w:p>
        </w:tc>
        <w:tc>
          <w:tcPr>
            <w:tcW w:type="dxa" w:w="1881"/>
          </w:tcPr>
          <w:p>
            <w:r>
              <w:rPr>
                <w:sz w:val="20"/>
              </w:rPr>
              <w:t>Nee</w:t>
            </w:r>
          </w:p>
        </w:tc>
      </w:tr>
      <w:tr>
        <w:tc>
          <w:tcPr>
            <w:tcW w:type="dxa" w:w="1881"/>
            <w:shd w:fill="F2F2F2"/>
          </w:tcPr>
          <w:p>
            <w:r>
              <w:rPr>
                <w:sz w:val="20"/>
              </w:rPr>
              <w:t>Scheiding onverenigbare stoffen</w:t>
            </w:r>
          </w:p>
        </w:tc>
        <w:tc>
          <w:tcPr>
            <w:tcW w:type="dxa" w:w="1881"/>
            <w:shd w:fill="F2F2F2"/>
          </w:tcPr>
          <w:p>
            <w:r>
              <w:rPr>
                <w:sz w:val="20"/>
              </w:rPr>
              <w:t>Ja</w:t>
            </w:r>
          </w:p>
        </w:tc>
        <w:tc>
          <w:tcPr>
            <w:tcW w:type="dxa" w:w="1881"/>
            <w:shd w:fill="F2F2F2"/>
          </w:tcPr>
          <w:p>
            <w:r>
              <w:rPr>
                <w:sz w:val="20"/>
              </w:rPr>
              <w:t>Ja</w:t>
            </w:r>
          </w:p>
        </w:tc>
        <w:tc>
          <w:tcPr>
            <w:tcW w:type="dxa" w:w="1881"/>
            <w:shd w:fill="F2F2F2"/>
          </w:tcPr>
          <w:p>
            <w:r>
              <w:rPr>
                <w:sz w:val="20"/>
              </w:rPr>
              <w:t>Ja</w:t>
            </w:r>
          </w:p>
        </w:tc>
        <w:tc>
          <w:tcPr>
            <w:tcW w:type="dxa" w:w="1881"/>
            <w:shd w:fill="F2F2F2"/>
          </w:tcPr>
          <w:p>
            <w:r>
              <w:rPr>
                <w:sz w:val="20"/>
              </w:rPr>
              <w:t>Ja</w:t>
            </w:r>
          </w:p>
        </w:tc>
      </w:tr>
      <w:tr>
        <w:tc>
          <w:tcPr>
            <w:tcW w:type="dxa" w:w="1881"/>
          </w:tcPr>
          <w:p>
            <w:r>
              <w:rPr>
                <w:sz w:val="20"/>
              </w:rPr>
              <w:t>Productopvang</w:t>
            </w:r>
          </w:p>
        </w:tc>
        <w:tc>
          <w:tcPr>
            <w:tcW w:type="dxa" w:w="1881"/>
          </w:tcPr>
          <w:p>
            <w:r>
              <w:rPr>
                <w:sz w:val="20"/>
              </w:rPr>
              <w:t>Ja (vloeistoffen)</w:t>
            </w:r>
          </w:p>
        </w:tc>
        <w:tc>
          <w:tcPr>
            <w:tcW w:type="dxa" w:w="1881"/>
          </w:tcPr>
          <w:p>
            <w:r>
              <w:rPr>
                <w:sz w:val="20"/>
              </w:rPr>
              <w:t>Ja</w:t>
            </w:r>
          </w:p>
        </w:tc>
        <w:tc>
          <w:tcPr>
            <w:tcW w:type="dxa" w:w="1881"/>
          </w:tcPr>
          <w:p>
            <w:r>
              <w:rPr>
                <w:sz w:val="20"/>
              </w:rPr>
              <w:t>Ja</w:t>
            </w:r>
          </w:p>
        </w:tc>
        <w:tc>
          <w:tcPr>
            <w:tcW w:type="dxa" w:w="1881"/>
          </w:tcPr>
          <w:p>
            <w:r>
              <w:rPr>
                <w:sz w:val="20"/>
              </w:rPr>
              <w:t>Ja</w:t>
            </w:r>
          </w:p>
        </w:tc>
      </w:tr>
    </w:tbl>
    <w:p/>
    <w:p>
      <w:pPr>
        <w:pStyle w:val="Heading2"/>
      </w:pPr>
      <w:r>
        <w:t>6.4 Gasflessen — Specifieke eisen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b/>
                <w:color w:val="FFFFFF"/>
                <w:sz w:val="20"/>
              </w:rPr>
              <w:t>Onderwerp</w:t>
            </w:r>
          </w:p>
        </w:tc>
        <w:tc>
          <w:tcPr>
            <w:tcW w:type="dxa" w:w="3135"/>
            <w:shd w:fill="003366"/>
          </w:tcPr>
          <w:p>
            <w:r>
              <w:rPr>
                <w:b/>
                <w:color w:val="FFFFFF"/>
                <w:sz w:val="20"/>
              </w:rPr>
              <w:t>Eis</w:t>
            </w:r>
          </w:p>
        </w:tc>
        <w:tc>
          <w:tcPr>
            <w:tcW w:type="dxa" w:w="3135"/>
            <w:shd w:fill="003366"/>
          </w:tcPr>
          <w:p>
            <w:r>
              <w:rPr>
                <w:b/>
                <w:color w:val="FFFFFF"/>
                <w:sz w:val="20"/>
              </w:rPr>
              <w:t>Maatregel</w:t>
            </w:r>
          </w:p>
        </w:tc>
      </w:tr>
      <w:tr>
        <w:tc>
          <w:tcPr>
            <w:tcW w:type="dxa" w:w="3135"/>
          </w:tcPr>
          <w:p>
            <w:r>
              <w:rPr>
                <w:sz w:val="20"/>
              </w:rPr>
              <w:t>Binnenopslag ≤250 l</w:t>
            </w:r>
          </w:p>
        </w:tc>
        <w:tc>
          <w:tcPr>
            <w:tcW w:type="dxa" w:w="3135"/>
          </w:tcPr>
          <w:p>
            <w:r>
              <w:rPr>
                <w:sz w:val="20"/>
              </w:rPr>
              <w:t>Brandveiligheidsopslagkast (≥60 min BW)</w:t>
            </w:r>
          </w:p>
        </w:tc>
        <w:tc>
          <w:tcPr>
            <w:tcW w:type="dxa" w:w="3135"/>
          </w:tcPr>
          <w:p>
            <w:r>
              <w:rPr>
                <w:sz w:val="20"/>
              </w:rPr>
              <w:t>M7</w:t>
            </w:r>
          </w:p>
        </w:tc>
      </w:tr>
      <w:tr>
        <w:tc>
          <w:tcPr>
            <w:tcW w:type="dxa" w:w="3135"/>
            <w:shd w:fill="F2F2F2"/>
          </w:tcPr>
          <w:p>
            <w:r>
              <w:rPr>
                <w:sz w:val="20"/>
              </w:rPr>
              <w:t>Binnenopslag &gt;250 l</w:t>
            </w:r>
          </w:p>
        </w:tc>
        <w:tc>
          <w:tcPr>
            <w:tcW w:type="dxa" w:w="3135"/>
            <w:shd w:fill="F2F2F2"/>
          </w:tcPr>
          <w:p>
            <w:r>
              <w:rPr>
                <w:sz w:val="20"/>
              </w:rPr>
              <w:t>Zoveel mogelijk voorkomen; dedicated indien noodzakelijk</w:t>
            </w:r>
          </w:p>
        </w:tc>
        <w:tc>
          <w:tcPr>
            <w:tcW w:type="dxa" w:w="3135"/>
            <w:shd w:fill="F2F2F2"/>
          </w:tcPr>
          <w:p>
            <w:r>
              <w:rPr>
                <w:sz w:val="20"/>
              </w:rPr>
              <w:t>M8</w:t>
            </w:r>
          </w:p>
        </w:tc>
      </w:tr>
      <w:tr>
        <w:tc>
          <w:tcPr>
            <w:tcW w:type="dxa" w:w="3135"/>
          </w:tcPr>
          <w:p>
            <w:r>
              <w:rPr>
                <w:sz w:val="20"/>
              </w:rPr>
              <w:t>Kelderopslag gasflessen</w:t>
            </w:r>
          </w:p>
        </w:tc>
        <w:tc>
          <w:tcPr>
            <w:tcW w:type="dxa" w:w="3135"/>
          </w:tcPr>
          <w:p>
            <w:r>
              <w:rPr>
                <w:sz w:val="20"/>
              </w:rPr>
              <w:t>VERBODEN</w:t>
            </w:r>
          </w:p>
        </w:tc>
        <w:tc>
          <w:tcPr>
            <w:tcW w:type="dxa" w:w="3135"/>
          </w:tcPr>
          <w:p>
            <w:r>
              <w:rPr>
                <w:sz w:val="20"/>
              </w:rPr>
              <w:t>M8</w:t>
            </w:r>
          </w:p>
        </w:tc>
      </w:tr>
      <w:tr>
        <w:tc>
          <w:tcPr>
            <w:tcW w:type="dxa" w:w="3135"/>
            <w:shd w:fill="F2F2F2"/>
          </w:tcPr>
          <w:p>
            <w:r>
              <w:rPr>
                <w:sz w:val="20"/>
              </w:rPr>
              <w:t>Max kasten gasflessen/verdieping</w:t>
            </w:r>
          </w:p>
        </w:tc>
        <w:tc>
          <w:tcPr>
            <w:tcW w:type="dxa" w:w="3135"/>
            <w:shd w:fill="F2F2F2"/>
          </w:tcPr>
          <w:p>
            <w:r>
              <w:rPr>
                <w:sz w:val="20"/>
              </w:rPr>
              <w:t>Max 2 per brandcompartiment</w:t>
            </w:r>
          </w:p>
        </w:tc>
        <w:tc>
          <w:tcPr>
            <w:tcW w:type="dxa" w:w="3135"/>
            <w:shd w:fill="F2F2F2"/>
          </w:tcPr>
          <w:p>
            <w:r>
              <w:rPr>
                <w:sz w:val="20"/>
              </w:rPr>
              <w:t>M8</w:t>
            </w:r>
          </w:p>
        </w:tc>
      </w:tr>
      <w:tr>
        <w:tc>
          <w:tcPr>
            <w:tcW w:type="dxa" w:w="3135"/>
          </w:tcPr>
          <w:p>
            <w:r>
              <w:rPr>
                <w:sz w:val="20"/>
              </w:rPr>
              <w:t>Stapelen gasflessen</w:t>
            </w:r>
          </w:p>
        </w:tc>
        <w:tc>
          <w:tcPr>
            <w:tcW w:type="dxa" w:w="3135"/>
          </w:tcPr>
          <w:p>
            <w:r>
              <w:rPr>
                <w:sz w:val="20"/>
              </w:rPr>
              <w:t>Niet gestapeld, tenzij voorziening; staand</w:t>
            </w:r>
          </w:p>
        </w:tc>
        <w:tc>
          <w:tcPr>
            <w:tcW w:type="dxa" w:w="3135"/>
          </w:tcPr>
          <w:p>
            <w:r>
              <w:rPr>
                <w:sz w:val="20"/>
              </w:rPr>
              <w:t>M54</w:t>
            </w:r>
          </w:p>
        </w:tc>
      </w:tr>
      <w:tr>
        <w:tc>
          <w:tcPr>
            <w:tcW w:type="dxa" w:w="3135"/>
            <w:shd w:fill="F2F2F2"/>
          </w:tcPr>
          <w:p>
            <w:r>
              <w:rPr>
                <w:sz w:val="20"/>
              </w:rPr>
              <w:t>Bescherming tegen omvallen</w:t>
            </w:r>
          </w:p>
        </w:tc>
        <w:tc>
          <w:tcPr>
            <w:tcW w:type="dxa" w:w="3135"/>
            <w:shd w:fill="F2F2F2"/>
          </w:tcPr>
          <w:p>
            <w:r>
              <w:rPr>
                <w:sz w:val="20"/>
              </w:rPr>
              <w:t>Vastzetten of anderszins beveiligen</w:t>
            </w:r>
          </w:p>
        </w:tc>
        <w:tc>
          <w:tcPr>
            <w:tcW w:type="dxa" w:w="3135"/>
            <w:shd w:fill="F2F2F2"/>
          </w:tcPr>
          <w:p>
            <w:r>
              <w:rPr>
                <w:sz w:val="20"/>
              </w:rPr>
              <w:t>M56</w:t>
            </w:r>
          </w:p>
        </w:tc>
      </w:tr>
      <w:tr>
        <w:tc>
          <w:tcPr>
            <w:tcW w:type="dxa" w:w="3135"/>
          </w:tcPr>
          <w:p>
            <w:r>
              <w:rPr>
                <w:sz w:val="20"/>
              </w:rPr>
              <w:t>Gasflessen tegen gevel</w:t>
            </w:r>
          </w:p>
        </w:tc>
        <w:tc>
          <w:tcPr>
            <w:tcW w:type="dxa" w:w="3135"/>
          </w:tcPr>
          <w:p>
            <w:r>
              <w:rPr>
                <w:sz w:val="20"/>
              </w:rPr>
              <w:t>Wbdbo ≥60 min tot 4 m + overstekend dak</w:t>
            </w:r>
          </w:p>
        </w:tc>
        <w:tc>
          <w:tcPr>
            <w:tcW w:type="dxa" w:w="3135"/>
          </w:tcPr>
          <w:p>
            <w:r>
              <w:rPr>
                <w:sz w:val="20"/>
              </w:rPr>
              <w:t>M91</w:t>
            </w:r>
          </w:p>
        </w:tc>
      </w:tr>
      <w:tr>
        <w:tc>
          <w:tcPr>
            <w:tcW w:type="dxa" w:w="3135"/>
            <w:shd w:fill="F2F2F2"/>
          </w:tcPr>
          <w:p>
            <w:r>
              <w:rPr>
                <w:sz w:val="20"/>
              </w:rPr>
              <w:t>Afstand tot gebouwen</w:t>
            </w:r>
          </w:p>
        </w:tc>
        <w:tc>
          <w:tcPr>
            <w:tcW w:type="dxa" w:w="3135"/>
            <w:shd w:fill="F2F2F2"/>
          </w:tcPr>
          <w:p>
            <w:r>
              <w:rPr>
                <w:sz w:val="20"/>
              </w:rPr>
              <w:t>Minimaal 15 m (praktisch) of berekening</w:t>
            </w:r>
          </w:p>
        </w:tc>
        <w:tc>
          <w:tcPr>
            <w:tcW w:type="dxa" w:w="3135"/>
            <w:shd w:fill="F2F2F2"/>
          </w:tcPr>
          <w:p>
            <w:r>
              <w:rPr>
                <w:sz w:val="20"/>
              </w:rPr>
              <w:t>M91</w:t>
            </w:r>
          </w:p>
        </w:tc>
      </w:tr>
      <w:tr>
        <w:tc>
          <w:tcPr>
            <w:tcW w:type="dxa" w:w="3135"/>
          </w:tcPr>
          <w:p>
            <w:r>
              <w:rPr>
                <w:sz w:val="20"/>
              </w:rPr>
              <w:t>Brandbare gassen zwaarder dan lucht</w:t>
            </w:r>
          </w:p>
        </w:tc>
        <w:tc>
          <w:tcPr>
            <w:tcW w:type="dxa" w:w="3135"/>
          </w:tcPr>
          <w:p>
            <w:r>
              <w:rPr>
                <w:sz w:val="20"/>
              </w:rPr>
              <w:t>Min. 5 m tot kelderopeningen, putten, kolken</w:t>
            </w:r>
          </w:p>
        </w:tc>
        <w:tc>
          <w:tcPr>
            <w:tcW w:type="dxa" w:w="3135"/>
          </w:tcPr>
          <w:p>
            <w:r>
              <w:rPr>
                <w:sz w:val="20"/>
              </w:rPr>
              <w:t>M92</w:t>
            </w:r>
          </w:p>
        </w:tc>
      </w:tr>
    </w:tbl>
    <w:p/>
    <w:p>
      <w:pPr>
        <w:pStyle w:val="Heading2"/>
      </w:pPr>
      <w:r>
        <w:t>6.5 Verdiepingsopslag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Pr>
                <w:b/>
                <w:color w:val="FFFFFF"/>
                <w:sz w:val="20"/>
              </w:rPr>
              <w:t>Locatie</w:t>
            </w:r>
          </w:p>
        </w:tc>
        <w:tc>
          <w:tcPr>
            <w:tcW w:type="dxa" w:w="2351"/>
            <w:shd w:fill="003366"/>
          </w:tcPr>
          <w:p>
            <w:r>
              <w:rPr>
                <w:b/>
                <w:color w:val="FFFFFF"/>
                <w:sz w:val="20"/>
              </w:rPr>
              <w:t>Max. hoeveelheid</w:t>
            </w:r>
          </w:p>
        </w:tc>
        <w:tc>
          <w:tcPr>
            <w:tcW w:type="dxa" w:w="2351"/>
            <w:shd w:fill="003366"/>
          </w:tcPr>
          <w:p>
            <w:r>
              <w:rPr>
                <w:b/>
                <w:color w:val="FFFFFF"/>
                <w:sz w:val="20"/>
              </w:rPr>
              <w:t>Voorwaarden</w:t>
            </w:r>
          </w:p>
        </w:tc>
        <w:tc>
          <w:tcPr>
            <w:tcW w:type="dxa" w:w="2351"/>
            <w:shd w:fill="003366"/>
          </w:tcPr>
          <w:p>
            <w:r>
              <w:rPr>
                <w:b/>
                <w:color w:val="FFFFFF"/>
                <w:sz w:val="20"/>
              </w:rPr>
              <w:t>Maatregel</w:t>
            </w:r>
          </w:p>
        </w:tc>
      </w:tr>
      <w:tr>
        <w:tc>
          <w:tcPr>
            <w:tcW w:type="dxa" w:w="2351"/>
          </w:tcPr>
          <w:p>
            <w:r>
              <w:rPr>
                <w:sz w:val="20"/>
              </w:rPr>
              <w:t>Eerste verdieping</w:t>
            </w:r>
          </w:p>
        </w:tc>
        <w:tc>
          <w:tcPr>
            <w:tcW w:type="dxa" w:w="2351"/>
          </w:tcPr>
          <w:p>
            <w:r>
              <w:rPr>
                <w:sz w:val="20"/>
              </w:rPr>
              <w:t>2.500 kg/l</w:t>
            </w:r>
          </w:p>
        </w:tc>
        <w:tc>
          <w:tcPr>
            <w:tcW w:type="dxa" w:w="2351"/>
          </w:tcPr>
          <w:p>
            <w:r>
              <w:rPr>
                <w:sz w:val="20"/>
              </w:rPr>
              <w:t>Max 1 opslagruimte (geen kast)</w:t>
            </w:r>
          </w:p>
        </w:tc>
        <w:tc>
          <w:tcPr>
            <w:tcW w:type="dxa" w:w="2351"/>
          </w:tcPr>
          <w:p>
            <w:r>
              <w:rPr>
                <w:sz w:val="20"/>
              </w:rPr>
              <w:t>M8</w:t>
            </w:r>
          </w:p>
        </w:tc>
      </w:tr>
      <w:tr>
        <w:tc>
          <w:tcPr>
            <w:tcW w:type="dxa" w:w="2351"/>
            <w:shd w:fill="F2F2F2"/>
          </w:tcPr>
          <w:p>
            <w:r>
              <w:rPr>
                <w:sz w:val="20"/>
              </w:rPr>
              <w:t>Kelder</w:t>
            </w:r>
          </w:p>
        </w:tc>
        <w:tc>
          <w:tcPr>
            <w:tcW w:type="dxa" w:w="2351"/>
            <w:shd w:fill="F2F2F2"/>
          </w:tcPr>
          <w:p>
            <w:r>
              <w:rPr>
                <w:sz w:val="20"/>
              </w:rPr>
              <w:t>500 kg/l</w:t>
            </w:r>
          </w:p>
        </w:tc>
        <w:tc>
          <w:tcPr>
            <w:tcW w:type="dxa" w:w="2351"/>
            <w:shd w:fill="F2F2F2"/>
          </w:tcPr>
          <w:p>
            <w:r>
              <w:rPr>
                <w:sz w:val="20"/>
              </w:rPr>
              <w:t>Uitzondering: onbrandbare ADR 8 VG II/III en ADR 9</w:t>
            </w:r>
          </w:p>
        </w:tc>
        <w:tc>
          <w:tcPr>
            <w:tcW w:type="dxa" w:w="2351"/>
            <w:shd w:fill="F2F2F2"/>
          </w:tcPr>
          <w:p>
            <w:r>
              <w:rPr>
                <w:sz w:val="20"/>
              </w:rPr>
              <w:t>M8</w:t>
            </w:r>
          </w:p>
        </w:tc>
      </w:tr>
      <w:tr>
        <w:tc>
          <w:tcPr>
            <w:tcW w:type="dxa" w:w="2351"/>
          </w:tcPr>
          <w:p>
            <w:r>
              <w:rPr>
                <w:sz w:val="20"/>
              </w:rPr>
              <w:t>Hogere verdiepingen (&gt;1e)</w:t>
            </w:r>
          </w:p>
        </w:tc>
        <w:tc>
          <w:tcPr>
            <w:tcW w:type="dxa" w:w="2351"/>
          </w:tcPr>
          <w:p>
            <w:r>
              <w:rPr>
                <w:sz w:val="20"/>
              </w:rPr>
              <w:t>500 kg/l</w:t>
            </w:r>
          </w:p>
        </w:tc>
        <w:tc>
          <w:tcPr>
            <w:tcW w:type="dxa" w:w="2351"/>
          </w:tcPr>
          <w:p>
            <w:r>
              <w:rPr>
                <w:sz w:val="20"/>
              </w:rPr>
              <w:t>Zelfde uitzondering als kelder</w:t>
            </w:r>
          </w:p>
        </w:tc>
        <w:tc>
          <w:tcPr>
            <w:tcW w:type="dxa" w:w="2351"/>
          </w:tcPr>
          <w:p>
            <w:r>
              <w:rPr>
                <w:sz w:val="20"/>
              </w:rPr>
              <w:t>M8</w:t>
            </w:r>
          </w:p>
        </w:tc>
      </w:tr>
      <w:tr>
        <w:tc>
          <w:tcPr>
            <w:tcW w:type="dxa" w:w="2351"/>
            <w:shd w:fill="F2F2F2"/>
          </w:tcPr>
          <w:p>
            <w:r>
              <w:rPr>
                <w:sz w:val="20"/>
              </w:rPr>
              <w:t>Kasten op verdieping</w:t>
            </w:r>
          </w:p>
        </w:tc>
        <w:tc>
          <w:tcPr>
            <w:tcW w:type="dxa" w:w="2351"/>
            <w:shd w:fill="F2F2F2"/>
          </w:tcPr>
          <w:p>
            <w:r>
              <w:rPr>
                <w:sz w:val="20"/>
              </w:rPr>
              <w:t>2.500 kg/l per BC</w:t>
            </w:r>
          </w:p>
        </w:tc>
        <w:tc>
          <w:tcPr>
            <w:tcW w:type="dxa" w:w="2351"/>
            <w:shd w:fill="F2F2F2"/>
          </w:tcPr>
          <w:p>
            <w:r>
              <w:rPr>
                <w:sz w:val="20"/>
              </w:rPr>
              <w:t>Naast ruimten onder 1 en 2</w:t>
            </w:r>
          </w:p>
        </w:tc>
        <w:tc>
          <w:tcPr>
            <w:tcW w:type="dxa" w:w="2351"/>
            <w:shd w:fill="F2F2F2"/>
          </w:tcPr>
          <w:p>
            <w:r>
              <w:rPr>
                <w:sz w:val="20"/>
              </w:rPr>
              <w:t>M8</w:t>
            </w:r>
          </w:p>
        </w:tc>
      </w:tr>
      <w:tr>
        <w:tc>
          <w:tcPr>
            <w:tcW w:type="dxa" w:w="2351"/>
          </w:tcPr>
          <w:p>
            <w:r>
              <w:rPr>
                <w:sz w:val="20"/>
              </w:rPr>
              <w:t>Gasflessen op verdieping</w:t>
            </w:r>
          </w:p>
        </w:tc>
        <w:tc>
          <w:tcPr>
            <w:tcW w:type="dxa" w:w="2351"/>
          </w:tcPr>
          <w:p>
            <w:r>
              <w:rPr>
                <w:sz w:val="20"/>
              </w:rPr>
              <w:t>Max 2 kasten/BC</w:t>
            </w:r>
          </w:p>
        </w:tc>
        <w:tc>
          <w:tcPr>
            <w:tcW w:type="dxa" w:w="2351"/>
          </w:tcPr>
          <w:p>
            <w:r>
              <w:rPr>
                <w:sz w:val="20"/>
              </w:rPr>
              <w:t>Kelder VERBODEN</w:t>
            </w:r>
          </w:p>
        </w:tc>
        <w:tc>
          <w:tcPr>
            <w:tcW w:type="dxa" w:w="2351"/>
          </w:tcPr>
          <w:p>
            <w:r>
              <w:rPr>
                <w:sz w:val="20"/>
              </w:rPr>
              <w:t>M8</w:t>
            </w:r>
          </w:p>
        </w:tc>
      </w:tr>
    </w:tbl>
    <w:p/>
    <w:p>
      <w:r>
        <w:br w:type="page"/>
      </w:r>
    </w:p>
    <w:p>
      <w:pPr>
        <w:pStyle w:val="Heading1"/>
      </w:pPr>
      <w:r>
        <w:t>Bijlage: Verschillen met PGS 15:2021</w:t>
      </w:r>
    </w:p>
    <w:p>
      <w:pPr>
        <w:pStyle w:val="Heading2"/>
      </w:pPr>
      <w:r>
        <w:t>Gewijzigde maatregelen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b/>
                <w:color w:val="FFFFFF"/>
                <w:sz w:val="20"/>
              </w:rPr>
              <w:t>Maatregel</w:t>
            </w:r>
          </w:p>
        </w:tc>
        <w:tc>
          <w:tcPr>
            <w:tcW w:type="dxa" w:w="4703"/>
            <w:shd w:fill="003366"/>
          </w:tcPr>
          <w:p>
            <w:r>
              <w:rPr>
                <w:b/>
                <w:color w:val="FFFFFF"/>
                <w:sz w:val="20"/>
              </w:rPr>
              <w:t>Wijziging</w:t>
            </w:r>
          </w:p>
        </w:tc>
      </w:tr>
      <w:tr>
        <w:tc>
          <w:tcPr>
            <w:tcW w:type="dxa" w:w="4703"/>
          </w:tcPr>
          <w:p>
            <w:r>
              <w:rPr>
                <w:sz w:val="20"/>
              </w:rPr>
              <w:t>M3</w:t>
            </w:r>
          </w:p>
        </w:tc>
        <w:tc>
          <w:tcPr>
            <w:tcW w:type="dxa" w:w="4703"/>
          </w:tcPr>
          <w:p>
            <w:r>
              <w:rPr>
                <w:sz w:val="20"/>
              </w:rPr>
              <w:t>Beschermingsniveaus → veiligheidsniveaus (Tabel 6); BN2a vervallen</w:t>
            </w:r>
          </w:p>
        </w:tc>
      </w:tr>
      <w:tr>
        <w:tc>
          <w:tcPr>
            <w:tcW w:type="dxa" w:w="4703"/>
            <w:shd w:fill="F2F2F2"/>
          </w:tcPr>
          <w:p>
            <w:r>
              <w:rPr>
                <w:sz w:val="20"/>
              </w:rPr>
              <w:t>M14</w:t>
            </w:r>
          </w:p>
        </w:tc>
        <w:tc>
          <w:tcPr>
            <w:tcW w:type="dxa" w:w="4703"/>
            <w:shd w:fill="F2F2F2"/>
          </w:tcPr>
          <w:p>
            <w:r>
              <w:rPr>
                <w:sz w:val="20"/>
              </w:rPr>
              <w:t>Werkvoorraad: alleen voor bedrijfsvoering noodzakelijke stoffen</w:t>
            </w:r>
          </w:p>
        </w:tc>
      </w:tr>
      <w:tr>
        <w:tc>
          <w:tcPr>
            <w:tcW w:type="dxa" w:w="4703"/>
          </w:tcPr>
          <w:p>
            <w:r>
              <w:rPr>
                <w:sz w:val="20"/>
              </w:rPr>
              <w:t>M17</w:t>
            </w:r>
          </w:p>
        </w:tc>
        <w:tc>
          <w:tcPr>
            <w:tcW w:type="dxa" w:w="4703"/>
          </w:tcPr>
          <w:p>
            <w:r>
              <w:rPr>
                <w:sz w:val="20"/>
              </w:rPr>
              <w:t>Hoeveelheden verdiepingsopslag vergroot</w:t>
            </w:r>
          </w:p>
        </w:tc>
      </w:tr>
      <w:tr>
        <w:tc>
          <w:tcPr>
            <w:tcW w:type="dxa" w:w="4703"/>
            <w:shd w:fill="F2F2F2"/>
          </w:tcPr>
          <w:p>
            <w:r>
              <w:rPr>
                <w:sz w:val="20"/>
              </w:rPr>
              <w:t>M21</w:t>
            </w:r>
          </w:p>
        </w:tc>
        <w:tc>
          <w:tcPr>
            <w:tcW w:type="dxa" w:w="4703"/>
            <w:shd w:fill="F2F2F2"/>
          </w:tcPr>
          <w:p>
            <w:r>
              <w:rPr>
                <w:sz w:val="20"/>
              </w:rPr>
              <w:t>Zonnepanelen: alleen na toestemming bevoegd gezag</w:t>
            </w:r>
          </w:p>
        </w:tc>
      </w:tr>
      <w:tr>
        <w:tc>
          <w:tcPr>
            <w:tcW w:type="dxa" w:w="4703"/>
          </w:tcPr>
          <w:p>
            <w:r>
              <w:rPr>
                <w:sz w:val="20"/>
              </w:rPr>
              <w:t>M38</w:t>
            </w:r>
          </w:p>
        </w:tc>
        <w:tc>
          <w:tcPr>
            <w:tcW w:type="dxa" w:w="4703"/>
          </w:tcPr>
          <w:p>
            <w:r>
              <w:rPr>
                <w:sz w:val="20"/>
              </w:rPr>
              <w:t>Afscheiding op basis blussysteem (niet oppervlakte)</w:t>
            </w:r>
          </w:p>
        </w:tc>
      </w:tr>
      <w:tr>
        <w:tc>
          <w:tcPr>
            <w:tcW w:type="dxa" w:w="4703"/>
            <w:shd w:fill="F2F2F2"/>
          </w:tcPr>
          <w:p>
            <w:r>
              <w:rPr>
                <w:sz w:val="20"/>
              </w:rPr>
              <w:t>M45</w:t>
            </w:r>
          </w:p>
        </w:tc>
        <w:tc>
          <w:tcPr>
            <w:tcW w:type="dxa" w:w="4703"/>
            <w:shd w:fill="F2F2F2"/>
          </w:tcPr>
          <w:p>
            <w:r>
              <w:rPr>
                <w:sz w:val="20"/>
              </w:rPr>
              <w:t>Ingangscontrole en borging middels procedure</w:t>
            </w:r>
          </w:p>
        </w:tc>
      </w:tr>
      <w:tr>
        <w:tc>
          <w:tcPr>
            <w:tcW w:type="dxa" w:w="4703"/>
          </w:tcPr>
          <w:p>
            <w:r>
              <w:rPr>
                <w:sz w:val="20"/>
              </w:rPr>
              <w:t>M68</w:t>
            </w:r>
          </w:p>
        </w:tc>
        <w:tc>
          <w:tcPr>
            <w:tcW w:type="dxa" w:w="4703"/>
          </w:tcPr>
          <w:p>
            <w:r>
              <w:rPr>
                <w:sz w:val="20"/>
              </w:rPr>
              <w:t>Afstanden gewijzigd (10 m → 15 m)</w:t>
            </w:r>
          </w:p>
        </w:tc>
      </w:tr>
      <w:tr>
        <w:tc>
          <w:tcPr>
            <w:tcW w:type="dxa" w:w="4703"/>
            <w:shd w:fill="F2F2F2"/>
          </w:tcPr>
          <w:p>
            <w:r>
              <w:rPr>
                <w:sz w:val="20"/>
              </w:rPr>
              <w:t>M90</w:t>
            </w:r>
          </w:p>
        </w:tc>
        <w:tc>
          <w:tcPr>
            <w:tcW w:type="dxa" w:w="4703"/>
            <w:shd w:fill="F2F2F2"/>
          </w:tcPr>
          <w:p>
            <w:r>
              <w:rPr>
                <w:sz w:val="20"/>
              </w:rPr>
              <w:t>Uitgangspunt 15/10 kW/m²; 10 m → 15 m</w:t>
            </w:r>
          </w:p>
        </w:tc>
      </w:tr>
      <w:tr>
        <w:tc>
          <w:tcPr>
            <w:tcW w:type="dxa" w:w="4703"/>
          </w:tcPr>
          <w:p>
            <w:r>
              <w:rPr>
                <w:sz w:val="20"/>
              </w:rPr>
              <w:t>M91</w:t>
            </w:r>
          </w:p>
        </w:tc>
        <w:tc>
          <w:tcPr>
            <w:tcW w:type="dxa" w:w="4703"/>
          </w:tcPr>
          <w:p>
            <w:r>
              <w:rPr>
                <w:sz w:val="20"/>
              </w:rPr>
              <w:t>Afstandseisen gewijzigd, 10 m → 15 m</w:t>
            </w:r>
          </w:p>
        </w:tc>
      </w:tr>
      <w:tr>
        <w:tc>
          <w:tcPr>
            <w:tcW w:type="dxa" w:w="4703"/>
            <w:shd w:fill="F2F2F2"/>
          </w:tcPr>
          <w:p>
            <w:r>
              <w:rPr>
                <w:sz w:val="20"/>
              </w:rPr>
              <w:t>M96</w:t>
            </w:r>
          </w:p>
        </w:tc>
        <w:tc>
          <w:tcPr>
            <w:tcW w:type="dxa" w:w="4703"/>
            <w:shd w:fill="F2F2F2"/>
          </w:tcPr>
          <w:p>
            <w:r>
              <w:rPr>
                <w:sz w:val="20"/>
              </w:rPr>
              <w:t>Bedrijfsbrandweer apart in M97</w:t>
            </w:r>
          </w:p>
        </w:tc>
      </w:tr>
      <w:tr>
        <w:tc>
          <w:tcPr>
            <w:tcW w:type="dxa" w:w="4703"/>
          </w:tcPr>
          <w:p>
            <w:r>
              <w:rPr>
                <w:sz w:val="20"/>
              </w:rPr>
              <w:t>M99</w:t>
            </w:r>
          </w:p>
        </w:tc>
        <w:tc>
          <w:tcPr>
            <w:tcW w:type="dxa" w:w="4703"/>
          </w:tcPr>
          <w:p>
            <w:r>
              <w:rPr>
                <w:sz w:val="20"/>
              </w:rPr>
              <w:t>UPD incl. technische eisen VBB</w:t>
            </w:r>
          </w:p>
        </w:tc>
      </w:tr>
      <w:tr>
        <w:tc>
          <w:tcPr>
            <w:tcW w:type="dxa" w:w="4703"/>
            <w:shd w:fill="F2F2F2"/>
          </w:tcPr>
          <w:p>
            <w:r>
              <w:rPr>
                <w:sz w:val="20"/>
              </w:rPr>
              <w:t>M116/M117</w:t>
            </w:r>
          </w:p>
        </w:tc>
        <w:tc>
          <w:tcPr>
            <w:tcW w:type="dxa" w:w="4703"/>
            <w:shd w:fill="F2F2F2"/>
          </w:tcPr>
          <w:p>
            <w:r>
              <w:rPr>
                <w:sz w:val="20"/>
              </w:rPr>
              <w:t>Journaal → gegevensbeschikbaarheid hulpdiensten</w:t>
            </w:r>
          </w:p>
        </w:tc>
      </w:tr>
    </w:tbl>
    <w:p/>
    <w:p>
      <w:pPr>
        <w:pStyle w:val="Heading2"/>
      </w:pPr>
      <w:r>
        <w:t>Nieuwe maatregelen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b/>
                <w:color w:val="FFFFFF"/>
                <w:sz w:val="20"/>
              </w:rPr>
              <w:t>Maatregel</w:t>
            </w:r>
          </w:p>
        </w:tc>
        <w:tc>
          <w:tcPr>
            <w:tcW w:type="dxa" w:w="4703"/>
            <w:shd w:fill="003366"/>
          </w:tcPr>
          <w:p>
            <w:r>
              <w:rPr>
                <w:b/>
                <w:color w:val="FFFFFF"/>
                <w:sz w:val="20"/>
              </w:rPr>
              <w:t>Onderwerp</w:t>
            </w:r>
          </w:p>
        </w:tc>
      </w:tr>
      <w:tr>
        <w:tc>
          <w:tcPr>
            <w:tcW w:type="dxa" w:w="4703"/>
          </w:tcPr>
          <w:p>
            <w:r>
              <w:rPr>
                <w:sz w:val="20"/>
              </w:rPr>
              <w:t>MW1</w:t>
            </w:r>
          </w:p>
        </w:tc>
        <w:tc>
          <w:tcPr>
            <w:tcW w:type="dxa" w:w="4703"/>
          </w:tcPr>
          <w:p>
            <w:r>
              <w:rPr>
                <w:sz w:val="20"/>
              </w:rPr>
              <w:t>Zorgplicht basisveiligheid</w:t>
            </w:r>
          </w:p>
        </w:tc>
      </w:tr>
      <w:tr>
        <w:tc>
          <w:tcPr>
            <w:tcW w:type="dxa" w:w="4703"/>
            <w:shd w:fill="F2F2F2"/>
          </w:tcPr>
          <w:p>
            <w:r>
              <w:rPr>
                <w:sz w:val="20"/>
              </w:rPr>
              <w:t>M7</w:t>
            </w:r>
          </w:p>
        </w:tc>
        <w:tc>
          <w:tcPr>
            <w:tcW w:type="dxa" w:w="4703"/>
            <w:shd w:fill="F2F2F2"/>
          </w:tcPr>
          <w:p>
            <w:r>
              <w:rPr>
                <w:sz w:val="20"/>
              </w:rPr>
              <w:t>Binnenopslag gasflessen tot 250 l</w:t>
            </w:r>
          </w:p>
        </w:tc>
      </w:tr>
      <w:tr>
        <w:tc>
          <w:tcPr>
            <w:tcW w:type="dxa" w:w="4703"/>
          </w:tcPr>
          <w:p>
            <w:r>
              <w:rPr>
                <w:sz w:val="20"/>
              </w:rPr>
              <w:t>M8</w:t>
            </w:r>
          </w:p>
        </w:tc>
        <w:tc>
          <w:tcPr>
            <w:tcW w:type="dxa" w:w="4703"/>
          </w:tcPr>
          <w:p>
            <w:r>
              <w:rPr>
                <w:sz w:val="20"/>
              </w:rPr>
              <w:t>Binnenopslag gasflessen vanaf 250 l</w:t>
            </w:r>
          </w:p>
        </w:tc>
      </w:tr>
      <w:tr>
        <w:tc>
          <w:tcPr>
            <w:tcW w:type="dxa" w:w="4703"/>
            <w:shd w:fill="F2F2F2"/>
          </w:tcPr>
          <w:p>
            <w:r>
              <w:rPr>
                <w:sz w:val="20"/>
              </w:rPr>
              <w:t>M13</w:t>
            </w:r>
          </w:p>
        </w:tc>
        <w:tc>
          <w:tcPr>
            <w:tcW w:type="dxa" w:w="4703"/>
            <w:shd w:fill="F2F2F2"/>
          </w:tcPr>
          <w:p>
            <w:r>
              <w:rPr>
                <w:sz w:val="20"/>
              </w:rPr>
              <w:t>Opslag ADR 6.2 cat. I1 en I2</w:t>
            </w:r>
          </w:p>
        </w:tc>
      </w:tr>
      <w:tr>
        <w:tc>
          <w:tcPr>
            <w:tcW w:type="dxa" w:w="4703"/>
          </w:tcPr>
          <w:p>
            <w:r>
              <w:rPr>
                <w:sz w:val="20"/>
              </w:rPr>
              <w:t>M24</w:t>
            </w:r>
          </w:p>
        </w:tc>
        <w:tc>
          <w:tcPr>
            <w:tcW w:type="dxa" w:w="4703"/>
          </w:tcPr>
          <w:p>
            <w:r>
              <w:rPr>
                <w:sz w:val="20"/>
              </w:rPr>
              <w:t>Brandwerendheid draagconstructie</w:t>
            </w:r>
          </w:p>
        </w:tc>
      </w:tr>
      <w:tr>
        <w:tc>
          <w:tcPr>
            <w:tcW w:type="dxa" w:w="4703"/>
            <w:shd w:fill="F2F2F2"/>
          </w:tcPr>
          <w:p>
            <w:r>
              <w:rPr>
                <w:sz w:val="20"/>
              </w:rPr>
              <w:t>M31</w:t>
            </w:r>
          </w:p>
        </w:tc>
        <w:tc>
          <w:tcPr>
            <w:tcW w:type="dxa" w:w="4703"/>
            <w:shd w:fill="F2F2F2"/>
          </w:tcPr>
          <w:p>
            <w:r>
              <w:rPr>
                <w:sz w:val="20"/>
              </w:rPr>
              <w:t>Afschot terrein</w:t>
            </w:r>
          </w:p>
        </w:tc>
      </w:tr>
      <w:tr>
        <w:tc>
          <w:tcPr>
            <w:tcW w:type="dxa" w:w="4703"/>
          </w:tcPr>
          <w:p>
            <w:r>
              <w:rPr>
                <w:sz w:val="20"/>
              </w:rPr>
              <w:t>M49</w:t>
            </w:r>
          </w:p>
        </w:tc>
        <w:tc>
          <w:tcPr>
            <w:tcW w:type="dxa" w:w="4703"/>
          </w:tcPr>
          <w:p>
            <w:r>
              <w:rPr>
                <w:sz w:val="20"/>
              </w:rPr>
              <w:t>Wijze van opslag acuut toxische stoffen</w:t>
            </w:r>
          </w:p>
        </w:tc>
      </w:tr>
      <w:tr>
        <w:tc>
          <w:tcPr>
            <w:tcW w:type="dxa" w:w="4703"/>
            <w:shd w:fill="F2F2F2"/>
          </w:tcPr>
          <w:p>
            <w:r>
              <w:rPr>
                <w:sz w:val="20"/>
              </w:rPr>
              <w:t>M59</w:t>
            </w:r>
          </w:p>
        </w:tc>
        <w:tc>
          <w:tcPr>
            <w:tcW w:type="dxa" w:w="4703"/>
            <w:shd w:fill="F2F2F2"/>
          </w:tcPr>
          <w:p>
            <w:r>
              <w:rPr>
                <w:sz w:val="20"/>
              </w:rPr>
              <w:t>Lekbak monsternamepunt acuut toxische stoffen</w:t>
            </w:r>
          </w:p>
        </w:tc>
      </w:tr>
      <w:tr>
        <w:tc>
          <w:tcPr>
            <w:tcW w:type="dxa" w:w="4703"/>
          </w:tcPr>
          <w:p>
            <w:r>
              <w:rPr>
                <w:sz w:val="20"/>
              </w:rPr>
              <w:t>M76</w:t>
            </w:r>
          </w:p>
        </w:tc>
        <w:tc>
          <w:tcPr>
            <w:tcW w:type="dxa" w:w="4703"/>
          </w:tcPr>
          <w:p>
            <w:r>
              <w:rPr>
                <w:sz w:val="20"/>
              </w:rPr>
              <w:t>Manoeuvreerruimte tussen opslagvakken</w:t>
            </w:r>
          </w:p>
        </w:tc>
      </w:tr>
      <w:tr>
        <w:tc>
          <w:tcPr>
            <w:tcW w:type="dxa" w:w="4703"/>
            <w:shd w:fill="F2F2F2"/>
          </w:tcPr>
          <w:p>
            <w:r>
              <w:rPr>
                <w:sz w:val="20"/>
              </w:rPr>
              <w:t>M97</w:t>
            </w:r>
          </w:p>
        </w:tc>
        <w:tc>
          <w:tcPr>
            <w:tcW w:type="dxa" w:w="4703"/>
            <w:shd w:fill="F2F2F2"/>
          </w:tcPr>
          <w:p>
            <w:r>
              <w:rPr>
                <w:sz w:val="20"/>
              </w:rPr>
              <w:t>Bedrijfsbrandweer</w:t>
            </w:r>
          </w:p>
        </w:tc>
      </w:tr>
      <w:tr>
        <w:tc>
          <w:tcPr>
            <w:tcW w:type="dxa" w:w="4703"/>
          </w:tcPr>
          <w:p>
            <w:r>
              <w:rPr>
                <w:sz w:val="20"/>
              </w:rPr>
              <w:t>M103</w:t>
            </w:r>
          </w:p>
        </w:tc>
        <w:tc>
          <w:tcPr>
            <w:tcW w:type="dxa" w:w="4703"/>
          </w:tcPr>
          <w:p>
            <w:r>
              <w:rPr>
                <w:sz w:val="20"/>
              </w:rPr>
              <w:t>Bluswatervoorziening en bereikbaarheid</w:t>
            </w:r>
          </w:p>
        </w:tc>
      </w:tr>
      <w:tr>
        <w:tc>
          <w:tcPr>
            <w:tcW w:type="dxa" w:w="4703"/>
            <w:shd w:fill="F2F2F2"/>
          </w:tcPr>
          <w:p>
            <w:r>
              <w:rPr>
                <w:sz w:val="20"/>
              </w:rPr>
              <w:t>M118</w:t>
            </w:r>
          </w:p>
        </w:tc>
        <w:tc>
          <w:tcPr>
            <w:tcW w:type="dxa" w:w="4703"/>
            <w:shd w:fill="F2F2F2"/>
          </w:tcPr>
          <w:p>
            <w:r>
              <w:rPr>
                <w:sz w:val="20"/>
              </w:rPr>
              <w:t>Wijze van beschikbaar stellen informatie</w:t>
            </w:r>
          </w:p>
        </w:tc>
      </w:tr>
    </w:tbl>
    <w:p/>
    <w:p>
      <w:pPr>
        <w:pStyle w:val="Heading2"/>
      </w:pPr>
      <w:r>
        <w:t>Vervallen maatregelen</w:t>
      </w:r>
    </w:p>
    <w:p>
      <w:r>
        <w:rPr>
          <w:b w:val="0"/>
          <w:i w:val="0"/>
          <w:sz w:val="22"/>
        </w:rPr>
        <w:t>• BN2a: Vervallen (nieuwe structuur)</w:t>
        <w:br/>
        <w:t>• Inpandig/uitpandig: Vervallen door cascademodel</w:t>
        <w:br/>
        <w:t>• vs 3.15.2: Geen apart journaal meer voor niet-gevaarlijke stoffen</w:t>
        <w:br/>
        <w:t>• vs 3.19.4/3.19.5: PBM's al geregeld in Arbowetgeving</w:t>
      </w:r>
    </w:p>
    <w:p>
      <w:r>
        <w:br w:type="page"/>
      </w:r>
    </w:p>
    <w:p>
      <w:r>
        <w:rPr>
          <w:b/>
          <w:i w:val="0"/>
          <w:sz w:val="28"/>
        </w:rPr>
        <w:t>COLOFON</w:t>
      </w:r>
    </w:p>
    <w:p>
      <w:r>
        <w:rPr>
          <w:b w:val="0"/>
          <w:i w:val="0"/>
          <w:sz w:val="22"/>
        </w:rPr>
        <w:t>Bronvermelding: PGS 15:2025 versie 1.0 (januari 2025), Publicatiereeks Gevaarlijke Stoffen.</w:t>
      </w:r>
    </w:p>
    <w:p>
      <w:r>
        <w:rPr>
          <w:b w:val="0"/>
          <w:i w:val="0"/>
          <w:sz w:val="22"/>
        </w:rPr>
        <w:t>Vastgesteld door: Bestuurlijk Omgevingsberaar (BOb), 16 januari 2025.</w:t>
      </w:r>
    </w:p>
    <w:p>
      <w:r>
        <w:rPr>
          <w:b w:val="0"/>
          <w:i w:val="0"/>
          <w:sz w:val="22"/>
        </w:rPr>
        <w:t>URL: https://publicatiereeksgevaarlijkestoffen.nl/publicaties/online/pgs-15/2025/1-0-januari-2025</w:t>
      </w:r>
    </w:p>
    <w:p>
      <w:r>
        <w:rPr>
          <w:b w:val="0"/>
          <w:i w:val="0"/>
          <w:sz w:val="22"/>
        </w:rPr>
        <w:t>Versie: 2.0 | Samengesteld april 2026.</w:t>
      </w:r>
    </w:p>
    <w:p>
      <w:r>
        <w:rPr>
          <w:b w:val="0"/>
          <w:i/>
          <w:sz w:val="22"/>
        </w:rPr>
        <w:t>Dit document is bedoeld als hulpmiddel bij PGS-15 audits en vervangt niet de originele PGS 15:2025-publicatie.</w:t>
      </w:r>
    </w:p>
    <w:p>
      <w:r>
        <w:rPr>
          <w:b w:val="0"/>
          <w:i/>
          <w:sz w:val="22"/>
        </w:rPr>
        <w:t>Raadpleeg altijd de originele publicatie voor de geautoriseerde versie.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16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