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b/>
          <w:color w:val="003366"/>
          <w:sz w:val="52"/>
        </w:rPr>
        <w:t>PGS-15 Audit Checklist</w:t>
      </w:r>
    </w:p>
    <w:p>
      <w:pPr>
        <w:jc w:val="center"/>
      </w:pPr>
      <w:r>
        <w:rPr>
          <w:sz w:val="24"/>
        </w:rPr>
        <w:t>Versie 2.0 — April 2026</w:t>
        <w:br/>
        <w:t>Bron: PGS 15:2025 versie 1.0 (januari 2025)</w:t>
      </w:r>
    </w:p>
    <w:p/>
    <w:p>
      <w:pPr>
        <w:jc w:val="center"/>
      </w:pPr>
      <w:r>
        <w:rPr>
          <w:sz w:val="20"/>
        </w:rPr>
        <w:t>C = Conform | A = Afwijking | Nvt = Niet van toepassing</w:t>
        <w:br/>
        <w:br/>
        <w:t>Auditdatum: ____________  Auditor: ____________</w:t>
        <w:br/>
        <w:t>Bedrijf: ____________  Locatie: ____________</w:t>
      </w:r>
    </w:p>
    <w:p>
      <w:r>
        <w:br w:type="page"/>
      </w:r>
    </w:p>
    <w:p>
      <w:pPr>
        <w:pStyle w:val="Heading1"/>
      </w:pPr>
      <w:r>
        <w:t>PGS-15 Audit Checklist v2.0</w:t>
      </w:r>
    </w:p>
    <w:p>
      <w:pPr>
        <w:pStyle w:val="Heading2"/>
      </w:pPr>
      <w:r>
        <w:t>Sectie 1: Algemene uitgangspunten &amp; werkingssfeer (§1.2)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§1.2, Tabel 1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PGS 15 van toepassing op basis van de aanwezige gevaarlijke stoffen?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§1.2, Tabel 1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Vallen de stoffen binnen het toepassingsgebied (klasse 2, 3, 4.1–4.3, 5.1, 5.2 LQ, 6.1, 6.2, 8, 9 M6/M7, CMR/CLP)?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§1.2, Tabel 1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stoffen die NIET onder PGS 15 vallen (klasse 1, 7, 5.2 overige, lithium, meststoffen) uitgesloten?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§1.2, Tabel 1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CLP-stoffen acute toxiciteit cat. 1-3 correct uitgesloten?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1.5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§8, M101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het gelijkwaardigheidsbeginsel toegepast en schriftelijk onderbouwd/goedgekeurd?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1.6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M4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Bevindt de opslag zich NIET in een vluchtroute?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1.7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M11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de opslagvoorziening doelmatig geventileerd?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1.8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MW1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good housekeeping en goed vakmanschap zichtbaar (zorgplicht basisveiligheid)?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2: Indeling, ondergrenzen &amp; vrijstellingen (§1.2.1, Tabel 2)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2.1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§1.2, Tabel 2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de stoffen geclassificeerd volgens ADR (klasse, VG, UN-nummer)?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2.2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§1.2, Tabel 2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CMR/CLP-stoffen zonder ADR-classificatie apart geïdentificeerd?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2.3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§1.2.1, Tabel 2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Worden de ondergrensen uit Tabel 2 overschreden?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2.4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§1.2.1, Tabel 2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de sommatieformule (Σ qx/Qx ≥ 1) correct toegepast bij verschillende stoffen?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2.5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§1.2.1, Tabel 2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stoffen met bijkomend gevaar beoordeeld op basis van de laagste ondergrens?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2.6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§1.2.1, Tabel 2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LQ/EQ-vrijstellingen correct toegepast (dubbele ondergrens, in transportverpakking)?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3: Werkvoorraad (M14)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3.1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M14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de werkvoorraad beperkt tot stoffen strikt noodzakelijk voor de bedrijfsvoering?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3.2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M14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aangetoond dat de werkvoorraad noodzakelijk is?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3.3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M14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Bevindt de werkvoorraad zich NIET in een rijroute of vluchtroute?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3.4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M14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er geen meerdere ongeopende eenheden die als "verkapte opslag" kwalificeren?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4: Opslagvoorzieningen &amp; Veiligheidsniveaus (M2, M3, M21)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4.1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M2, M3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alle stoffen opgeslagen in een daarvoor bestemde opslagvoorziening?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4.2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M3, Tabel 6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het juiste Veiligheidsniveau bepaald (Basis/A/B/C) via Tabel 6?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4.3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M3, Tabel 6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de vereiste WBDBO correct bepaald (60 of 90 min)?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4.4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M21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Voldoet de binnenopslag aan WBDBO 60 min (wanden, vloer, dak)?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4.5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M21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Voldoet de buitenopslag aan WBDBO 60 min, óf is de afstand ≥15 m (60 min reductie)?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4.6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M21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deuren in brandwerende constructies zelfsluitend uitgevoerd?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4.7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M21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bij Veiligheidsniveau A &gt;10 ton de WBDBO 90 min?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4.8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M90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de afstandsbenadering correct (≥5 m = 30 min, ≥15 m = 60 min)?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4.9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M90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90 min WBDBO NIET via afstand aangetoond (alleen via berekening NEN 6068)?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4.10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M21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WBDBO-verlagingen voor bestaande bouw NIET toegepast op PGS 15-opslag?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4.11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M24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Heeft de draagconstructie een brandwerendheid gelijk aan de WBDBO van het brandcompartiment?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5: Zonnepanelen (M21)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5.1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M21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een PV-installatie op de opslagvoorziening alleen aanwezig NA toestemming bevoegd gezag?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5.2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M21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bij een niet-brandwerend dak de PV-installatie NIET aanwezig (uitzondering: noodzakelijke installaties)?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5.3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M21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aanvullende maatregelen voor PV-installatie vastgelegd (brandwerendheid dak, constructie, integriteit)?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6: Productopvang (M35, M36)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6.1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M35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bij opslag van vloeistoffen een opvangvoorziening aanwezig?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6.2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M35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Bedraagt de opvangcapaciteit ≥110% grootste verpakking of ≥10% totaal (hoogste bepalend)?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6.3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M35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lege ongereinigde verpakkingen buiten beschouwing gelaten?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6.4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M59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bij acuut toxische stoffen (H300-H331, ADR 3 VG I/II) een monsternamepunt op de lekbak aanwezig?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7: Compartimentering (Bijlage E, M42–M44)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7.1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Bijlage E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onverenigbare combinaties correct gescheiden (V/B/—)?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7.2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Bijlage E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klasse 3 (brandbaar) en klasse 5.1 (oxiderend) in aparte vakken (V)?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7.3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M49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acuut toxische stoffen (ADR 6.1 VG I/II) in apart brandcompartiment of met 5 m vrije zone?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7.4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M49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acuut toxische stoffen uitsluitend in UN-gekeurde verpakkingen, max. 1,80 m hoog?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7.5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Bijlage E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Gelden de compartimenteringseisen NIET voor LQ/EQ-verpakkingen?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7.6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M44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verpakkingen bij ontvangst en periodiek gecontroleerd op juiste etikettering (M45)?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8: Vakbekwaamheid (M104)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8.1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M104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bij &gt;2.500 kg een deskundig persoon aanwezig tijdens werkzaamheden?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8.2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M104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de vakbekwaamheid aantoonbaar (certificaten, opleidingen)?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8.3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M104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het personeel adequaat geïnstrueerd over gevaren van opgeslagen stoffen?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8.4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M45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er een procedure voor controle op juiste en leesbare gevaarsetiketten?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9: Informatievoorziening hulpdiensten (M116, M117, M118)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9.1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M116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bij &gt;2.500 kg een representatieve informatievoorziening aanwezig (bij aankomst beschikbaar)?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9.2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M116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Bevat de plattegrond alle verplichte elementen conform NEN 1414-1?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9.3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M116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Bevat de stoffenlijst ADR-klasse, maximale hoeveelheid per klasse en totaal?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9.4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M117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binnen 30 min na aankomst hulpdienst de uitgebreide stofinformatie beschikbaar?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9.5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M117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Bevat de uitgebreide informatie: vervoersnaam, chemische naam, UN-nummer, GEVI, actuele hoeveelheid, VG, CMR/CLP, MSDS?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9.6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M117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een deskundig persoon beschikbaar (telefonisch toegestaan bij niet-continubedrijven)?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9.7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M118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de wijze van beschikbaar stellen informatie vastgelegd?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9.8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M116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de informatievoorziening NIET van toepassing op brandveiligheidsopslagkasten?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10: Noodplan (M113)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10.1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M113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een intern noodplan aanwezig en actueel?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10.2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M113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Beschrijft het noodplan organisatorische en technische maatregelen?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10.3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M113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Bevat het noodplan een actuele telefoonnummerslijst?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10.4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M113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het noodplan ten minste eenmaal per drie jaar geëvalueerd en beproefd?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11: Veiligheidssignalering (M135)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11.1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M135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gevaarsidentificatiesymbolen conform ADR art. 5.2 aan de buitenzijde aangebracht?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11.2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M48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alle opgeslagen stoffen inclusief kleinverpakkingen correct geëtiketteerd?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11.3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M135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pictogrammen op geschikte plaatsen aangebracht en goed zichtbaar?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12: Brandbeveiliging &amp; VBB (M96, M97, M99)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12.1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M96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bij Veiligheidsniveau A een VBB-systeem aanwezig?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12.2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M99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een UPD opgesteld en goedgekeurd door bevoegd gezag (Veiligheidsniveau A)?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12.3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M99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Wordt het VBB-systeem jaarlijks geïnspecteerd door geaccrediteerde instelling?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12.4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M99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het UPD elke 5 jaar op actualiteit beoordeeld?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12.5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M97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een bedrijfsbrandweer ingericht (indien van toepassing op basis van M98)?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12.6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M103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de bluswatervoorziening adequaat en bereikbaar?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12.7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M89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failsafe-functies of behoud van functie geborgd bij relevante installaties?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13: Gasflessen (M7, M8, M54–M56, M91, M92)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13.1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M7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binnenopslag ≤250 l in brandveiligheidsopslagkast (≥60 min BW)?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13.2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M8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binnenopslag &gt;250 l zoveel mogelijk voorkomen en dedicated opgeslagen?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13.3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M8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opslag van gasflessen in een kelder VERBODEN?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13.4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M8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maximaal 2 brandveiligheidsopslagkasten gasflessen per brandcompartiment op verdieping?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13.5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M54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gasflessen staand opgeslagen en niet gestapeld (tenzij voorziening)?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13.6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M56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gasflessen tegen omvallen beveiligd?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13.7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M91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Bedraagt de afstand van buitenopgeslagen gasflessen tot gebouwen/brandbaar object minimaal 15 m?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13.8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M91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Voldoet de gevel bij gasflessenopslag aan Wbdbo ≥60 min tot 4 m hoogte?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13.9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M92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Bedraagt de afstand van brandbare gassen zwaarder dan lucht tot kelderopeningen/putten minimaal 5 m?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13.10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M18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de totale waterinhoud van een cilinderpakket maximaal 1.000 l (giftig) of 3.000 l (overig)?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14: Verdiepingsopslag (M8)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14.1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M8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Bevat de eerste verdieping maximaal 1 opslagruimte met max 2.500 kg/l?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14.2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M8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Bedraagt de opslag in kelder en hogere verdiepingen maximaal 500 kg/l?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14.3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M8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de uitzondering voor onbrandbare stoffen (ADR 8 VG II/III, ADR 9) correct toegepast?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14.4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M8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Bedraagt de opslag in kasten op verdieping maximaal 2.500 kg/l per brandcompartiment?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14.5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M8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gasflessen NIET in de kelder opgeslagen?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15: Tijdelijke opslag (§7.6.2, M109–M115)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15.1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§7.6.2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de juiste categorie tijdelijke opslag bepaald (10.000 kg / 10.000 kg deskundig / 30.000 kg deskundig)?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15.2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M109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alleen de basisveiligheidsniveau-maatregelen van toepassing?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15.3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§7.6.2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uitgesloten stoffen (VG I, klasse 1, 2.3, 5.2 overige, 7, gasflessen) NIET aanwezig?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15.4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§7.6.2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het brandcompartiment minimaal 60 min brandwerend?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15.5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§7.6.2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het brandcompartiment bereikbaar voor hulpdiensten?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16: Specifieke stofgroepen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16.1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M55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de stapelhoogte spuitbussen maximaal 3,60 m zonder stellingen?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16.2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M55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bij Veiligheidsniveau A de stapelhoogte spuitbussen vastgelegd in het UPD?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16.3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M19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Bedraagt de opslag organische peroxiden maximaal 1.000 kg in LQ-verpakkingen?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16.4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M49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acuut toxische stoffen (H300-H331) in UN-gekeurde verpakkingen, max. 1,80 m hoog?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16.5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M13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ADR 6.2 cat. I1/I2 stoffen correct opgeslagen?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16.6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M47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Zijn (tank)containers bij ontvangst visueel geïnspecteerd?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16.7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M52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buiten opgeslagen stoffen in weerbestendige verpakking?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2"/>
      </w:pPr>
      <w:r>
        <w:t>Sectie 17: Onderhoud, keuring &amp; training (M45, M46, M104)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57"/>
        <w:gridCol w:w="1757"/>
        <w:gridCol w:w="1757"/>
        <w:gridCol w:w="1757"/>
        <w:gridCol w:w="1757"/>
        <w:gridCol w:w="1757"/>
      </w:tblGrid>
      <w:tr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Nr.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16"/>
              </w:rPr>
              <w:t>Bron PGS 15:2025</w:t>
            </w:r>
          </w:p>
        </w:tc>
        <w:tc>
          <w:tcPr>
            <w:tcW w:type="dxa" w:w="5953"/>
            <w:shd w:fill="003366"/>
          </w:tcPr>
          <w:p>
            <w:r>
              <w:rPr>
                <w:b/>
                <w:color w:val="FFFFFF"/>
                <w:sz w:val="16"/>
              </w:rPr>
              <w:t>Toetsvraag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C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A</w:t>
            </w:r>
          </w:p>
        </w:tc>
        <w:tc>
          <w:tcPr>
            <w:tcW w:type="dxa" w:w="454"/>
            <w:shd w:fill="003366"/>
          </w:tcPr>
          <w:p>
            <w:r>
              <w:rPr>
                <w:b/>
                <w:color w:val="FFFFFF"/>
                <w:sz w:val="16"/>
              </w:rPr>
              <w:t>Nvt</w:t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17.1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M45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een procedure aanwezig voor controle op etiketten, beschadiging en lekkage?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17.2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§7.4.1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periodiek onderhoud uitgevoerd en gedocumenteerd?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17.3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§7.4.2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Zijn keuringen en inspecties uitgevoerd?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17.4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§7.4.3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het personeel opgeleid en getraind?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17.5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M76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de manoeuvreerruimte tussen opslagvakken voldoende?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  <w:shd w:fill="F2F2F2"/>
          </w:tcPr>
          <w:p>
            <w:r>
              <w:rPr>
                <w:sz w:val="16"/>
              </w:rPr>
              <w:t>17.6</w:t>
            </w:r>
          </w:p>
        </w:tc>
        <w:tc>
          <w:tcPr>
            <w:tcW w:type="dxa" w:w="1701"/>
            <w:shd w:fill="F2F2F2"/>
          </w:tcPr>
          <w:p>
            <w:r>
              <w:rPr>
                <w:sz w:val="16"/>
              </w:rPr>
              <w:t>M75</w:t>
            </w:r>
          </w:p>
        </w:tc>
        <w:tc>
          <w:tcPr>
            <w:tcW w:type="dxa" w:w="5953"/>
            <w:shd w:fill="F2F2F2"/>
          </w:tcPr>
          <w:p>
            <w:r>
              <w:rPr>
                <w:sz w:val="16"/>
              </w:rPr>
              <w:t>Is aanrijdbeveiliging van stellingen aanwezig?</w:t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  <w:tc>
          <w:tcPr>
            <w:tcW w:type="dxa" w:w="454"/>
            <w:shd w:fill="F2F2F2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454"/>
          </w:tcPr>
          <w:p>
            <w:r>
              <w:rPr>
                <w:sz w:val="16"/>
              </w:rPr>
              <w:t>17.7</w:t>
            </w:r>
          </w:p>
        </w:tc>
        <w:tc>
          <w:tcPr>
            <w:tcW w:type="dxa" w:w="1701"/>
          </w:tcPr>
          <w:p>
            <w:r>
              <w:rPr>
                <w:sz w:val="16"/>
              </w:rPr>
              <w:t>M31</w:t>
            </w:r>
          </w:p>
        </w:tc>
        <w:tc>
          <w:tcPr>
            <w:tcW w:type="dxa" w:w="5953"/>
          </w:tcPr>
          <w:p>
            <w:r>
              <w:rPr>
                <w:sz w:val="16"/>
              </w:rPr>
              <w:t>Is het terrein correct afgeschot voor bluswater?</w:t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  <w:tc>
          <w:tcPr>
            <w:tcW w:type="dxa" w:w="454"/>
          </w:tcPr>
          <w:p>
            <w:r>
              <w:rPr>
                <w:sz w:val="16"/>
              </w:rPr>
            </w:r>
          </w:p>
        </w:tc>
      </w:tr>
    </w:tbl>
    <w:p/>
    <w:p/>
    <w:p>
      <w:r>
        <w:rPr>
          <w:i/>
          <w:sz w:val="16"/>
        </w:rPr>
        <w:t>Colofon: PGS 15:2025 versie 1.0 (januari 2025), vastgesteld BOb 16 januari 2025. Versie 2.0, april 2026. Dit document vervangt niet de originele PGS 15:2025-publicatie.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336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3366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