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rPr>
          <w:b/>
          <w:color w:val="0055A4"/>
          <w:sz w:val="28"/>
        </w:rPr>
        <w:t>JvG Consultancy</w:t>
      </w:r>
    </w:p>
    <w:p/>
    <w:p>
      <w:pPr>
        <w:jc w:val="center"/>
      </w:pPr>
      <w:r>
        <w:rPr>
          <w:b/>
          <w:color w:val="003366"/>
          <w:sz w:val="56"/>
        </w:rPr>
        <w:t>TOOLBOX TALK</w:t>
      </w:r>
    </w:p>
    <w:p>
      <w:pPr>
        <w:jc w:val="center"/>
      </w:pPr>
      <w:r>
        <w:rPr>
          <w:b/>
          <w:color w:val="0055A4"/>
          <w:sz w:val="36"/>
        </w:rPr>
        <w:t>Kwik (Hg) — De Onzichtbare Dreiging</w:t>
      </w:r>
    </w:p>
    <w:p/>
    <w:p/>
    <w:tbl>
      <w:tblPr>
        <w:tblStyle w:val="LightGrid-Accent1"/>
        <w:tblW w:type="auto" w:w="0"/>
        <w:tblLook w:firstColumn="1" w:firstRow="1" w:lastColumn="0" w:lastRow="0" w:noHBand="0" w:noVBand="1" w:val="04A0"/>
      </w:tblPr>
      <w:tblGrid>
        <w:gridCol w:w="4703"/>
        <w:gridCol w:w="4703"/>
      </w:tblGrid>
      <w:tr>
        <w:tc>
          <w:tcPr>
            <w:tcW w:type="dxa" w:w="4703"/>
          </w:tcPr>
          <w:p>
            <w:r>
              <w:rPr>
                <w:b/>
                <w:sz w:val="20"/>
              </w:rPr>
              <w:t>Veld</w:t>
            </w:r>
          </w:p>
        </w:tc>
        <w:tc>
          <w:tcPr>
            <w:tcW w:type="dxa" w:w="4703"/>
          </w:tcPr>
          <w:p>
            <w:r>
              <w:rPr>
                <w:b/>
                <w:sz w:val="20"/>
              </w:rPr>
              <w:t>Waarde</w:t>
            </w:r>
          </w:p>
        </w:tc>
      </w:tr>
      <w:tr>
        <w:tc>
          <w:tcPr>
            <w:tcW w:type="dxa" w:w="4703"/>
          </w:tcPr>
          <w:p>
            <w:r>
              <w:rPr>
                <w:sz w:val="20"/>
              </w:rPr>
              <w:t>Type</w:t>
            </w:r>
          </w:p>
        </w:tc>
        <w:tc>
          <w:tcPr>
            <w:tcW w:type="dxa" w:w="4703"/>
          </w:tcPr>
          <w:p>
            <w:r>
              <w:rPr>
                <w:sz w:val="20"/>
              </w:rPr>
              <w:t>Toolbox Talk (15-20 minuten)</w:t>
            </w:r>
          </w:p>
        </w:tc>
      </w:tr>
      <w:tr>
        <w:tc>
          <w:tcPr>
            <w:tcW w:type="dxa" w:w="4703"/>
          </w:tcPr>
          <w:p>
            <w:r>
              <w:rPr>
                <w:sz w:val="20"/>
              </w:rPr>
              <w:t>Onderwerp</w:t>
            </w:r>
          </w:p>
        </w:tc>
        <w:tc>
          <w:tcPr>
            <w:tcW w:type="dxa" w:w="4703"/>
          </w:tcPr>
          <w:p>
            <w:r>
              <w:rPr>
                <w:sz w:val="20"/>
              </w:rPr>
              <w:t>Kwik (Hg) — gevaren, blootstelling en veilig werken</w:t>
            </w:r>
          </w:p>
        </w:tc>
      </w:tr>
      <w:tr>
        <w:tc>
          <w:tcPr>
            <w:tcW w:type="dxa" w:w="4703"/>
          </w:tcPr>
          <w:p>
            <w:r>
              <w:rPr>
                <w:sz w:val="20"/>
              </w:rPr>
              <w:t>Doelgroep</w:t>
            </w:r>
          </w:p>
        </w:tc>
        <w:tc>
          <w:tcPr>
            <w:tcW w:type="dxa" w:w="4703"/>
          </w:tcPr>
          <w:p>
            <w:r>
              <w:rPr>
                <w:sz w:val="20"/>
              </w:rPr>
              <w:t>Operators (Gevorderd niveau)</w:t>
            </w:r>
          </w:p>
        </w:tc>
      </w:tr>
      <w:tr>
        <w:tc>
          <w:tcPr>
            <w:tcW w:type="dxa" w:w="4703"/>
          </w:tcPr>
          <w:p>
            <w:r>
              <w:rPr>
                <w:sz w:val="20"/>
              </w:rPr>
              <w:t>Brondocument</w:t>
            </w:r>
          </w:p>
        </w:tc>
        <w:tc>
          <w:tcPr>
            <w:tcW w:type="dxa" w:w="4703"/>
          </w:tcPr>
          <w:p>
            <w:r>
              <w:rPr>
                <w:sz w:val="20"/>
              </w:rPr>
              <w:t>Kwik procedure (HSEQ Database)</w:t>
            </w:r>
          </w:p>
        </w:tc>
      </w:tr>
      <w:tr>
        <w:tc>
          <w:tcPr>
            <w:tcW w:type="dxa" w:w="4703"/>
          </w:tcPr>
          <w:p>
            <w:r>
              <w:rPr>
                <w:sz w:val="20"/>
              </w:rPr>
              <w:t>Datum</w:t>
            </w:r>
          </w:p>
        </w:tc>
        <w:tc>
          <w:tcPr>
            <w:tcW w:type="dxa" w:w="4703"/>
          </w:tcPr>
          <w:p>
            <w:r>
              <w:rPr>
                <w:sz w:val="20"/>
              </w:rPr>
              <w:t>14 april 2026</w:t>
            </w:r>
          </w:p>
        </w:tc>
      </w:tr>
      <w:tr>
        <w:tc>
          <w:tcPr>
            <w:tcW w:type="dxa" w:w="4703"/>
          </w:tcPr>
          <w:p>
            <w:r>
              <w:rPr>
                <w:sz w:val="20"/>
              </w:rPr>
              <w:t>Trainer</w:t>
            </w:r>
          </w:p>
        </w:tc>
        <w:tc>
          <w:tcPr>
            <w:tcW w:type="dxa" w:w="4703"/>
          </w:tcPr>
          <w:p>
            <w:r>
              <w:rPr>
                <w:sz w:val="20"/>
              </w:rPr>
              <w:t>[Naam Trainer]</w:t>
            </w:r>
          </w:p>
        </w:tc>
      </w:tr>
      <w:tr>
        <w:tc>
          <w:tcPr>
            <w:tcW w:type="dxa" w:w="4703"/>
          </w:tcPr>
          <w:p>
            <w:r>
              <w:rPr>
                <w:sz w:val="20"/>
              </w:rPr>
              <w:t>Locatie</w:t>
            </w:r>
          </w:p>
        </w:tc>
        <w:tc>
          <w:tcPr>
            <w:tcW w:type="dxa" w:w="4703"/>
          </w:tcPr>
          <w:p>
            <w:r>
              <w:rPr>
                <w:sz w:val="20"/>
              </w:rPr>
              <w:t>[Locatie]</w:t>
            </w:r>
          </w:p>
        </w:tc>
      </w:tr>
      <w:tr>
        <w:tc>
          <w:tcPr>
            <w:tcW w:type="dxa" w:w="4703"/>
          </w:tcPr>
          <w:p>
            <w:r>
              <w:rPr>
                <w:sz w:val="20"/>
              </w:rPr>
              <w:t>Versie</w:t>
            </w:r>
          </w:p>
        </w:tc>
        <w:tc>
          <w:tcPr>
            <w:tcW w:type="dxa" w:w="4703"/>
          </w:tcPr>
          <w:p>
            <w:r>
              <w:rPr>
                <w:sz w:val="20"/>
              </w:rPr>
              <w:t>v1.0</w:t>
            </w:r>
          </w:p>
        </w:tc>
      </w:tr>
    </w:tbl>
    <w:p>
      <w:r>
        <w:br w:type="page"/>
      </w:r>
    </w:p>
    <w:p>
      <w:pPr>
        <w:pStyle w:val="Heading1"/>
      </w:pPr>
      <w:r>
        <w:rPr>
          <w:color w:val="003366"/>
        </w:rPr>
        <w:t>Leerdoelen</w:t>
      </w:r>
    </w:p>
    <w:p>
      <w:r>
        <w:rPr>
          <w:i/>
        </w:rPr>
        <w:t>Na deze Toolbox Talk kan de deelnemer:</w:t>
      </w:r>
    </w:p>
    <w:p>
      <w:pPr>
        <w:pStyle w:val="ListNumber"/>
      </w:pPr>
      <w:r>
        <w:t>De drie vormen van kwik benoemen (elementair, anorganisch, organisch) en hun specifieke gezondheidseffecten uitleggen.</w:t>
      </w:r>
    </w:p>
    <w:p>
      <w:pPr>
        <w:pStyle w:val="ListNumber"/>
      </w:pPr>
      <w:r>
        <w:t>De blootstellingsroutes herkennen (inhalatie, dermaal, oraal) en de kritische grenswaarden benoemen (TWA 0,02 mg/m³).</w:t>
      </w:r>
    </w:p>
    <w:p>
      <w:pPr>
        <w:pStyle w:val="ListNumber"/>
      </w:pPr>
      <w:r>
        <w:t>De juiste PBM's en werkprocedures toepassen bij potentiële kwikblootstelling.</w:t>
      </w:r>
    </w:p>
    <w:p>
      <w:pPr>
        <w:pStyle w:val="ListNumber"/>
      </w:pPr>
      <w:r>
        <w:t>Het 7-staps morsingsprotocol direct uitvoeren bij een kwikincident.</w:t>
      </w:r>
    </w:p>
    <w:p>
      <w:pPr>
        <w:pStyle w:val="ListNumber"/>
      </w:pPr>
      <w:r>
        <w:t>De relevante Arbowetgeving (Arbobesluit art. 4.1a, 4.1b, 4.1c, 4.5) koppelen aan de eigen werksituatie.</w:t>
      </w:r>
    </w:p>
    <w:p>
      <w:pPr>
        <w:pStyle w:val="Heading1"/>
      </w:pPr>
      <w:r>
        <w:rPr>
          <w:color w:val="003366"/>
        </w:rPr>
        <w:t>1. Wat is Kwik en Waarom is het Gevaarlijk?</w:t>
      </w:r>
    </w:p>
    <w:p>
      <w:pPr>
        <w:pStyle w:val="Heading2"/>
      </w:pPr>
      <w:r>
        <w:rPr>
          <w:color w:val="003366"/>
        </w:rPr>
        <w:t>1.1 Feiten</w:t>
      </w:r>
    </w:p>
    <w:p>
      <w:pPr>
        <w:pStyle w:val="ListBullet"/>
      </w:pPr>
      <w:r>
        <w:t>Kwik (Hg) is het enige metaal dat bij kamertemperatuur vloeibaar is (smeltpunt -38,8°C).</w:t>
      </w:r>
    </w:p>
    <w:p>
      <w:pPr>
        <w:pStyle w:val="ListBullet"/>
      </w:pPr>
      <w:r>
        <w:t>Dampdruk bij 20°C: 0,0012 mmHg — verdampt al bij kamertemperatuur.</w:t>
      </w:r>
    </w:p>
    <w:p>
      <w:pPr>
        <w:pStyle w:val="ListBullet"/>
      </w:pPr>
      <w:r>
        <w:t>Kwikdampen zijn reukloos, kleurloos en smaakloos — onmerkbaar zonder meetapparatuur.</w:t>
      </w:r>
    </w:p>
    <w:p>
      <w:pPr>
        <w:pStyle w:val="ListBullet"/>
      </w:pPr>
      <w:r>
        <w:t>Dichtheid: 13.546 kg/m³ (13,5x zwaarder dan water).</w:t>
      </w:r>
    </w:p>
    <w:p>
      <w:pPr>
        <w:pStyle w:val="ListBullet"/>
      </w:pPr>
      <w:r>
        <w:t>REACH-classificatie: Stof van Zeer Grote Zorg (SVHC), H351 (kankerverdenking).</w:t>
      </w:r>
    </w:p>
    <w:p>
      <w:pPr>
        <w:pStyle w:val="Heading2"/>
      </w:pPr>
      <w:r>
        <w:rPr>
          <w:color w:val="003366"/>
        </w:rPr>
        <w:t>1.2 Drie vormen van kwik</w:t>
      </w:r>
    </w:p>
    <w:tbl>
      <w:tblPr>
        <w:tblStyle w:val="LightGrid-Accent1"/>
        <w:tblW w:type="auto" w:w="0"/>
        <w:tblLook w:firstColumn="1" w:firstRow="1" w:lastColumn="0" w:lastRow="0" w:noHBand="0" w:noVBand="1" w:val="04A0"/>
      </w:tblPr>
      <w:tblGrid>
        <w:gridCol w:w="2351"/>
        <w:gridCol w:w="2351"/>
        <w:gridCol w:w="2351"/>
        <w:gridCol w:w="2351"/>
      </w:tblGrid>
      <w:tr>
        <w:tc>
          <w:tcPr>
            <w:tcW w:type="dxa" w:w="2351"/>
          </w:tcPr>
          <w:p>
            <w:r>
              <w:rPr>
                <w:b/>
                <w:sz w:val="20"/>
              </w:rPr>
              <w:t>Vorm</w:t>
            </w:r>
          </w:p>
        </w:tc>
        <w:tc>
          <w:tcPr>
            <w:tcW w:type="dxa" w:w="2351"/>
          </w:tcPr>
          <w:p>
            <w:r>
              <w:rPr>
                <w:b/>
                <w:sz w:val="20"/>
              </w:rPr>
              <w:t>Voorbeeld</w:t>
            </w:r>
          </w:p>
        </w:tc>
        <w:tc>
          <w:tcPr>
            <w:tcW w:type="dxa" w:w="2351"/>
          </w:tcPr>
          <w:p>
            <w:r>
              <w:rPr>
                <w:b/>
                <w:sz w:val="20"/>
              </w:rPr>
              <w:t>Blootstelling</w:t>
            </w:r>
          </w:p>
        </w:tc>
        <w:tc>
          <w:tcPr>
            <w:tcW w:type="dxa" w:w="2351"/>
          </w:tcPr>
          <w:p>
            <w:r>
              <w:rPr>
                <w:b/>
                <w:sz w:val="20"/>
              </w:rPr>
              <w:t>Gezondheidseffect</w:t>
            </w:r>
          </w:p>
        </w:tc>
      </w:tr>
      <w:tr>
        <w:tc>
          <w:tcPr>
            <w:tcW w:type="dxa" w:w="2351"/>
          </w:tcPr>
          <w:p>
            <w:r>
              <w:rPr>
                <w:sz w:val="20"/>
              </w:rPr>
              <w:t>Elementair</w:t>
            </w:r>
          </w:p>
        </w:tc>
        <w:tc>
          <w:tcPr>
            <w:tcW w:type="dxa" w:w="2351"/>
          </w:tcPr>
          <w:p>
            <w:r>
              <w:rPr>
                <w:sz w:val="20"/>
              </w:rPr>
              <w:t>Thermometers, barometers, amalgamen</w:t>
            </w:r>
          </w:p>
        </w:tc>
        <w:tc>
          <w:tcPr>
            <w:tcW w:type="dxa" w:w="2351"/>
          </w:tcPr>
          <w:p>
            <w:r>
              <w:rPr>
                <w:sz w:val="20"/>
              </w:rPr>
              <w:t>Inhalatie dampen</w:t>
            </w:r>
          </w:p>
        </w:tc>
        <w:tc>
          <w:tcPr>
            <w:tcW w:type="dxa" w:w="2351"/>
          </w:tcPr>
          <w:p>
            <w:r>
              <w:rPr>
                <w:sz w:val="20"/>
              </w:rPr>
              <w:t>Longschade, neurotoxiciteit, tremor</w:t>
            </w:r>
          </w:p>
        </w:tc>
      </w:tr>
      <w:tr>
        <w:tc>
          <w:tcPr>
            <w:tcW w:type="dxa" w:w="2351"/>
          </w:tcPr>
          <w:p>
            <w:r>
              <w:rPr>
                <w:sz w:val="20"/>
              </w:rPr>
              <w:t>Anorganisch</w:t>
            </w:r>
          </w:p>
        </w:tc>
        <w:tc>
          <w:tcPr>
            <w:tcW w:type="dxa" w:w="2351"/>
          </w:tcPr>
          <w:p>
            <w:r>
              <w:rPr>
                <w:sz w:val="20"/>
              </w:rPr>
              <w:t>Kwikchloride, kwiknitraat (industrie)</w:t>
            </w:r>
          </w:p>
        </w:tc>
        <w:tc>
          <w:tcPr>
            <w:tcW w:type="dxa" w:w="2351"/>
          </w:tcPr>
          <w:p>
            <w:r>
              <w:rPr>
                <w:sz w:val="20"/>
              </w:rPr>
              <w:t>Dermaal / oraal</w:t>
            </w:r>
          </w:p>
        </w:tc>
        <w:tc>
          <w:tcPr>
            <w:tcW w:type="dxa" w:w="2351"/>
          </w:tcPr>
          <w:p>
            <w:r>
              <w:rPr>
                <w:sz w:val="20"/>
              </w:rPr>
              <w:t>Nierschade, maag-darmklachten, corrosie</w:t>
            </w:r>
          </w:p>
        </w:tc>
      </w:tr>
      <w:tr>
        <w:tc>
          <w:tcPr>
            <w:tcW w:type="dxa" w:w="2351"/>
          </w:tcPr>
          <w:p>
            <w:r>
              <w:rPr>
                <w:sz w:val="20"/>
              </w:rPr>
              <w:t>Organisch</w:t>
            </w:r>
          </w:p>
        </w:tc>
        <w:tc>
          <w:tcPr>
            <w:tcW w:type="dxa" w:w="2351"/>
          </w:tcPr>
          <w:p>
            <w:r>
              <w:rPr>
                <w:sz w:val="20"/>
              </w:rPr>
              <w:t>Methylkwik in vis/zeewater, laboratoria</w:t>
            </w:r>
          </w:p>
        </w:tc>
        <w:tc>
          <w:tcPr>
            <w:tcW w:type="dxa" w:w="2351"/>
          </w:tcPr>
          <w:p>
            <w:r>
              <w:rPr>
                <w:sz w:val="20"/>
              </w:rPr>
              <w:t>Oraal (voedselketen)</w:t>
            </w:r>
          </w:p>
        </w:tc>
        <w:tc>
          <w:tcPr>
            <w:tcW w:type="dxa" w:w="2351"/>
          </w:tcPr>
          <w:p>
            <w:r>
              <w:rPr>
                <w:sz w:val="20"/>
              </w:rPr>
              <w:t>Ernstige neurologische schade (Minamata)</w:t>
            </w:r>
          </w:p>
        </w:tc>
      </w:tr>
    </w:tbl>
    <w:p>
      <w:pPr>
        <w:pStyle w:val="Heading2"/>
      </w:pPr>
      <w:r>
        <w:rPr>
          <w:color w:val="003366"/>
        </w:rPr>
        <w:t>1.3 Praktijkvoorbeeld</w:t>
      </w:r>
    </w:p>
    <w:p>
      <w:r>
        <w:rPr>
          <w:b/>
          <w:color w:val="BE3232"/>
          <w:sz w:val="22"/>
        </w:rPr>
        <w:t xml:space="preserve">⚠️ Incident: </w:t>
      </w:r>
      <w:r>
        <w:t>Bij routinematig onderhoud aan een kwikbelastingmeter in een petrochemische installatie werd een kleine lekkage ontdekt. De operator ruimde het op met een doek — zonder PBM's. Kwikdampconcentratie steeg naar 0,05 mg/m³ (2,5x boven de grenswaarde). Resultaat: 3 weken neurologische klachten inclusief tremor en geheugenverlies.</w:t>
      </w:r>
    </w:p>
    <w:p/>
    <w:p>
      <w:pPr>
        <w:pStyle w:val="Heading1"/>
      </w:pPr>
      <w:r>
        <w:rPr>
          <w:color w:val="003366"/>
        </w:rPr>
        <w:t>2. Wetgeving &amp; Grenswaarden</w:t>
      </w:r>
    </w:p>
    <w:p>
      <w:pPr>
        <w:pStyle w:val="Heading2"/>
      </w:pPr>
      <w:r>
        <w:rPr>
          <w:color w:val="003366"/>
        </w:rPr>
        <w:t>2.1 Arbowetgeving (harde eisen)</w:t>
      </w:r>
    </w:p>
    <w:tbl>
      <w:tblPr>
        <w:tblStyle w:val="LightGrid-Accent1"/>
        <w:tblW w:type="auto" w:w="0"/>
        <w:tblLook w:firstColumn="1" w:firstRow="1" w:lastColumn="0" w:lastRow="0" w:noHBand="0" w:noVBand="1" w:val="04A0"/>
      </w:tblPr>
      <w:tblGrid>
        <w:gridCol w:w="4703"/>
        <w:gridCol w:w="4703"/>
      </w:tblGrid>
      <w:tr>
        <w:tc>
          <w:tcPr>
            <w:tcW w:type="dxa" w:w="4703"/>
          </w:tcPr>
          <w:p>
            <w:r>
              <w:rPr>
                <w:b/>
                <w:sz w:val="20"/>
              </w:rPr>
              <w:t>Wetgeving</w:t>
            </w:r>
          </w:p>
        </w:tc>
        <w:tc>
          <w:tcPr>
            <w:tcW w:type="dxa" w:w="4703"/>
          </w:tcPr>
          <w:p>
            <w:r>
              <w:rPr>
                <w:b/>
                <w:sz w:val="20"/>
              </w:rPr>
              <w:t>Vereiste</w:t>
            </w:r>
          </w:p>
        </w:tc>
      </w:tr>
      <w:tr>
        <w:tc>
          <w:tcPr>
            <w:tcW w:type="dxa" w:w="4703"/>
          </w:tcPr>
          <w:p>
            <w:r>
              <w:rPr>
                <w:sz w:val="20"/>
              </w:rPr>
              <w:t>Arbobesluit art. 4.1a</w:t>
            </w:r>
          </w:p>
        </w:tc>
        <w:tc>
          <w:tcPr>
            <w:tcW w:type="dxa" w:w="4703"/>
          </w:tcPr>
          <w:p>
            <w:r>
              <w:rPr>
                <w:sz w:val="20"/>
              </w:rPr>
              <w:t>Werkgever moet blootstelling aan gevaarlijke stoffen voorkomen of minimaliseren</w:t>
            </w:r>
          </w:p>
        </w:tc>
      </w:tr>
      <w:tr>
        <w:tc>
          <w:tcPr>
            <w:tcW w:type="dxa" w:w="4703"/>
          </w:tcPr>
          <w:p>
            <w:r>
              <w:rPr>
                <w:sz w:val="20"/>
              </w:rPr>
              <w:t>Arbobesluit art. 4.1b</w:t>
            </w:r>
          </w:p>
        </w:tc>
        <w:tc>
          <w:tcPr>
            <w:tcW w:type="dxa" w:w="4703"/>
          </w:tcPr>
          <w:p>
            <w:r>
              <w:rPr>
                <w:sz w:val="20"/>
              </w:rPr>
              <w:t>Blootstellingslimieten (OEL) moeten worden nageleefd</w:t>
            </w:r>
          </w:p>
        </w:tc>
      </w:tr>
      <w:tr>
        <w:tc>
          <w:tcPr>
            <w:tcW w:type="dxa" w:w="4703"/>
          </w:tcPr>
          <w:p>
            <w:r>
              <w:rPr>
                <w:sz w:val="20"/>
              </w:rPr>
              <w:t>Arbobesluit art. 4.1c</w:t>
            </w:r>
          </w:p>
        </w:tc>
        <w:tc>
          <w:tcPr>
            <w:tcW w:type="dxa" w:w="4703"/>
          </w:tcPr>
          <w:p>
            <w:r>
              <w:rPr>
                <w:sz w:val="20"/>
              </w:rPr>
              <w:t>RI&amp;E moet kwikrisico's expliciet inventariseren</w:t>
            </w:r>
          </w:p>
        </w:tc>
      </w:tr>
      <w:tr>
        <w:tc>
          <w:tcPr>
            <w:tcW w:type="dxa" w:w="4703"/>
          </w:tcPr>
          <w:p>
            <w:r>
              <w:rPr>
                <w:sz w:val="20"/>
              </w:rPr>
              <w:t>Arbobesluit art. 4.5</w:t>
            </w:r>
          </w:p>
        </w:tc>
        <w:tc>
          <w:tcPr>
            <w:tcW w:type="dxa" w:w="4703"/>
          </w:tcPr>
          <w:p>
            <w:r>
              <w:rPr>
                <w:sz w:val="20"/>
              </w:rPr>
              <w:t>Voorlichting en instructie over gevaarlijke stoffen is verplicht</w:t>
            </w:r>
          </w:p>
        </w:tc>
      </w:tr>
      <w:tr>
        <w:tc>
          <w:tcPr>
            <w:tcW w:type="dxa" w:w="4703"/>
          </w:tcPr>
          <w:p>
            <w:r>
              <w:rPr>
                <w:sz w:val="20"/>
              </w:rPr>
              <w:t>REACH Verordening (EG) 1907/2006</w:t>
            </w:r>
          </w:p>
        </w:tc>
        <w:tc>
          <w:tcPr>
            <w:tcW w:type="dxa" w:w="4703"/>
          </w:tcPr>
          <w:p>
            <w:r>
              <w:rPr>
                <w:sz w:val="20"/>
              </w:rPr>
              <w:t>Kwik is SVHC — strenke registratie- en beperkingsplichten</w:t>
            </w:r>
          </w:p>
        </w:tc>
      </w:tr>
    </w:tbl>
    <w:p>
      <w:pPr>
        <w:pStyle w:val="Heading2"/>
      </w:pPr>
      <w:r>
        <w:rPr>
          <w:color w:val="003366"/>
        </w:rPr>
        <w:t>2.2 Grenswaarden</w:t>
      </w:r>
    </w:p>
    <w:tbl>
      <w:tblPr>
        <w:tblStyle w:val="LightGrid-Accent1"/>
        <w:tblW w:type="auto" w:w="0"/>
        <w:tblLook w:firstColumn="1" w:firstRow="1" w:lastColumn="0" w:lastRow="0" w:noHBand="0" w:noVBand="1" w:val="04A0"/>
      </w:tblPr>
      <w:tblGrid>
        <w:gridCol w:w="4703"/>
        <w:gridCol w:w="4703"/>
      </w:tblGrid>
      <w:tr>
        <w:tc>
          <w:tcPr>
            <w:tcW w:type="dxa" w:w="4703"/>
          </w:tcPr>
          <w:p>
            <w:r>
              <w:rPr>
                <w:b/>
                <w:sz w:val="20"/>
              </w:rPr>
              <w:t>Parameter</w:t>
            </w:r>
          </w:p>
        </w:tc>
        <w:tc>
          <w:tcPr>
            <w:tcW w:type="dxa" w:w="4703"/>
          </w:tcPr>
          <w:p>
            <w:r>
              <w:rPr>
                <w:b/>
                <w:sz w:val="20"/>
              </w:rPr>
              <w:t>Waarde</w:t>
            </w:r>
          </w:p>
        </w:tc>
      </w:tr>
      <w:tr>
        <w:tc>
          <w:tcPr>
            <w:tcW w:type="dxa" w:w="4703"/>
          </w:tcPr>
          <w:p>
            <w:r>
              <w:rPr>
                <w:sz w:val="20"/>
              </w:rPr>
              <w:t>TWA (8-uur)</w:t>
            </w:r>
          </w:p>
        </w:tc>
        <w:tc>
          <w:tcPr>
            <w:tcW w:type="dxa" w:w="4703"/>
          </w:tcPr>
          <w:p>
            <w:r>
              <w:rPr>
                <w:sz w:val="20"/>
              </w:rPr>
              <w:t>0,02 mg/m³ (elementair kwik, inadembare fractie)</w:t>
            </w:r>
          </w:p>
        </w:tc>
      </w:tr>
      <w:tr>
        <w:tc>
          <w:tcPr>
            <w:tcW w:type="dxa" w:w="4703"/>
          </w:tcPr>
          <w:p>
            <w:r>
              <w:rPr>
                <w:sz w:val="20"/>
              </w:rPr>
              <w:t>STEL (15 min)</w:t>
            </w:r>
          </w:p>
        </w:tc>
        <w:tc>
          <w:tcPr>
            <w:tcW w:type="dxa" w:w="4703"/>
          </w:tcPr>
          <w:p>
            <w:r>
              <w:rPr>
                <w:sz w:val="20"/>
              </w:rPr>
              <w:t>Niet vastgesteld — blootstelling altijd minimaliseren</w:t>
            </w:r>
          </w:p>
        </w:tc>
      </w:tr>
      <w:tr>
        <w:tc>
          <w:tcPr>
            <w:tcW w:type="dxa" w:w="4703"/>
          </w:tcPr>
          <w:p>
            <w:r>
              <w:rPr>
                <w:sz w:val="20"/>
              </w:rPr>
              <w:t>H-notatie</w:t>
            </w:r>
          </w:p>
        </w:tc>
        <w:tc>
          <w:tcPr>
            <w:tcW w:type="dxa" w:w="4703"/>
          </w:tcPr>
          <w:p>
            <w:r>
              <w:rPr>
                <w:sz w:val="20"/>
              </w:rPr>
              <w:t>H351 — Kan kanker veroorzaken (verdacht)</w:t>
            </w:r>
          </w:p>
        </w:tc>
      </w:tr>
      <w:tr>
        <w:tc>
          <w:tcPr>
            <w:tcW w:type="dxa" w:w="4703"/>
          </w:tcPr>
          <w:p>
            <w:r>
              <w:rPr>
                <w:sz w:val="20"/>
              </w:rPr>
              <w:t>Biologische grenswaarde</w:t>
            </w:r>
          </w:p>
        </w:tc>
        <w:tc>
          <w:tcPr>
            <w:tcW w:type="dxa" w:w="4703"/>
          </w:tcPr>
          <w:p>
            <w:r>
              <w:rPr>
                <w:sz w:val="20"/>
              </w:rPr>
              <w:t>Kwik in urine: &lt; 20 µg/g creatinine</w:t>
            </w:r>
          </w:p>
        </w:tc>
      </w:tr>
      <w:tr>
        <w:tc>
          <w:tcPr>
            <w:tcW w:type="dxa" w:w="4703"/>
          </w:tcPr>
          <w:p>
            <w:r>
              <w:rPr>
                <w:sz w:val="20"/>
              </w:rPr>
              <w:t>Geurdrempel</w:t>
            </w:r>
          </w:p>
        </w:tc>
        <w:tc>
          <w:tcPr>
            <w:tcW w:type="dxa" w:w="4703"/>
          </w:tcPr>
          <w:p>
            <w:r>
              <w:rPr>
                <w:sz w:val="20"/>
              </w:rPr>
              <w:t>Niet van toepassing (reukloos)</w:t>
            </w:r>
          </w:p>
        </w:tc>
      </w:tr>
    </w:tbl>
    <w:p>
      <w:r>
        <w:rPr>
          <w:b/>
          <w:color w:val="BE3232"/>
        </w:rPr>
        <w:t xml:space="preserve">⚠️ Context: </w:t>
      </w:r>
      <w:r>
        <w:t>De TWA van 0,02 mg/m³ komt overeen met 20 microgram per kubieke meter lucht. Een druppel kwik ter grootte van een speldenknop kan in een kleine onbeluchte ruimte al voldoende damp produceren om deze grenswaarde te overschrijden. Dit verklaart waarom kwik een van de meest verraderlijke industriële giftige stoffen is.</w:t>
      </w:r>
    </w:p>
    <w:p>
      <w:pPr>
        <w:pStyle w:val="Heading1"/>
      </w:pPr>
      <w:r>
        <w:rPr>
          <w:color w:val="003366"/>
        </w:rPr>
        <w:t>3. Veilig Werken met Kwik</w:t>
      </w:r>
    </w:p>
    <w:p>
      <w:pPr>
        <w:pStyle w:val="Heading2"/>
      </w:pPr>
      <w:r>
        <w:rPr>
          <w:color w:val="003366"/>
        </w:rPr>
        <w:t>3.1 Hiërarchie van beheersmaatregelen</w:t>
      </w:r>
    </w:p>
    <w:p>
      <w:r>
        <w:rPr>
          <w:b/>
          <w:color w:val="003366"/>
        </w:rPr>
        <w:t xml:space="preserve">1. ELIMINATIE: </w:t>
      </w:r>
      <w:r>
        <w:t>Kwik vervangen door alternatieven (digitale meters, alcoholthermometers, elektronische drukschakelaars).</w:t>
      </w:r>
    </w:p>
    <w:p>
      <w:r>
        <w:rPr>
          <w:b/>
          <w:color w:val="003366"/>
        </w:rPr>
        <w:t xml:space="preserve">2. SUBSTITUTIE: </w:t>
      </w:r>
      <w:r>
        <w:t>Minder gevaarlijke alternatieven gebruiken waar eliminatie niet mogelijk is.</w:t>
      </w:r>
    </w:p>
    <w:p>
      <w:r>
        <w:rPr>
          <w:b/>
          <w:color w:val="003366"/>
        </w:rPr>
        <w:t xml:space="preserve">3. TECHNISCH: </w:t>
      </w:r>
      <w:r>
        <w:t>Afzuiging, ventilatie, gesloten systemen, kwikabsorbers, dampbarrières.</w:t>
      </w:r>
    </w:p>
    <w:p>
      <w:r>
        <w:rPr>
          <w:b/>
          <w:color w:val="003366"/>
        </w:rPr>
        <w:t xml:space="preserve">4. ORGANISATORISCH: </w:t>
      </w:r>
      <w:r>
        <w:t>Werkprocedures, toegangsbeperking, taakrotatie, signalering.</w:t>
      </w:r>
    </w:p>
    <w:p>
      <w:r>
        <w:rPr>
          <w:b/>
          <w:color w:val="003366"/>
        </w:rPr>
        <w:t xml:space="preserve">5. PBM's (LAATSTE MIDDEL): </w:t>
      </w:r>
      <w:r>
        <w:t>Juiste handschoenen + ademhalingsbescherming. Altijd in combinatie met technische maatregelen.</w:t>
      </w:r>
    </w:p>
    <w:p>
      <w:pPr>
        <w:pStyle w:val="Heading2"/>
      </w:pPr>
      <w:r>
        <w:rPr>
          <w:color w:val="003366"/>
        </w:rPr>
        <w:t>3.2 PBM's bij kwikwerkzaamheden</w:t>
      </w:r>
    </w:p>
    <w:tbl>
      <w:tblPr>
        <w:tblStyle w:val="LightGrid-Accent1"/>
        <w:tblW w:type="auto" w:w="0"/>
        <w:tblLook w:firstColumn="1" w:firstRow="1" w:lastColumn="0" w:lastRow="0" w:noHBand="0" w:noVBand="1" w:val="04A0"/>
      </w:tblPr>
      <w:tblGrid>
        <w:gridCol w:w="3135"/>
        <w:gridCol w:w="3135"/>
        <w:gridCol w:w="3135"/>
      </w:tblGrid>
      <w:tr>
        <w:tc>
          <w:tcPr>
            <w:tcW w:type="dxa" w:w="3135"/>
          </w:tcPr>
          <w:p>
            <w:r>
              <w:rPr>
                <w:b/>
                <w:sz w:val="20"/>
              </w:rPr>
              <w:t>PBM</w:t>
            </w:r>
          </w:p>
        </w:tc>
        <w:tc>
          <w:tcPr>
            <w:tcW w:type="dxa" w:w="3135"/>
          </w:tcPr>
          <w:p>
            <w:r>
              <w:rPr>
                <w:b/>
                <w:sz w:val="20"/>
              </w:rPr>
              <w:t>Specificatie</w:t>
            </w:r>
          </w:p>
        </w:tc>
        <w:tc>
          <w:tcPr>
            <w:tcW w:type="dxa" w:w="3135"/>
          </w:tcPr>
          <w:p>
            <w:r>
              <w:rPr>
                <w:b/>
                <w:sz w:val="20"/>
              </w:rPr>
              <w:t>Wanneer</w:t>
            </w:r>
          </w:p>
        </w:tc>
      </w:tr>
      <w:tr>
        <w:tc>
          <w:tcPr>
            <w:tcW w:type="dxa" w:w="3135"/>
          </w:tcPr>
          <w:p>
            <w:r>
              <w:rPr>
                <w:sz w:val="20"/>
              </w:rPr>
              <w:t>Handschoenen</w:t>
            </w:r>
          </w:p>
        </w:tc>
        <w:tc>
          <w:tcPr>
            <w:tcW w:type="dxa" w:w="3135"/>
          </w:tcPr>
          <w:p>
            <w:r>
              <w:rPr>
                <w:sz w:val="20"/>
              </w:rPr>
              <w:t>Nitril dubbel gevoerd; Viton bij langdurig contact</w:t>
            </w:r>
          </w:p>
        </w:tc>
        <w:tc>
          <w:tcPr>
            <w:tcW w:type="dxa" w:w="3135"/>
          </w:tcPr>
          <w:p>
            <w:r>
              <w:rPr>
                <w:sz w:val="20"/>
              </w:rPr>
              <w:t>Bij alle directe kwikhandelingen</w:t>
            </w:r>
          </w:p>
        </w:tc>
      </w:tr>
      <w:tr>
        <w:tc>
          <w:tcPr>
            <w:tcW w:type="dxa" w:w="3135"/>
          </w:tcPr>
          <w:p>
            <w:r>
              <w:rPr>
                <w:sz w:val="20"/>
              </w:rPr>
              <w:t>Ademhalingsbescherming</w:t>
            </w:r>
          </w:p>
        </w:tc>
        <w:tc>
          <w:tcPr>
            <w:tcW w:type="dxa" w:w="3135"/>
          </w:tcPr>
          <w:p>
            <w:r>
              <w:rPr>
                <w:sz w:val="20"/>
              </w:rPr>
              <w:t>FFP3 met koolfilter OF A2P3 masker</w:t>
            </w:r>
          </w:p>
        </w:tc>
        <w:tc>
          <w:tcPr>
            <w:tcW w:type="dxa" w:w="3135"/>
          </w:tcPr>
          <w:p>
            <w:r>
              <w:rPr>
                <w:sz w:val="20"/>
              </w:rPr>
              <w:t>Bij risico op kwikdampen boven grenswaarde</w:t>
            </w:r>
          </w:p>
        </w:tc>
      </w:tr>
      <w:tr>
        <w:tc>
          <w:tcPr>
            <w:tcW w:type="dxa" w:w="3135"/>
          </w:tcPr>
          <w:p>
            <w:r>
              <w:rPr>
                <w:sz w:val="20"/>
              </w:rPr>
              <w:t>Werkkleding</w:t>
            </w:r>
          </w:p>
        </w:tc>
        <w:tc>
          <w:tcPr>
            <w:tcW w:type="dxa" w:w="3135"/>
          </w:tcPr>
          <w:p>
            <w:r>
              <w:rPr>
                <w:sz w:val="20"/>
              </w:rPr>
              <w:t>Afsluitend; wegweroverall bij morsing</w:t>
            </w:r>
          </w:p>
        </w:tc>
        <w:tc>
          <w:tcPr>
            <w:tcW w:type="dxa" w:w="3135"/>
          </w:tcPr>
          <w:p>
            <w:r>
              <w:rPr>
                <w:sz w:val="20"/>
              </w:rPr>
              <w:t>Voorkomt dermale blootstelling</w:t>
            </w:r>
          </w:p>
        </w:tc>
      </w:tr>
      <w:tr>
        <w:tc>
          <w:tcPr>
            <w:tcW w:type="dxa" w:w="3135"/>
          </w:tcPr>
          <w:p>
            <w:r>
              <w:rPr>
                <w:sz w:val="20"/>
              </w:rPr>
              <w:t>Veiligheidsbril</w:t>
            </w:r>
          </w:p>
        </w:tc>
        <w:tc>
          <w:tcPr>
            <w:tcW w:type="dxa" w:w="3135"/>
          </w:tcPr>
          <w:p>
            <w:r>
              <w:rPr>
                <w:sz w:val="20"/>
              </w:rPr>
              <w:t>Gesloten goggles (NIET gewone veiligheidsbril)</w:t>
            </w:r>
          </w:p>
        </w:tc>
        <w:tc>
          <w:tcPr>
            <w:tcW w:type="dxa" w:w="3135"/>
          </w:tcPr>
          <w:p>
            <w:r>
              <w:rPr>
                <w:sz w:val="20"/>
              </w:rPr>
              <w:t>Tegen spatten</w:t>
            </w:r>
          </w:p>
        </w:tc>
      </w:tr>
      <w:tr>
        <w:tc>
          <w:tcPr>
            <w:tcW w:type="dxa" w:w="3135"/>
          </w:tcPr>
          <w:p>
            <w:r>
              <w:rPr>
                <w:sz w:val="20"/>
              </w:rPr>
              <w:t>Schoeisel</w:t>
            </w:r>
          </w:p>
        </w:tc>
        <w:tc>
          <w:tcPr>
            <w:tcW w:type="dxa" w:w="3135"/>
          </w:tcPr>
          <w:p>
            <w:r>
              <w:rPr>
                <w:sz w:val="20"/>
              </w:rPr>
              <w:t>Gesloten werkschoenen met stalen neus</w:t>
            </w:r>
          </w:p>
        </w:tc>
        <w:tc>
          <w:tcPr>
            <w:tcW w:type="dxa" w:w="3135"/>
          </w:tcPr>
          <w:p>
            <w:r>
              <w:rPr>
                <w:sz w:val="20"/>
              </w:rPr>
              <w:t>Tegen contaminatie en mechanische risico's</w:t>
            </w:r>
          </w:p>
        </w:tc>
      </w:tr>
    </w:tbl>
    <w:p>
      <w:pPr>
        <w:pStyle w:val="Heading2"/>
      </w:pPr>
      <w:r>
        <w:rPr>
          <w:color w:val="003366"/>
        </w:rPr>
        <w:t>3.3 ABSOLUUT VERBODEN</w:t>
      </w:r>
    </w:p>
    <w:p>
      <w:pPr>
        <w:pStyle w:val="ListBullet"/>
      </w:pPr>
      <w:r>
        <w:rPr>
          <w:color w:val="BE3232"/>
        </w:rPr>
        <w:t>Kwik opvegen met een stofzuiger (verdampt kwik en verspreidt dampen via uitblaas)</w:t>
      </w:r>
    </w:p>
    <w:p>
      <w:pPr>
        <w:pStyle w:val="ListBullet"/>
      </w:pPr>
      <w:r>
        <w:rPr>
          <w:color w:val="BE3232"/>
        </w:rPr>
        <w:t>Kwik met blote handen aanraken (dermale absorptie)</w:t>
      </w:r>
    </w:p>
    <w:p>
      <w:pPr>
        <w:pStyle w:val="ListBullet"/>
      </w:pPr>
      <w:r>
        <w:rPr>
          <w:color w:val="BE3232"/>
        </w:rPr>
        <w:t>Kwik in afvoerputten of gootstenen morsen (milieutoxiciteit)</w:t>
      </w:r>
    </w:p>
    <w:p>
      <w:pPr>
        <w:pStyle w:val="ListBullet"/>
      </w:pPr>
      <w:r>
        <w:rPr>
          <w:color w:val="BE3232"/>
        </w:rPr>
        <w:t>Werken in afgesloten ruimtes zonder afzuiging (dampaccumulatie)</w:t>
      </w:r>
    </w:p>
    <w:p>
      <w:pPr>
        <w:pStyle w:val="ListBullet"/>
      </w:pPr>
      <w:r>
        <w:rPr>
          <w:color w:val="BE3232"/>
        </w:rPr>
        <w:t>Roken, eten of drinken tijdens kwikwerkzaamheden (orale blootstelling)</w:t>
      </w:r>
    </w:p>
    <w:p>
      <w:pPr>
        <w:pStyle w:val="ListBullet"/>
      </w:pPr>
      <w:r>
        <w:rPr>
          <w:color w:val="BE3232"/>
        </w:rPr>
        <w:t>Kwik opslaan in niet-gesloten containers (verdamping bij kamertemperatuur)</w:t>
      </w:r>
    </w:p>
    <w:p>
      <w:pPr>
        <w:pStyle w:val="Heading1"/>
      </w:pPr>
      <w:r>
        <w:rPr>
          <w:color w:val="003366"/>
        </w:rPr>
        <w:t>4. Morsingsprotocol (Directe Actie)</w:t>
      </w:r>
    </w:p>
    <w:p>
      <w:pPr>
        <w:pStyle w:val="Heading2"/>
      </w:pPr>
      <w:r>
        <w:rPr>
          <w:color w:val="003366"/>
        </w:rPr>
        <w:t>4.1 Stappenplan bij kwikmorsing</w:t>
      </w:r>
    </w:p>
    <w:tbl>
      <w:tblPr>
        <w:tblStyle w:val="LightGrid-Accent1"/>
        <w:tblW w:type="auto" w:w="0"/>
        <w:tblLook w:firstColumn="1" w:firstRow="1" w:lastColumn="0" w:lastRow="0" w:noHBand="0" w:noVBand="1" w:val="04A0"/>
      </w:tblPr>
      <w:tblGrid>
        <w:gridCol w:w="3135"/>
        <w:gridCol w:w="3135"/>
        <w:gridCol w:w="3135"/>
      </w:tblGrid>
      <w:tr>
        <w:tc>
          <w:tcPr>
            <w:tcW w:type="dxa" w:w="3135"/>
          </w:tcPr>
          <w:p>
            <w:r>
              <w:rPr>
                <w:b/>
                <w:sz w:val="20"/>
              </w:rPr>
              <w:t>Stap</w:t>
            </w:r>
          </w:p>
        </w:tc>
        <w:tc>
          <w:tcPr>
            <w:tcW w:type="dxa" w:w="3135"/>
          </w:tcPr>
          <w:p>
            <w:r>
              <w:rPr>
                <w:b/>
                <w:sz w:val="20"/>
              </w:rPr>
              <w:t>Actie</w:t>
            </w:r>
          </w:p>
        </w:tc>
        <w:tc>
          <w:tcPr>
            <w:tcW w:type="dxa" w:w="3135"/>
          </w:tcPr>
          <w:p>
            <w:r>
              <w:rPr>
                <w:b/>
                <w:sz w:val="20"/>
              </w:rPr>
              <w:t>Verantwoordelijke</w:t>
            </w:r>
          </w:p>
        </w:tc>
      </w:tr>
      <w:tr>
        <w:tc>
          <w:tcPr>
            <w:tcW w:type="dxa" w:w="3135"/>
          </w:tcPr>
          <w:p>
            <w:r>
              <w:rPr>
                <w:sz w:val="20"/>
              </w:rPr>
              <w:t>1</w:t>
            </w:r>
          </w:p>
        </w:tc>
        <w:tc>
          <w:tcPr>
            <w:tcW w:type="dxa" w:w="3135"/>
          </w:tcPr>
          <w:p>
            <w:r>
              <w:rPr>
                <w:sz w:val="20"/>
              </w:rPr>
              <w:t>RUIMTE ONTRUIMEN — alle personen direct verwijderen</w:t>
            </w:r>
          </w:p>
        </w:tc>
        <w:tc>
          <w:tcPr>
            <w:tcW w:type="dxa" w:w="3135"/>
          </w:tcPr>
          <w:p>
            <w:r>
              <w:rPr>
                <w:sz w:val="20"/>
              </w:rPr>
              <w:t>Operator (eerste melding)</w:t>
            </w:r>
          </w:p>
        </w:tc>
      </w:tr>
      <w:tr>
        <w:tc>
          <w:tcPr>
            <w:tcW w:type="dxa" w:w="3135"/>
          </w:tcPr>
          <w:p>
            <w:r>
              <w:rPr>
                <w:sz w:val="20"/>
              </w:rPr>
              <w:t>2</w:t>
            </w:r>
          </w:p>
        </w:tc>
        <w:tc>
          <w:tcPr>
            <w:tcW w:type="dxa" w:w="3135"/>
          </w:tcPr>
          <w:p>
            <w:r>
              <w:rPr>
                <w:sz w:val="20"/>
              </w:rPr>
              <w:t>VENTILATIE MAXIMALISEREN — ramen/deuren open, afzuiging aan</w:t>
            </w:r>
          </w:p>
        </w:tc>
        <w:tc>
          <w:tcPr>
            <w:tcW w:type="dxa" w:w="3135"/>
          </w:tcPr>
          <w:p>
            <w:r>
              <w:rPr>
                <w:sz w:val="20"/>
              </w:rPr>
              <w:t>Operator</w:t>
            </w:r>
          </w:p>
        </w:tc>
      </w:tr>
      <w:tr>
        <w:tc>
          <w:tcPr>
            <w:tcW w:type="dxa" w:w="3135"/>
          </w:tcPr>
          <w:p>
            <w:r>
              <w:rPr>
                <w:sz w:val="20"/>
              </w:rPr>
              <w:t>3</w:t>
            </w:r>
          </w:p>
        </w:tc>
        <w:tc>
          <w:tcPr>
            <w:tcW w:type="dxa" w:w="3135"/>
          </w:tcPr>
          <w:p>
            <w:r>
              <w:rPr>
                <w:sz w:val="20"/>
              </w:rPr>
              <w:t>MELDEN — direct leidinggevende + HSEQ informeren</w:t>
            </w:r>
          </w:p>
        </w:tc>
        <w:tc>
          <w:tcPr>
            <w:tcW w:type="dxa" w:w="3135"/>
          </w:tcPr>
          <w:p>
            <w:r>
              <w:rPr>
                <w:sz w:val="20"/>
              </w:rPr>
              <w:t>Operator</w:t>
            </w:r>
          </w:p>
        </w:tc>
      </w:tr>
      <w:tr>
        <w:tc>
          <w:tcPr>
            <w:tcW w:type="dxa" w:w="3135"/>
          </w:tcPr>
          <w:p>
            <w:r>
              <w:rPr>
                <w:sz w:val="20"/>
              </w:rPr>
              <w:t>4</w:t>
            </w:r>
          </w:p>
        </w:tc>
        <w:tc>
          <w:tcPr>
            <w:tcW w:type="dxa" w:w="3135"/>
          </w:tcPr>
          <w:p>
            <w:r>
              <w:rPr>
                <w:sz w:val="20"/>
              </w:rPr>
              <w:t>ZONE AFZETTEN — minimaal 3 meter rondom morsing</w:t>
            </w:r>
          </w:p>
        </w:tc>
        <w:tc>
          <w:tcPr>
            <w:tcW w:type="dxa" w:w="3135"/>
          </w:tcPr>
          <w:p>
            <w:r>
              <w:rPr>
                <w:sz w:val="20"/>
              </w:rPr>
              <w:t>HSEQ / Leidinggevende</w:t>
            </w:r>
          </w:p>
        </w:tc>
      </w:tr>
      <w:tr>
        <w:tc>
          <w:tcPr>
            <w:tcW w:type="dxa" w:w="3135"/>
          </w:tcPr>
          <w:p>
            <w:r>
              <w:rPr>
                <w:sz w:val="20"/>
              </w:rPr>
              <w:t>5</w:t>
            </w:r>
          </w:p>
        </w:tc>
        <w:tc>
          <w:tcPr>
            <w:tcW w:type="dxa" w:w="3135"/>
          </w:tcPr>
          <w:p>
            <w:r>
              <w:rPr>
                <w:sz w:val="20"/>
              </w:rPr>
              <w:t>PROFESSIONELE OPRUIMING — kwikabsorber + speciale kit</w:t>
            </w:r>
          </w:p>
        </w:tc>
        <w:tc>
          <w:tcPr>
            <w:tcW w:type="dxa" w:w="3135"/>
          </w:tcPr>
          <w:p>
            <w:r>
              <w:rPr>
                <w:sz w:val="20"/>
              </w:rPr>
              <w:t>Opgeleide HSEQ-medewerker</w:t>
            </w:r>
          </w:p>
        </w:tc>
      </w:tr>
      <w:tr>
        <w:tc>
          <w:tcPr>
            <w:tcW w:type="dxa" w:w="3135"/>
          </w:tcPr>
          <w:p>
            <w:r>
              <w:rPr>
                <w:sz w:val="20"/>
              </w:rPr>
              <w:t>6</w:t>
            </w:r>
          </w:p>
        </w:tc>
        <w:tc>
          <w:tcPr>
            <w:tcW w:type="dxa" w:w="3135"/>
          </w:tcPr>
          <w:p>
            <w:r>
              <w:rPr>
                <w:sz w:val="20"/>
              </w:rPr>
              <w:t>METINGEN — kwikdampconcentratie meten (Dräger/buisjes)</w:t>
            </w:r>
          </w:p>
        </w:tc>
        <w:tc>
          <w:tcPr>
            <w:tcW w:type="dxa" w:w="3135"/>
          </w:tcPr>
          <w:p>
            <w:r>
              <w:rPr>
                <w:sz w:val="20"/>
              </w:rPr>
              <w:t>HSEQ Specialist</w:t>
            </w:r>
          </w:p>
        </w:tc>
      </w:tr>
      <w:tr>
        <w:tc>
          <w:tcPr>
            <w:tcW w:type="dxa" w:w="3135"/>
          </w:tcPr>
          <w:p>
            <w:r>
              <w:rPr>
                <w:sz w:val="20"/>
              </w:rPr>
              <w:t>7</w:t>
            </w:r>
          </w:p>
        </w:tc>
        <w:tc>
          <w:tcPr>
            <w:tcW w:type="dxa" w:w="3135"/>
          </w:tcPr>
          <w:p>
            <w:r>
              <w:rPr>
                <w:sz w:val="20"/>
              </w:rPr>
              <w:t>REGISTRATIE — incidentrapport + RI&amp;E update + bronanalyse</w:t>
            </w:r>
          </w:p>
        </w:tc>
        <w:tc>
          <w:tcPr>
            <w:tcW w:type="dxa" w:w="3135"/>
          </w:tcPr>
          <w:p>
            <w:r>
              <w:rPr>
                <w:sz w:val="20"/>
              </w:rPr>
              <w:t>HSEQ</w:t>
            </w:r>
          </w:p>
        </w:tc>
      </w:tr>
    </w:tbl>
    <w:p/>
    <w:p>
      <w:r>
        <w:rPr>
          <w:b/>
          <w:color w:val="003366"/>
          <w:sz w:val="28"/>
        </w:rPr>
        <w:t xml:space="preserve">GOUDEN REGEL: </w:t>
      </w:r>
      <w:r>
        <w:rPr>
          <w:b/>
          <w:sz w:val="28"/>
        </w:rPr>
        <w:t>"Raak kwik NOOIT aan. Meld ALTIJD. Laat opruimen over aan specialisten."</w:t>
      </w:r>
    </w:p>
    <w:p>
      <w:pPr>
        <w:pStyle w:val="Heading1"/>
      </w:pPr>
      <w:r>
        <w:rPr>
          <w:color w:val="003366"/>
        </w:rPr>
        <w:t>5. Gezondheidseffecten — Herken de Symptomen</w:t>
      </w:r>
    </w:p>
    <w:p>
      <w:pPr>
        <w:pStyle w:val="Heading2"/>
      </w:pPr>
      <w:r>
        <w:rPr>
          <w:color w:val="003366"/>
        </w:rPr>
        <w:t>5.1 Acute blootstelling</w:t>
      </w:r>
    </w:p>
    <w:p>
      <w:pPr>
        <w:pStyle w:val="ListBullet"/>
      </w:pPr>
      <w:r>
        <w:t>Hoofdpijn, duizeligheid, smaakverandering (metaalsmaak in de mond)</w:t>
      </w:r>
    </w:p>
    <w:p>
      <w:pPr>
        <w:pStyle w:val="ListBullet"/>
      </w:pPr>
      <w:r>
        <w:t>Tremor (trillen van handen en vingers)</w:t>
      </w:r>
    </w:p>
    <w:p>
      <w:pPr>
        <w:pStyle w:val="ListBullet"/>
      </w:pPr>
      <w:r>
        <w:t>Irritatie luchtwegen, keelpijn, hoesten</w:t>
      </w:r>
    </w:p>
    <w:p>
      <w:pPr>
        <w:pStyle w:val="ListBullet"/>
      </w:pPr>
      <w:r>
        <w:t>Tandvleesontsteking, speekselvloed, smaakverlies</w:t>
      </w:r>
    </w:p>
    <w:p>
      <w:pPr>
        <w:pStyle w:val="ListBullet"/>
      </w:pPr>
      <w:r>
        <w:t>Misselijkheid en buikpijn bij orale inname</w:t>
      </w:r>
    </w:p>
    <w:p>
      <w:pPr>
        <w:pStyle w:val="Heading2"/>
      </w:pPr>
      <w:r>
        <w:rPr>
          <w:color w:val="003366"/>
        </w:rPr>
        <w:t>5.2 Chronische blootstelling (langdurig, laag niveau)</w:t>
      </w:r>
    </w:p>
    <w:p>
      <w:pPr>
        <w:pStyle w:val="ListBullet"/>
      </w:pPr>
      <w:r>
        <w:t>Erithisme — persoonlijkheidsveranderingen (prikkelbaarheid, verlegenheid, sociale terugtrekking)</w:t>
      </w:r>
    </w:p>
    <w:p>
      <w:pPr>
        <w:pStyle w:val="ListBullet"/>
      </w:pPr>
      <w:r>
        <w:t>Progressief geheugenverlies en concentratiestoornissen</w:t>
      </w:r>
    </w:p>
    <w:p>
      <w:pPr>
        <w:pStyle w:val="ListBullet"/>
      </w:pPr>
      <w:r>
        <w:t>Nierschade (proteïnurie, verhoogd creatinine)</w:t>
      </w:r>
    </w:p>
    <w:p>
      <w:pPr>
        <w:pStyle w:val="ListBullet"/>
      </w:pPr>
      <w:r>
        <w:t>Intentië tremor (trillen bij gerichte bewegingen)</w:t>
      </w:r>
    </w:p>
    <w:p>
      <w:pPr>
        <w:pStyle w:val="ListBullet"/>
      </w:pPr>
      <w:r>
        <w:t>Perifere neuropathie (tif gevoel in handen/voeten)</w:t>
      </w:r>
    </w:p>
    <w:p>
      <w:pPr>
        <w:pStyle w:val="Heading2"/>
      </w:pPr>
      <w:r>
        <w:rPr>
          <w:color w:val="003366"/>
        </w:rPr>
        <w:t>5.3 Actie bij symptomen</w:t>
      </w:r>
    </w:p>
    <w:p>
      <w:pPr>
        <w:pStyle w:val="ListNumber"/>
      </w:pPr>
      <w:r>
        <w:t>Direct werk onderbreken — stop alles</w:t>
      </w:r>
    </w:p>
    <w:p>
      <w:pPr>
        <w:pStyle w:val="ListNumber"/>
      </w:pPr>
      <w:r>
        <w:t>Verse lucht opzoeken — naar buiten of goed geventileerde ruimte</w:t>
      </w:r>
    </w:p>
    <w:p>
      <w:pPr>
        <w:pStyle w:val="ListNumber"/>
      </w:pPr>
      <w:r>
        <w:t>Leidinggevende + HSEQ direct informeren</w:t>
      </w:r>
    </w:p>
    <w:p>
      <w:pPr>
        <w:pStyle w:val="ListNumber"/>
      </w:pPr>
      <w:r>
        <w:t>Bedrijfsarts inschakelen (biologische monitoring: urine kwikmeting)</w:t>
      </w:r>
    </w:p>
    <w:p>
      <w:pPr>
        <w:pStyle w:val="ListNumber"/>
      </w:pPr>
      <w:r>
        <w:t>Blootstellingsregistratie bijhouden in RI&amp;E</w:t>
      </w:r>
    </w:p>
    <w:p>
      <w:pPr>
        <w:pStyle w:val="Heading1"/>
      </w:pPr>
      <w:r>
        <w:rPr>
          <w:color w:val="003366"/>
        </w:rPr>
        <w:t>6. Interactieve Elementen</w:t>
      </w:r>
    </w:p>
    <w:p>
      <w:pPr>
        <w:pStyle w:val="Heading2"/>
      </w:pPr>
      <w:r>
        <w:rPr>
          <w:color w:val="003366"/>
        </w:rPr>
        <w:t>6.1 Discussiepunt 1: Scenario</w:t>
      </w:r>
    </w:p>
    <w:p>
      <w:r>
        <w:rPr>
          <w:i/>
        </w:rPr>
        <w:t>"Je vindt tijdens onderhoud een kapotte thermometer met kwikresten op de vloer van een pompkamer. De ruimte heeft beperkte ventilatie. Wat is je allereerste actie?"</w:t>
      </w:r>
    </w:p>
    <w:p/>
    <w:p>
      <w:r>
        <w:rPr>
          <w:b/>
        </w:rPr>
        <w:t>Verwachte goede antwoorden:</w:t>
      </w:r>
    </w:p>
    <w:p>
      <w:pPr>
        <w:pStyle w:val="ListBullet"/>
      </w:pPr>
      <w:r>
        <w:t>✅ Ruimte verlaten en direct ventileren</w:t>
      </w:r>
    </w:p>
    <w:p>
      <w:pPr>
        <w:pStyle w:val="ListBullet"/>
      </w:pPr>
      <w:r>
        <w:t>✅ Melden aan leidinggevende en HSEQ</w:t>
      </w:r>
    </w:p>
    <w:p>
      <w:pPr>
        <w:pStyle w:val="ListBullet"/>
      </w:pPr>
      <w:r>
        <w:t>✅ Zone afzetten (minimaal 3 meter)</w:t>
      </w:r>
    </w:p>
    <w:p>
      <w:r>
        <w:rPr>
          <w:b/>
          <w:color w:val="BE3232"/>
        </w:rPr>
        <w:t xml:space="preserve">Foute antwoorden: </w:t>
      </w:r>
      <w:r>
        <w:t>Zelf opruimen met doek of stofzuiger, blote handen gebruiken, negeren</w:t>
      </w:r>
    </w:p>
    <w:p/>
    <w:p>
      <w:pPr>
        <w:pStyle w:val="Heading2"/>
      </w:pPr>
      <w:r>
        <w:rPr>
          <w:color w:val="003366"/>
        </w:rPr>
        <w:t>6.2 Discussiepunt 2: Reflectie</w:t>
      </w:r>
    </w:p>
    <w:p>
      <w:r>
        <w:rPr>
          <w:i/>
        </w:rPr>
        <w:t>"In welke werkzaamheden binnen onze installatie zou kwik kunnen voorkomen? En weten jullie of dit in onze RI&amp;E staat?"</w:t>
      </w:r>
    </w:p>
    <w:p/>
    <w:p>
      <w:r>
        <w:rPr>
          <w:b/>
        </w:rPr>
        <w:t xml:space="preserve">Doel: </w:t>
      </w:r>
      <w:r>
        <w:t>Deelnemers laten nadenken over hun eigen werkomgeving en RI&amp;E-bewustzijn vergroten. Laat minimaal 3 deelnemers reageren.</w:t>
      </w:r>
    </w:p>
    <w:p/>
    <w:p>
      <w:pPr>
        <w:pStyle w:val="Heading2"/>
      </w:pPr>
      <w:r>
        <w:rPr>
          <w:color w:val="003366"/>
        </w:rPr>
        <w:t>6.3 Quizvraag (afsluiting)</w:t>
      </w:r>
    </w:p>
    <w:tbl>
      <w:tblPr>
        <w:tblStyle w:val="LightGrid-Accent1"/>
        <w:tblW w:type="auto" w:w="0"/>
        <w:tblLook w:firstColumn="1" w:firstRow="1" w:lastColumn="0" w:lastRow="0" w:noHBand="0" w:noVBand="1" w:val="04A0"/>
      </w:tblPr>
      <w:tblGrid>
        <w:gridCol w:w="2351"/>
        <w:gridCol w:w="2351"/>
        <w:gridCol w:w="2351"/>
        <w:gridCol w:w="2351"/>
      </w:tblGrid>
      <w:tr>
        <w:tc>
          <w:tcPr>
            <w:tcW w:type="dxa" w:w="2351"/>
          </w:tcPr>
          <w:p>
            <w:r>
              <w:rPr>
                <w:b/>
                <w:sz w:val="20"/>
              </w:rPr>
              <w:t>Vraag</w:t>
            </w:r>
          </w:p>
        </w:tc>
        <w:tc>
          <w:tcPr>
            <w:tcW w:type="dxa" w:w="2351"/>
          </w:tcPr>
          <w:p>
            <w:r>
              <w:rPr>
                <w:b/>
                <w:sz w:val="20"/>
              </w:rPr>
              <w:t>Inhoud</w:t>
            </w:r>
          </w:p>
        </w:tc>
        <w:tc>
          <w:tcPr>
            <w:tcW w:type="dxa" w:w="2351"/>
          </w:tcPr>
          <w:p>
            <w:r>
              <w:rPr>
                <w:b/>
                <w:sz w:val="20"/>
              </w:rPr>
              <w:t>Opties</w:t>
            </w:r>
          </w:p>
        </w:tc>
        <w:tc>
          <w:tcPr>
            <w:tcW w:type="dxa" w:w="2351"/>
          </w:tcPr>
          <w:p>
            <w:r>
              <w:rPr>
                <w:b/>
                <w:sz w:val="20"/>
              </w:rPr>
              <w:t>Antwoord</w:t>
            </w:r>
          </w:p>
        </w:tc>
      </w:tr>
      <w:tr>
        <w:tc>
          <w:tcPr>
            <w:tcW w:type="dxa" w:w="2351"/>
          </w:tcPr>
          <w:p>
            <w:r>
              <w:rPr>
                <w:sz w:val="20"/>
              </w:rPr>
              <w:t>Vraag 1</w:t>
            </w:r>
          </w:p>
        </w:tc>
        <w:tc>
          <w:tcPr>
            <w:tcW w:type="dxa" w:w="2351"/>
          </w:tcPr>
          <w:p>
            <w:r>
              <w:rPr>
                <w:sz w:val="20"/>
              </w:rPr>
              <w:t>Wat is de TWA-grenswaarde voor kwikdamp?</w:t>
            </w:r>
          </w:p>
        </w:tc>
        <w:tc>
          <w:tcPr>
            <w:tcW w:type="dxa" w:w="2351"/>
          </w:tcPr>
          <w:p>
            <w:r>
              <w:rPr>
                <w:sz w:val="20"/>
              </w:rPr>
              <w:t>A) 0,2 mg/m³  B) 0,02 mg/m³  C) 0,002 mg/m³</w:t>
            </w:r>
          </w:p>
        </w:tc>
        <w:tc>
          <w:tcPr>
            <w:tcW w:type="dxa" w:w="2351"/>
          </w:tcPr>
          <w:p>
            <w:r>
              <w:rPr>
                <w:sz w:val="20"/>
              </w:rPr>
              <w:t>B (0,02 mg/m³)</w:t>
            </w:r>
          </w:p>
        </w:tc>
      </w:tr>
      <w:tr>
        <w:tc>
          <w:tcPr>
            <w:tcW w:type="dxa" w:w="2351"/>
          </w:tcPr>
          <w:p>
            <w:r>
              <w:rPr>
                <w:sz w:val="20"/>
              </w:rPr>
              <w:t>Vraag 2</w:t>
            </w:r>
          </w:p>
        </w:tc>
        <w:tc>
          <w:tcPr>
            <w:tcW w:type="dxa" w:w="2351"/>
          </w:tcPr>
          <w:p>
            <w:r>
              <w:rPr>
                <w:sz w:val="20"/>
              </w:rPr>
              <w:t>Wat is de gevaarlijkste blootstellingsroute bij elementair kwik?</w:t>
            </w:r>
          </w:p>
        </w:tc>
        <w:tc>
          <w:tcPr>
            <w:tcW w:type="dxa" w:w="2351"/>
          </w:tcPr>
          <w:p>
            <w:r>
              <w:rPr>
                <w:sz w:val="20"/>
              </w:rPr>
              <w:t>A) Oraal  B) Dermaal  C) Inhalatie</w:t>
            </w:r>
          </w:p>
        </w:tc>
        <w:tc>
          <w:tcPr>
            <w:tcW w:type="dxa" w:w="2351"/>
          </w:tcPr>
          <w:p>
            <w:r>
              <w:rPr>
                <w:sz w:val="20"/>
              </w:rPr>
              <w:t>C (Inhalatie van dampen)</w:t>
            </w:r>
          </w:p>
        </w:tc>
      </w:tr>
      <w:tr>
        <w:tc>
          <w:tcPr>
            <w:tcW w:type="dxa" w:w="2351"/>
          </w:tcPr>
          <w:p>
            <w:r>
              <w:rPr>
                <w:sz w:val="20"/>
              </w:rPr>
              <w:t>Vraag 3</w:t>
            </w:r>
          </w:p>
        </w:tc>
        <w:tc>
          <w:tcPr>
            <w:tcW w:type="dxa" w:w="2351"/>
          </w:tcPr>
          <w:p>
            <w:r>
              <w:rPr>
                <w:sz w:val="20"/>
              </w:rPr>
              <w:t>Wat is je EERSTE actie bij een kwikmorsing?</w:t>
            </w:r>
          </w:p>
        </w:tc>
        <w:tc>
          <w:tcPr>
            <w:tcW w:type="dxa" w:w="2351"/>
          </w:tcPr>
          <w:p>
            <w:r>
              <w:rPr>
                <w:sz w:val="20"/>
              </w:rPr>
              <w:t>A) Zelf opruimen  B) Ruimte ontruimen  C) Stofzuiger pakken</w:t>
            </w:r>
          </w:p>
        </w:tc>
        <w:tc>
          <w:tcPr>
            <w:tcW w:type="dxa" w:w="2351"/>
          </w:tcPr>
          <w:p>
            <w:r>
              <w:rPr>
                <w:sz w:val="20"/>
              </w:rPr>
              <w:t>B (Ruimte ontruimen)</w:t>
            </w:r>
          </w:p>
        </w:tc>
      </w:tr>
    </w:tbl>
    <w:p>
      <w:pPr>
        <w:pStyle w:val="Heading1"/>
      </w:pPr>
      <w:r>
        <w:rPr>
          <w:color w:val="003366"/>
        </w:rPr>
        <w:t>7. Samenvatting — Key Takeaways</w:t>
      </w:r>
    </w:p>
    <w:tbl>
      <w:tblPr>
        <w:tblStyle w:val="LightGrid-Accent1"/>
        <w:tblW w:type="auto" w:w="0"/>
        <w:tblLook w:firstColumn="1" w:firstRow="1" w:lastColumn="0" w:lastRow="0" w:noHBand="0" w:noVBand="1" w:val="04A0"/>
      </w:tblPr>
      <w:tblGrid>
        <w:gridCol w:w="4703"/>
        <w:gridCol w:w="4703"/>
      </w:tblGrid>
      <w:tr>
        <w:tc>
          <w:tcPr>
            <w:tcW w:type="dxa" w:w="4703"/>
          </w:tcPr>
          <w:p>
            <w:r>
              <w:rPr>
                <w:b/>
                <w:sz w:val="20"/>
              </w:rPr>
              <w:t>#</w:t>
            </w:r>
          </w:p>
        </w:tc>
        <w:tc>
          <w:tcPr>
            <w:tcW w:type="dxa" w:w="4703"/>
          </w:tcPr>
          <w:p>
            <w:r>
              <w:rPr>
                <w:b/>
                <w:sz w:val="20"/>
              </w:rPr>
              <w:t>Takeaway</w:t>
            </w:r>
          </w:p>
        </w:tc>
      </w:tr>
      <w:tr>
        <w:tc>
          <w:tcPr>
            <w:tcW w:type="dxa" w:w="4703"/>
          </w:tcPr>
          <w:p>
            <w:r>
              <w:rPr>
                <w:sz w:val="20"/>
              </w:rPr>
              <w:t>1</w:t>
            </w:r>
          </w:p>
        </w:tc>
        <w:tc>
          <w:tcPr>
            <w:tcW w:type="dxa" w:w="4703"/>
          </w:tcPr>
          <w:p>
            <w:r>
              <w:rPr>
                <w:sz w:val="20"/>
              </w:rPr>
              <w:t>Kwik is ONZICHTBAAR als damp — reukloos, kleurloos, smaakloos</w:t>
            </w:r>
          </w:p>
        </w:tc>
      </w:tr>
      <w:tr>
        <w:tc>
          <w:tcPr>
            <w:tcW w:type="dxa" w:w="4703"/>
          </w:tcPr>
          <w:p>
            <w:r>
              <w:rPr>
                <w:sz w:val="20"/>
              </w:rPr>
              <w:t>2</w:t>
            </w:r>
          </w:p>
        </w:tc>
        <w:tc>
          <w:tcPr>
            <w:tcW w:type="dxa" w:w="4703"/>
          </w:tcPr>
          <w:p>
            <w:r>
              <w:rPr>
                <w:sz w:val="20"/>
              </w:rPr>
              <w:t>De grenswaarde is extreem laag: 0,02 mg/m³ TWA (20 µg/m³)</w:t>
            </w:r>
          </w:p>
        </w:tc>
      </w:tr>
      <w:tr>
        <w:tc>
          <w:tcPr>
            <w:tcW w:type="dxa" w:w="4703"/>
          </w:tcPr>
          <w:p>
            <w:r>
              <w:rPr>
                <w:sz w:val="20"/>
              </w:rPr>
              <w:t>3</w:t>
            </w:r>
          </w:p>
        </w:tc>
        <w:tc>
          <w:tcPr>
            <w:tcW w:type="dxa" w:w="4703"/>
          </w:tcPr>
          <w:p>
            <w:r>
              <w:rPr>
                <w:sz w:val="20"/>
              </w:rPr>
              <w:t>INHALATIE is de gevaarlijkste blootstellingsroute bij elementair kwik</w:t>
            </w:r>
          </w:p>
        </w:tc>
      </w:tr>
      <w:tr>
        <w:tc>
          <w:tcPr>
            <w:tcW w:type="dxa" w:w="4703"/>
          </w:tcPr>
          <w:p>
            <w:r>
              <w:rPr>
                <w:sz w:val="20"/>
              </w:rPr>
              <w:t>4</w:t>
            </w:r>
          </w:p>
        </w:tc>
        <w:tc>
          <w:tcPr>
            <w:tcW w:type="dxa" w:w="4703"/>
          </w:tcPr>
          <w:p>
            <w:r>
              <w:rPr>
                <w:sz w:val="20"/>
              </w:rPr>
              <w:t>NOOIT zelf opruimen — altijd HSEQ inschakelen via het 7-staps protocol</w:t>
            </w:r>
          </w:p>
        </w:tc>
      </w:tr>
      <w:tr>
        <w:tc>
          <w:tcPr>
            <w:tcW w:type="dxa" w:w="4703"/>
          </w:tcPr>
          <w:p>
            <w:r>
              <w:rPr>
                <w:sz w:val="20"/>
              </w:rPr>
              <w:t>5</w:t>
            </w:r>
          </w:p>
        </w:tc>
        <w:tc>
          <w:tcPr>
            <w:tcW w:type="dxa" w:w="4703"/>
          </w:tcPr>
          <w:p>
            <w:r>
              <w:rPr>
                <w:sz w:val="20"/>
              </w:rPr>
              <w:t>Herken symptomen: tremor, hoofdpijn, metaalsmaak, geheugenverlies</w:t>
            </w:r>
          </w:p>
        </w:tc>
      </w:tr>
      <w:tr>
        <w:tc>
          <w:tcPr>
            <w:tcW w:type="dxa" w:w="4703"/>
          </w:tcPr>
          <w:p>
            <w:r>
              <w:rPr>
                <w:sz w:val="20"/>
              </w:rPr>
              <w:t>6</w:t>
            </w:r>
          </w:p>
        </w:tc>
        <w:tc>
          <w:tcPr>
            <w:tcW w:type="dxa" w:w="4703"/>
          </w:tcPr>
          <w:p>
            <w:r>
              <w:rPr>
                <w:sz w:val="20"/>
              </w:rPr>
              <w:t>PBM's zijn het LAATSTE middel — elimineer en sluit eerst technisch af</w:t>
            </w:r>
          </w:p>
        </w:tc>
      </w:tr>
      <w:tr>
        <w:tc>
          <w:tcPr>
            <w:tcW w:type="dxa" w:w="4703"/>
          </w:tcPr>
          <w:p>
            <w:r>
              <w:rPr>
                <w:sz w:val="20"/>
              </w:rPr>
              <w:t>7</w:t>
            </w:r>
          </w:p>
        </w:tc>
        <w:tc>
          <w:tcPr>
            <w:tcW w:type="dxa" w:w="4703"/>
          </w:tcPr>
          <w:p>
            <w:r>
              <w:rPr>
                <w:sz w:val="20"/>
              </w:rPr>
              <w:t>Elk kwikincident = RI&amp;E update + bedrijfsarts consult</w:t>
            </w:r>
          </w:p>
        </w:tc>
      </w:tr>
    </w:tbl>
    <w:p>
      <w:r>
        <w:br w:type="page"/>
      </w:r>
    </w:p>
    <w:p>
      <w:pPr>
        <w:pStyle w:val="Heading1"/>
      </w:pPr>
      <w:r>
        <w:rPr>
          <w:color w:val="003366"/>
        </w:rPr>
        <w:t>8. Evaluatieformulier</w:t>
      </w:r>
    </w:p>
    <w:p>
      <w:r>
        <w:rPr>
          <w:b/>
          <w:sz w:val="24"/>
        </w:rPr>
        <w:t>Toolbox Talk Evaluatie — Kwikveiligheid (14 april 2026)</w:t>
      </w:r>
    </w:p>
    <w:p/>
    <w:tbl>
      <w:tblPr>
        <w:tblStyle w:val="LightGrid-Accent1"/>
        <w:tblW w:type="auto" w:w="0"/>
        <w:tblLook w:firstColumn="1" w:firstRow="1" w:lastColumn="0" w:lastRow="0" w:noHBand="0" w:noVBand="1" w:val="04A0"/>
      </w:tblPr>
      <w:tblGrid>
        <w:gridCol w:w="4703"/>
        <w:gridCol w:w="4703"/>
      </w:tblGrid>
      <w:tr>
        <w:tc>
          <w:tcPr>
            <w:tcW w:type="dxa" w:w="4703"/>
          </w:tcPr>
          <w:p>
            <w:r>
              <w:rPr>
                <w:b/>
                <w:sz w:val="20"/>
              </w:rPr>
              <w:t>Vraag</w:t>
            </w:r>
          </w:p>
        </w:tc>
        <w:tc>
          <w:tcPr>
            <w:tcW w:type="dxa" w:w="4703"/>
          </w:tcPr>
          <w:p>
            <w:r>
              <w:rPr>
                <w:b/>
                <w:sz w:val="20"/>
              </w:rPr>
              <w:t>Score (1-5)</w:t>
            </w:r>
          </w:p>
        </w:tc>
      </w:tr>
      <w:tr>
        <w:tc>
          <w:tcPr>
            <w:tcW w:type="dxa" w:w="4703"/>
          </w:tcPr>
          <w:p>
            <w:r>
              <w:rPr>
                <w:sz w:val="20"/>
              </w:rPr>
              <w:t>De inhoud was relevant voor mijn werk</w:t>
            </w:r>
          </w:p>
        </w:tc>
        <w:tc>
          <w:tcPr>
            <w:tcW w:type="dxa" w:w="4703"/>
          </w:tcPr>
          <w:p>
            <w:r>
              <w:rPr>
                <w:sz w:val="20"/>
              </w:rPr>
              <w:t>☐ 1   ☐ 2   ☐ 3   ☐ 4   ☐ 5</w:t>
            </w:r>
          </w:p>
        </w:tc>
      </w:tr>
      <w:tr>
        <w:tc>
          <w:tcPr>
            <w:tcW w:type="dxa" w:w="4703"/>
          </w:tcPr>
          <w:p>
            <w:r>
              <w:rPr>
                <w:sz w:val="20"/>
              </w:rPr>
              <w:t>De trainer legde het begrijpelijk uit</w:t>
            </w:r>
          </w:p>
        </w:tc>
        <w:tc>
          <w:tcPr>
            <w:tcW w:type="dxa" w:w="4703"/>
          </w:tcPr>
          <w:p>
            <w:r>
              <w:rPr>
                <w:sz w:val="20"/>
              </w:rPr>
              <w:t>☐ 1   ☐ 2   ☐ 3   ☐ 4   ☐ 5</w:t>
            </w:r>
          </w:p>
        </w:tc>
      </w:tr>
      <w:tr>
        <w:tc>
          <w:tcPr>
            <w:tcW w:type="dxa" w:w="4703"/>
          </w:tcPr>
          <w:p>
            <w:r>
              <w:rPr>
                <w:sz w:val="20"/>
              </w:rPr>
              <w:t>Ik weet wat ik moet doen bij een kwikmorsing</w:t>
            </w:r>
          </w:p>
        </w:tc>
        <w:tc>
          <w:tcPr>
            <w:tcW w:type="dxa" w:w="4703"/>
          </w:tcPr>
          <w:p>
            <w:r>
              <w:rPr>
                <w:sz w:val="20"/>
              </w:rPr>
              <w:t>☐ 1   ☐ 2   ☐ 3   ☐ 4   ☐ 5</w:t>
            </w:r>
          </w:p>
        </w:tc>
      </w:tr>
      <w:tr>
        <w:tc>
          <w:tcPr>
            <w:tcW w:type="dxa" w:w="4703"/>
          </w:tcPr>
          <w:p>
            <w:r>
              <w:rPr>
                <w:sz w:val="20"/>
              </w:rPr>
              <w:t>Ik ken de gezondheidssymptomen van kwikblootstelling</w:t>
            </w:r>
          </w:p>
        </w:tc>
        <w:tc>
          <w:tcPr>
            <w:tcW w:type="dxa" w:w="4703"/>
          </w:tcPr>
          <w:p>
            <w:r>
              <w:rPr>
                <w:sz w:val="20"/>
              </w:rPr>
              <w:t>☐ 1   ☐ 2   ☐ 3   ☐ 4   ☐ 5</w:t>
            </w:r>
          </w:p>
        </w:tc>
      </w:tr>
      <w:tr>
        <w:tc>
          <w:tcPr>
            <w:tcW w:type="dxa" w:w="4703"/>
          </w:tcPr>
          <w:p>
            <w:r>
              <w:rPr>
                <w:sz w:val="20"/>
              </w:rPr>
              <w:t>De Gouden Regel en het morsingsprotocol zijn helder</w:t>
            </w:r>
          </w:p>
        </w:tc>
        <w:tc>
          <w:tcPr>
            <w:tcW w:type="dxa" w:w="4703"/>
          </w:tcPr>
          <w:p>
            <w:r>
              <w:rPr>
                <w:sz w:val="20"/>
              </w:rPr>
              <w:t>☐ 1   ☐ 2   ☐ 3   ☐ 4   ☐ 5</w:t>
            </w:r>
          </w:p>
        </w:tc>
      </w:tr>
      <w:tr>
        <w:tc>
          <w:tcPr>
            <w:tcW w:type="dxa" w:w="4703"/>
          </w:tcPr>
          <w:p>
            <w:r>
              <w:rPr>
                <w:sz w:val="20"/>
              </w:rPr>
              <w:t>Ik weet waar de RI&amp;E staat en of kwik erin is opgenomen</w:t>
            </w:r>
          </w:p>
        </w:tc>
        <w:tc>
          <w:tcPr>
            <w:tcW w:type="dxa" w:w="4703"/>
          </w:tcPr>
          <w:p>
            <w:r>
              <w:rPr>
                <w:sz w:val="20"/>
              </w:rPr>
              <w:t>☐ 1   ☐ 2   ☐ 3   ☐ 4   ☐ 5</w:t>
            </w:r>
          </w:p>
        </w:tc>
      </w:tr>
    </w:tbl>
    <w:p/>
    <w:p>
      <w:r>
        <w:rPr>
          <w:b/>
          <w:color w:val="1F2937"/>
          <w:sz w:val="22"/>
        </w:rPr>
        <w:t>Open vraag: Wat is het belangrijkste dat je vandaag hebt geleerd?</w:t>
      </w:r>
    </w:p>
    <w:p>
      <w:r>
        <w:t>__________________________________________________________________________________________</w:t>
      </w:r>
    </w:p>
    <w:p>
      <w:r>
        <w:t>__________________________________________________________________________________________</w:t>
      </w:r>
    </w:p>
    <w:p/>
    <w:p>
      <w:r>
        <w:t>Naam deelnemer: _______________________________</w:t>
      </w:r>
    </w:p>
    <w:p/>
    <w:p>
      <w:r>
        <w:t>Handtekening: _______________________________    Datum: ______________</w:t>
      </w:r>
    </w:p>
    <w:p/>
    <w:p>
      <w:pPr>
        <w:pStyle w:val="Heading1"/>
      </w:pPr>
      <w:r>
        <w:rPr>
          <w:color w:val="003366"/>
        </w:rPr>
        <w:t>Bronvermelding</w:t>
      </w:r>
    </w:p>
    <w:p>
      <w:pPr>
        <w:pStyle w:val="ListBullet"/>
      </w:pPr>
      <w:r>
        <w:t>Arbowet / Arbobesluit — Artikel 4.1a, 4.1b, 4.1c, 4.5</w:t>
      </w:r>
    </w:p>
    <w:p>
      <w:pPr>
        <w:pStyle w:val="ListBullet"/>
      </w:pPr>
      <w:r>
        <w:t>SER-advies grenswaarden gevaarlijke stoffen (2024)</w:t>
      </w:r>
    </w:p>
    <w:p>
      <w:pPr>
        <w:pStyle w:val="ListBullet"/>
      </w:pPr>
      <w:r>
        <w:t>EU-OSHA — Mercury exposure in the workplace (Directive 2017/164)</w:t>
      </w:r>
    </w:p>
    <w:p>
      <w:pPr>
        <w:pStyle w:val="ListBullet"/>
      </w:pPr>
      <w:r>
        <w:t>REACH Verordening (EG) nr. 1907/2006 — Kwik als SVHC</w:t>
      </w:r>
    </w:p>
    <w:p>
      <w:pPr>
        <w:pStyle w:val="ListBullet"/>
      </w:pPr>
      <w:r>
        <w:t>RIVM — Risicobeoordeling kwik en kwikverbindingen</w:t>
      </w:r>
    </w:p>
    <w:p>
      <w:pPr>
        <w:pStyle w:val="ListBullet"/>
      </w:pPr>
      <w:r>
        <w:t>JvG Consultancy HSEQ Kennisbank — Kwik procedure</w:t>
      </w:r>
    </w:p>
    <w:p>
      <w:pPr>
        <w:pStyle w:val="ListBullet"/>
      </w:pPr>
      <w:r>
        <w:t>HSEQ Database: https://mescalinerabbit.shop/hseq-dashboard/knowledge</w:t>
      </w:r>
    </w:p>
    <w:p/>
    <w:p/>
    <w:p>
      <w:r>
        <w:rPr>
          <w:i/>
          <w:color w:val="6B7280"/>
          <w:sz w:val="18"/>
        </w:rPr>
        <w:t>JvG Consultancy — Toolbox Talk Kwikveiligheid v1.0</w:t>
      </w:r>
    </w:p>
    <w:p>
      <w:r>
        <w:rPr>
          <w:i/>
          <w:color w:val="6B7280"/>
          <w:sz w:val="18"/>
        </w:rPr>
        <w:t>Trainer: [Naam] | Goedgekeurd door: HSEQ Manager | Datum: 14 april 2026 | Volgende review: 14 oktober 2026</w:t>
      </w:r>
    </w:p>
    <w:p>
      <w:r>
        <w:rPr>
          <w:color w:val="6B7280"/>
          <w:sz w:val="16"/>
        </w:rPr>
        <w:t>Dit document is eigendom van JvG Consultancy. Verspreiding alleen met schriftelijke toestemming.</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