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Calibri" w:hAnsi="Calibri"/>
          <w:b/>
          <w:color w:val="0A1628"/>
          <w:sz w:val="56"/>
        </w:rPr>
        <w:t>HSEQ Intelligence Dashboard</w:t>
      </w:r>
    </w:p>
    <w:p>
      <w:pPr>
        <w:jc w:val="center"/>
      </w:pPr>
      <w:r>
        <w:rPr>
          <w:rFonts w:ascii="Calibri" w:hAnsi="Calibri"/>
          <w:b/>
          <w:color w:val="1B2A4A"/>
          <w:sz w:val="44"/>
        </w:rPr>
        <w:t>Gebruikershandleiding</w:t>
      </w:r>
    </w:p>
    <w:p/>
    <w:p>
      <w:pPr>
        <w:jc w:val="center"/>
      </w:pPr>
      <w:r>
        <w:rPr>
          <w:color w:val="003366"/>
          <w:sz w:val="20"/>
        </w:rPr>
        <w:t>━━━━━━━━━━━━━━━━━━━━━━━━━━━━━━━━━━━━━━━━━━━━━━━━━━</w:t>
      </w:r>
    </w:p>
    <w:p/>
    <w:p>
      <w:pPr>
        <w:jc w:val="center"/>
      </w:pPr>
      <w:r>
        <w:rPr>
          <w:rFonts w:ascii="Calibri" w:hAnsi="Calibri"/>
          <w:color w:val="003366"/>
          <w:sz w:val="32"/>
        </w:rPr>
        <w:t>JvG Consultancy</w:t>
      </w:r>
    </w:p>
    <w:p>
      <w:pPr>
        <w:jc w:val="center"/>
      </w:pPr>
      <w:r>
        <w:rPr>
          <w:rFonts w:ascii="Calibri" w:hAnsi="Calibri"/>
          <w:i/>
          <w:color w:val="6B7280"/>
          <w:sz w:val="24"/>
        </w:rPr>
        <w:t>HSEQ Consultancy voor BRZO/Seveso Bedrijven</w:t>
      </w:r>
    </w:p>
    <w:p/>
    <w:p/>
    <w:p/>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
              <w:rPr>
                <w:rFonts w:ascii="Calibri" w:hAnsi="Calibri"/>
                <w:b/>
                <w:color w:val="FFFFFF"/>
                <w:sz w:val="20"/>
              </w:rPr>
              <w:t>Omschrijving</w:t>
            </w:r>
          </w:p>
        </w:tc>
        <w:tc>
          <w:tcPr>
            <w:tcW w:type="dxa" w:w="4703"/>
            <w:shd w:fill="003366"/>
          </w:tcPr>
          <w:p>
            <w:pPr>
              <w:jc w:val="center"/>
            </w:pPr>
            <w:r/>
            <w:r>
              <w:rPr>
                <w:rFonts w:ascii="Calibri" w:hAnsi="Calibri"/>
                <w:b/>
                <w:color w:val="FFFFFF"/>
                <w:sz w:val="20"/>
              </w:rPr>
              <w:t>Waarde</w:t>
            </w:r>
          </w:p>
        </w:tc>
      </w:tr>
      <w:tr>
        <w:tc>
          <w:tcPr>
            <w:tcW w:type="dxa" w:w="4703"/>
          </w:tcPr>
          <w:p>
            <w:r/>
            <w:r>
              <w:rPr>
                <w:rFonts w:ascii="Calibri" w:hAnsi="Calibri"/>
                <w:color w:val="374151"/>
                <w:sz w:val="20"/>
              </w:rPr>
              <w:t>Document</w:t>
            </w:r>
          </w:p>
        </w:tc>
        <w:tc>
          <w:tcPr>
            <w:tcW w:type="dxa" w:w="4703"/>
          </w:tcPr>
          <w:p>
            <w:r/>
            <w:r>
              <w:rPr>
                <w:rFonts w:ascii="Calibri" w:hAnsi="Calibri"/>
                <w:color w:val="374151"/>
                <w:sz w:val="20"/>
              </w:rPr>
              <w:t>Gebruikershandleiding</w:t>
            </w:r>
          </w:p>
        </w:tc>
      </w:tr>
      <w:tr>
        <w:tc>
          <w:tcPr>
            <w:tcW w:type="dxa" w:w="4703"/>
            <w:shd w:fill="F8F9FA"/>
          </w:tcPr>
          <w:p>
            <w:r/>
            <w:r>
              <w:rPr>
                <w:rFonts w:ascii="Calibri" w:hAnsi="Calibri"/>
                <w:color w:val="374151"/>
                <w:sz w:val="20"/>
              </w:rPr>
              <w:t>Versie</w:t>
            </w:r>
          </w:p>
        </w:tc>
        <w:tc>
          <w:tcPr>
            <w:tcW w:type="dxa" w:w="4703"/>
            <w:shd w:fill="F8F9FA"/>
          </w:tcPr>
          <w:p>
            <w:r/>
            <w:r>
              <w:rPr>
                <w:rFonts w:ascii="Calibri" w:hAnsi="Calibri"/>
                <w:color w:val="374151"/>
                <w:sz w:val="20"/>
              </w:rPr>
              <w:t>1.0</w:t>
            </w:r>
          </w:p>
        </w:tc>
      </w:tr>
      <w:tr>
        <w:tc>
          <w:tcPr>
            <w:tcW w:type="dxa" w:w="4703"/>
          </w:tcPr>
          <w:p>
            <w:r/>
            <w:r>
              <w:rPr>
                <w:rFonts w:ascii="Calibri" w:hAnsi="Calibri"/>
                <w:color w:val="374151"/>
                <w:sz w:val="20"/>
              </w:rPr>
              <w:t>Datum</w:t>
            </w:r>
          </w:p>
        </w:tc>
        <w:tc>
          <w:tcPr>
            <w:tcW w:type="dxa" w:w="4703"/>
          </w:tcPr>
          <w:p>
            <w:r/>
            <w:r>
              <w:rPr>
                <w:rFonts w:ascii="Calibri" w:hAnsi="Calibri"/>
                <w:color w:val="374151"/>
                <w:sz w:val="20"/>
              </w:rPr>
              <w:t>April 2026</w:t>
            </w:r>
          </w:p>
        </w:tc>
      </w:tr>
      <w:tr>
        <w:tc>
          <w:tcPr>
            <w:tcW w:type="dxa" w:w="4703"/>
            <w:shd w:fill="F8F9FA"/>
          </w:tcPr>
          <w:p>
            <w:r/>
            <w:r>
              <w:rPr>
                <w:rFonts w:ascii="Calibri" w:hAnsi="Calibri"/>
                <w:color w:val="374151"/>
                <w:sz w:val="20"/>
              </w:rPr>
              <w:t>Classificatie</w:t>
            </w:r>
          </w:p>
        </w:tc>
        <w:tc>
          <w:tcPr>
            <w:tcW w:type="dxa" w:w="4703"/>
            <w:shd w:fill="F8F9FA"/>
          </w:tcPr>
          <w:p>
            <w:r/>
            <w:r>
              <w:rPr>
                <w:rFonts w:ascii="Calibri" w:hAnsi="Calibri"/>
                <w:color w:val="374151"/>
                <w:sz w:val="20"/>
              </w:rPr>
              <w:t>Intern — JvG Consultancy</w:t>
            </w:r>
          </w:p>
        </w:tc>
      </w:tr>
      <w:tr>
        <w:tc>
          <w:tcPr>
            <w:tcW w:type="dxa" w:w="4703"/>
          </w:tcPr>
          <w:p>
            <w:r/>
            <w:r>
              <w:rPr>
                <w:rFonts w:ascii="Calibri" w:hAnsi="Calibri"/>
                <w:color w:val="374151"/>
                <w:sz w:val="20"/>
              </w:rPr>
              <w:t>Website</w:t>
            </w:r>
          </w:p>
        </w:tc>
        <w:tc>
          <w:tcPr>
            <w:tcW w:type="dxa" w:w="4703"/>
          </w:tcPr>
          <w:p>
            <w:r/>
            <w:r>
              <w:rPr>
                <w:rFonts w:ascii="Calibri" w:hAnsi="Calibri"/>
                <w:color w:val="374151"/>
                <w:sz w:val="20"/>
              </w:rPr>
              <w:t>https://mescalinerabbit.shop/hseq-dashboard/</w:t>
            </w:r>
          </w:p>
        </w:tc>
      </w:tr>
    </w:tbl>
    <w:p>
      <w:r>
        <w:br w:type="page"/>
      </w:r>
    </w:p>
    <w:p>
      <w:pPr>
        <w:pStyle w:val="Heading1"/>
      </w:pPr>
      <w:r>
        <w:t>Inhoudsopgave</w:t>
      </w:r>
    </w:p>
    <w:p>
      <w:pPr>
        <w:spacing w:after="40"/>
      </w:pPr>
      <w:r>
        <w:rPr>
          <w:rFonts w:ascii="Calibri" w:hAnsi="Calibri"/>
          <w:b/>
          <w:color w:val="0A1628"/>
          <w:sz w:val="22"/>
        </w:rPr>
        <w:t>1. Introductie</w:t>
      </w:r>
    </w:p>
    <w:p>
      <w:pPr>
        <w:spacing w:after="40"/>
      </w:pPr>
      <w:r>
        <w:rPr>
          <w:rFonts w:ascii="Calibri" w:hAnsi="Calibri"/>
          <w:b w:val="0"/>
          <w:color w:val="374151"/>
          <w:sz w:val="20"/>
        </w:rPr>
        <w:t xml:space="preserve">    1.1 Over het HSEQ Intelligence Dashboard</w:t>
      </w:r>
    </w:p>
    <w:p>
      <w:pPr>
        <w:spacing w:after="40"/>
      </w:pPr>
      <w:r>
        <w:rPr>
          <w:rFonts w:ascii="Calibri" w:hAnsi="Calibri"/>
          <w:b w:val="0"/>
          <w:color w:val="374151"/>
          <w:sz w:val="20"/>
        </w:rPr>
        <w:t xml:space="preserve">    1.2 Doel en scope</w:t>
      </w:r>
    </w:p>
    <w:p>
      <w:pPr>
        <w:spacing w:after="40"/>
      </w:pPr>
      <w:r>
        <w:rPr>
          <w:rFonts w:ascii="Calibri" w:hAnsi="Calibri"/>
          <w:b w:val="0"/>
          <w:color w:val="374151"/>
          <w:sz w:val="20"/>
        </w:rPr>
        <w:t xml:space="preserve">    1.3 Systeemvereisten</w:t>
      </w:r>
    </w:p>
    <w:p>
      <w:pPr>
        <w:spacing w:after="40"/>
      </w:pPr>
      <w:r>
        <w:rPr>
          <w:rFonts w:ascii="Calibri" w:hAnsi="Calibri"/>
          <w:b/>
          <w:color w:val="0A1628"/>
          <w:sz w:val="22"/>
        </w:rPr>
        <w:t>2. Navigatie &amp; Interface</w:t>
      </w:r>
    </w:p>
    <w:p>
      <w:pPr>
        <w:spacing w:after="40"/>
      </w:pPr>
      <w:r>
        <w:rPr>
          <w:rFonts w:ascii="Calibri" w:hAnsi="Calibri"/>
          <w:b w:val="0"/>
          <w:color w:val="374151"/>
          <w:sz w:val="20"/>
        </w:rPr>
        <w:t xml:space="preserve">    2.1 Sidebar navigatie</w:t>
      </w:r>
    </w:p>
    <w:p>
      <w:pPr>
        <w:spacing w:after="40"/>
      </w:pPr>
      <w:r>
        <w:rPr>
          <w:rFonts w:ascii="Calibri" w:hAnsi="Calibri"/>
          <w:b w:val="0"/>
          <w:color w:val="374151"/>
          <w:sz w:val="20"/>
        </w:rPr>
        <w:t xml:space="preserve">    2.2 Hamburger menu</w:t>
      </w:r>
    </w:p>
    <w:p>
      <w:pPr>
        <w:spacing w:after="40"/>
      </w:pPr>
      <w:r>
        <w:rPr>
          <w:rFonts w:ascii="Calibri" w:hAnsi="Calibri"/>
          <w:b w:val="0"/>
          <w:color w:val="374151"/>
          <w:sz w:val="20"/>
        </w:rPr>
        <w:t xml:space="preserve">    2.3 Responsive design</w:t>
      </w:r>
    </w:p>
    <w:p>
      <w:pPr>
        <w:spacing w:after="40"/>
      </w:pPr>
      <w:r>
        <w:rPr>
          <w:rFonts w:ascii="Calibri" w:hAnsi="Calibri"/>
          <w:b w:val="0"/>
          <w:color w:val="374151"/>
          <w:sz w:val="20"/>
        </w:rPr>
        <w:t xml:space="preserve">    2.4 Header en breadcrumb</w:t>
      </w:r>
    </w:p>
    <w:p>
      <w:pPr>
        <w:spacing w:after="40"/>
      </w:pPr>
      <w:r>
        <w:rPr>
          <w:rFonts w:ascii="Calibri" w:hAnsi="Calibri"/>
          <w:b/>
          <w:color w:val="0A1628"/>
          <w:sz w:val="22"/>
        </w:rPr>
        <w:t>3. Dashboard Hoofdpagina</w:t>
      </w:r>
    </w:p>
    <w:p>
      <w:pPr>
        <w:spacing w:after="40"/>
      </w:pPr>
      <w:r>
        <w:rPr>
          <w:rFonts w:ascii="Calibri" w:hAnsi="Calibri"/>
          <w:b w:val="0"/>
          <w:color w:val="374151"/>
          <w:sz w:val="20"/>
        </w:rPr>
        <w:t xml:space="preserve">    3.1 KPI widgets</w:t>
      </w:r>
    </w:p>
    <w:p>
      <w:pPr>
        <w:spacing w:after="40"/>
      </w:pPr>
      <w:r>
        <w:rPr>
          <w:rFonts w:ascii="Calibri" w:hAnsi="Calibri"/>
          <w:b w:val="0"/>
          <w:color w:val="374151"/>
          <w:sz w:val="20"/>
        </w:rPr>
        <w:t xml:space="preserve">    3.2 HSEQ Intelligence Briefing</w:t>
      </w:r>
    </w:p>
    <w:p>
      <w:pPr>
        <w:spacing w:after="40"/>
      </w:pPr>
      <w:r>
        <w:rPr>
          <w:rFonts w:ascii="Calibri" w:hAnsi="Calibri"/>
          <w:b w:val="0"/>
          <w:color w:val="374151"/>
          <w:sz w:val="20"/>
        </w:rPr>
        <w:t xml:space="preserve">    3.3 Module links</w:t>
      </w:r>
    </w:p>
    <w:p>
      <w:pPr>
        <w:spacing w:after="40"/>
      </w:pPr>
      <w:r>
        <w:rPr>
          <w:rFonts w:ascii="Calibri" w:hAnsi="Calibri"/>
          <w:b/>
          <w:color w:val="0A1628"/>
          <w:sz w:val="22"/>
        </w:rPr>
        <w:t>4. Module 1 — PBZO Compliance Tracker</w:t>
      </w:r>
    </w:p>
    <w:p>
      <w:pPr>
        <w:spacing w:after="40"/>
      </w:pPr>
      <w:r>
        <w:rPr>
          <w:rFonts w:ascii="Calibri" w:hAnsi="Calibri"/>
          <w:b w:val="0"/>
          <w:color w:val="374151"/>
          <w:sz w:val="20"/>
        </w:rPr>
        <w:t xml:space="preserve">    4.1 VBS-elementen tracking</w:t>
      </w:r>
    </w:p>
    <w:p>
      <w:pPr>
        <w:spacing w:after="40"/>
      </w:pPr>
      <w:r>
        <w:rPr>
          <w:rFonts w:ascii="Calibri" w:hAnsi="Calibri"/>
          <w:b w:val="0"/>
          <w:color w:val="374151"/>
          <w:sz w:val="20"/>
        </w:rPr>
        <w:t xml:space="preserve">    4.2 PDCA board</w:t>
      </w:r>
    </w:p>
    <w:p>
      <w:pPr>
        <w:spacing w:after="40"/>
      </w:pPr>
      <w:r>
        <w:rPr>
          <w:rFonts w:ascii="Calibri" w:hAnsi="Calibri"/>
          <w:b w:val="0"/>
          <w:color w:val="374151"/>
          <w:sz w:val="20"/>
        </w:rPr>
        <w:t xml:space="preserve">    4.3 Status bewerken</w:t>
      </w:r>
    </w:p>
    <w:p>
      <w:pPr>
        <w:spacing w:after="40"/>
      </w:pPr>
      <w:r>
        <w:rPr>
          <w:rFonts w:ascii="Calibri" w:hAnsi="Calibri"/>
          <w:b/>
          <w:color w:val="0A1628"/>
          <w:sz w:val="22"/>
        </w:rPr>
        <w:t>5. Module 2 — RI&amp;E / HAZOP Dashboard</w:t>
      </w:r>
    </w:p>
    <w:p>
      <w:pPr>
        <w:spacing w:after="40"/>
      </w:pPr>
      <w:r>
        <w:rPr>
          <w:rFonts w:ascii="Calibri" w:hAnsi="Calibri"/>
          <w:b w:val="0"/>
          <w:color w:val="374151"/>
          <w:sz w:val="20"/>
        </w:rPr>
        <w:t xml:space="preserve">    5.1 Risicomatrix</w:t>
      </w:r>
    </w:p>
    <w:p>
      <w:pPr>
        <w:spacing w:after="40"/>
      </w:pPr>
      <w:r>
        <w:rPr>
          <w:rFonts w:ascii="Calibri" w:hAnsi="Calibri"/>
          <w:b w:val="0"/>
          <w:color w:val="374151"/>
          <w:sz w:val="20"/>
        </w:rPr>
        <w:t xml:space="preserve">    5.2 Stoffenbeheersing</w:t>
      </w:r>
    </w:p>
    <w:p>
      <w:pPr>
        <w:spacing w:after="40"/>
      </w:pPr>
      <w:r>
        <w:rPr>
          <w:rFonts w:ascii="Calibri" w:hAnsi="Calibri"/>
          <w:b w:val="0"/>
          <w:color w:val="374151"/>
          <w:sz w:val="20"/>
        </w:rPr>
        <w:t xml:space="preserve">    5.3 HAZOP studies</w:t>
      </w:r>
    </w:p>
    <w:p>
      <w:pPr>
        <w:spacing w:after="40"/>
      </w:pPr>
      <w:r>
        <w:rPr>
          <w:rFonts w:ascii="Calibri" w:hAnsi="Calibri"/>
          <w:b w:val="0"/>
          <w:color w:val="374151"/>
          <w:sz w:val="20"/>
        </w:rPr>
        <w:t xml:space="preserve">    5.4 Data bewerken en filteren</w:t>
      </w:r>
    </w:p>
    <w:p>
      <w:pPr>
        <w:spacing w:after="40"/>
      </w:pPr>
      <w:r>
        <w:rPr>
          <w:rFonts w:ascii="Calibri" w:hAnsi="Calibri"/>
          <w:b/>
          <w:color w:val="0A1628"/>
          <w:sz w:val="22"/>
        </w:rPr>
        <w:t>6. Module 3 — MoC &amp; PtW</w:t>
      </w:r>
    </w:p>
    <w:p>
      <w:pPr>
        <w:spacing w:after="40"/>
      </w:pPr>
      <w:r>
        <w:rPr>
          <w:rFonts w:ascii="Calibri" w:hAnsi="Calibri"/>
          <w:b w:val="0"/>
          <w:color w:val="374151"/>
          <w:sz w:val="20"/>
        </w:rPr>
        <w:t xml:space="preserve">    6.1 Management of Change flow</w:t>
      </w:r>
    </w:p>
    <w:p>
      <w:pPr>
        <w:spacing w:after="40"/>
      </w:pPr>
      <w:r>
        <w:rPr>
          <w:rFonts w:ascii="Calibri" w:hAnsi="Calibri"/>
          <w:b w:val="0"/>
          <w:color w:val="374151"/>
          <w:sz w:val="20"/>
        </w:rPr>
        <w:t xml:space="preserve">    6.2 Werkvergunningen aanmaken</w:t>
      </w:r>
    </w:p>
    <w:p>
      <w:pPr>
        <w:spacing w:after="40"/>
      </w:pPr>
      <w:r>
        <w:rPr>
          <w:rFonts w:ascii="Calibri" w:hAnsi="Calibri"/>
          <w:b w:val="0"/>
          <w:color w:val="374151"/>
          <w:sz w:val="20"/>
        </w:rPr>
        <w:t xml:space="preserve">    6.3 ATEX, LOTO en HF checks</w:t>
      </w:r>
    </w:p>
    <w:p>
      <w:pPr>
        <w:spacing w:after="40"/>
      </w:pPr>
      <w:r>
        <w:rPr>
          <w:rFonts w:ascii="Calibri" w:hAnsi="Calibri"/>
          <w:b w:val="0"/>
          <w:color w:val="374151"/>
          <w:sz w:val="20"/>
        </w:rPr>
        <w:t xml:space="preserve">    6.4 PtW competentie check</w:t>
      </w:r>
    </w:p>
    <w:p>
      <w:pPr>
        <w:spacing w:after="40"/>
      </w:pPr>
      <w:r>
        <w:rPr>
          <w:rFonts w:ascii="Calibri" w:hAnsi="Calibri"/>
          <w:b/>
          <w:color w:val="0A1628"/>
          <w:sz w:val="22"/>
        </w:rPr>
        <w:t>7. Module 4 — Incidenten &amp; Milieu</w:t>
      </w:r>
    </w:p>
    <w:p>
      <w:pPr>
        <w:spacing w:after="40"/>
      </w:pPr>
      <w:r>
        <w:rPr>
          <w:rFonts w:ascii="Calibri" w:hAnsi="Calibri"/>
          <w:b w:val="0"/>
          <w:color w:val="374151"/>
          <w:sz w:val="20"/>
        </w:rPr>
        <w:t xml:space="preserve">    7.1 Incident melden</w:t>
      </w:r>
    </w:p>
    <w:p>
      <w:pPr>
        <w:spacing w:after="40"/>
      </w:pPr>
      <w:r>
        <w:rPr>
          <w:rFonts w:ascii="Calibri" w:hAnsi="Calibri"/>
          <w:b w:val="0"/>
          <w:color w:val="374151"/>
          <w:sz w:val="20"/>
        </w:rPr>
        <w:t xml:space="preserve">    7.2 AI Root-Cause Analyse</w:t>
      </w:r>
    </w:p>
    <w:p>
      <w:pPr>
        <w:spacing w:after="40"/>
      </w:pPr>
      <w:r>
        <w:rPr>
          <w:rFonts w:ascii="Calibri" w:hAnsi="Calibri"/>
          <w:b w:val="0"/>
          <w:color w:val="374151"/>
          <w:sz w:val="20"/>
        </w:rPr>
        <w:t xml:space="preserve">    7.3 Overheids-Melding Generator</w:t>
      </w:r>
    </w:p>
    <w:p>
      <w:pPr>
        <w:spacing w:after="40"/>
      </w:pPr>
      <w:r>
        <w:rPr>
          <w:rFonts w:ascii="Calibri" w:hAnsi="Calibri"/>
          <w:b w:val="0"/>
          <w:color w:val="374151"/>
          <w:sz w:val="20"/>
        </w:rPr>
        <w:t xml:space="preserve">    7.4 Milieumetingen en afvalstromen</w:t>
      </w:r>
    </w:p>
    <w:p>
      <w:pPr>
        <w:spacing w:after="40"/>
      </w:pPr>
      <w:r>
        <w:rPr>
          <w:rFonts w:ascii="Calibri" w:hAnsi="Calibri"/>
          <w:b w:val="0"/>
          <w:color w:val="374151"/>
          <w:sz w:val="20"/>
        </w:rPr>
        <w:t xml:space="preserve">    7.5 CAPA management</w:t>
      </w:r>
    </w:p>
    <w:p>
      <w:pPr>
        <w:spacing w:after="40"/>
      </w:pPr>
      <w:r>
        <w:rPr>
          <w:rFonts w:ascii="Calibri" w:hAnsi="Calibri"/>
          <w:b/>
          <w:color w:val="0A1628"/>
          <w:sz w:val="22"/>
        </w:rPr>
        <w:t>8. Module 5 — Kwalificaties &amp; Audits</w:t>
      </w:r>
    </w:p>
    <w:p>
      <w:pPr>
        <w:spacing w:after="40"/>
      </w:pPr>
      <w:r>
        <w:rPr>
          <w:rFonts w:ascii="Calibri" w:hAnsi="Calibri"/>
          <w:b w:val="0"/>
          <w:color w:val="374151"/>
          <w:sz w:val="20"/>
        </w:rPr>
        <w:t xml:space="preserve">    8.1 License to Operate dashboard</w:t>
      </w:r>
    </w:p>
    <w:p>
      <w:pPr>
        <w:spacing w:after="40"/>
      </w:pPr>
      <w:r>
        <w:rPr>
          <w:rFonts w:ascii="Calibri" w:hAnsi="Calibri"/>
          <w:b w:val="0"/>
          <w:color w:val="374151"/>
          <w:sz w:val="20"/>
        </w:rPr>
        <w:t xml:space="preserve">    8.2 PtW Hard-Block visueel</w:t>
      </w:r>
    </w:p>
    <w:p>
      <w:pPr>
        <w:spacing w:after="40"/>
      </w:pPr>
      <w:r>
        <w:rPr>
          <w:rFonts w:ascii="Calibri" w:hAnsi="Calibri"/>
          <w:b w:val="0"/>
          <w:color w:val="374151"/>
          <w:sz w:val="20"/>
        </w:rPr>
        <w:t xml:space="preserve">    8.3 Contractor management</w:t>
      </w:r>
    </w:p>
    <w:p>
      <w:pPr>
        <w:spacing w:after="40"/>
      </w:pPr>
      <w:r>
        <w:rPr>
          <w:rFonts w:ascii="Calibri" w:hAnsi="Calibri"/>
          <w:b w:val="0"/>
          <w:color w:val="374151"/>
          <w:sz w:val="20"/>
        </w:rPr>
        <w:t xml:space="preserve">    8.4 Training Gap Analyzer</w:t>
      </w:r>
    </w:p>
    <w:p>
      <w:pPr>
        <w:spacing w:after="40"/>
      </w:pPr>
      <w:r>
        <w:rPr>
          <w:rFonts w:ascii="Calibri" w:hAnsi="Calibri"/>
          <w:b w:val="0"/>
          <w:color w:val="374151"/>
          <w:sz w:val="20"/>
        </w:rPr>
        <w:t xml:space="preserve">    8.5 Audit planning</w:t>
      </w:r>
    </w:p>
    <w:p>
      <w:pPr>
        <w:spacing w:after="40"/>
      </w:pPr>
      <w:r>
        <w:rPr>
          <w:rFonts w:ascii="Calibri" w:hAnsi="Calibri"/>
          <w:b/>
          <w:color w:val="0A1628"/>
          <w:sz w:val="22"/>
        </w:rPr>
        <w:t>9. Diensten &amp; Rapportages</w:t>
      </w:r>
    </w:p>
    <w:p>
      <w:pPr>
        <w:spacing w:after="40"/>
      </w:pPr>
      <w:r>
        <w:rPr>
          <w:rFonts w:ascii="Calibri" w:hAnsi="Calibri"/>
          <w:b w:val="0"/>
          <w:color w:val="374151"/>
          <w:sz w:val="20"/>
        </w:rPr>
        <w:t xml:space="preserve">    9.1 Snelvragen</w:t>
      </w:r>
    </w:p>
    <w:p>
      <w:pPr>
        <w:spacing w:after="40"/>
      </w:pPr>
      <w:r>
        <w:rPr>
          <w:rFonts w:ascii="Calibri" w:hAnsi="Calibri"/>
          <w:b w:val="0"/>
          <w:color w:val="374151"/>
          <w:sz w:val="20"/>
        </w:rPr>
        <w:t xml:space="preserve">    9.2 Dienstoverzicht</w:t>
      </w:r>
    </w:p>
    <w:p>
      <w:pPr>
        <w:spacing w:after="40"/>
      </w:pPr>
      <w:r>
        <w:rPr>
          <w:rFonts w:ascii="Calibri" w:hAnsi="Calibri"/>
          <w:b/>
          <w:color w:val="0A1628"/>
          <w:sz w:val="22"/>
        </w:rPr>
        <w:t>10. HSEQ Advisor (AI Chat)</w:t>
      </w:r>
    </w:p>
    <w:p>
      <w:pPr>
        <w:spacing w:after="40"/>
      </w:pPr>
      <w:r>
        <w:rPr>
          <w:rFonts w:ascii="Calibri" w:hAnsi="Calibri"/>
          <w:b w:val="0"/>
          <w:color w:val="374151"/>
          <w:sz w:val="20"/>
        </w:rPr>
        <w:t xml:space="preserve">    10.1 Categorieën</w:t>
      </w:r>
    </w:p>
    <w:p>
      <w:pPr>
        <w:spacing w:after="40"/>
      </w:pPr>
      <w:r>
        <w:rPr>
          <w:rFonts w:ascii="Calibri" w:hAnsi="Calibri"/>
          <w:b w:val="0"/>
          <w:color w:val="374151"/>
          <w:sz w:val="20"/>
        </w:rPr>
        <w:t xml:space="preserve">    10.2 Vragen stellen</w:t>
      </w:r>
    </w:p>
    <w:p>
      <w:pPr>
        <w:spacing w:after="40"/>
      </w:pPr>
      <w:r>
        <w:rPr>
          <w:rFonts w:ascii="Calibri" w:hAnsi="Calibri"/>
          <w:b w:val="0"/>
          <w:color w:val="374151"/>
          <w:sz w:val="20"/>
        </w:rPr>
        <w:t xml:space="preserve">    10.3 Export en kennisbank</w:t>
      </w:r>
    </w:p>
    <w:p>
      <w:pPr>
        <w:spacing w:after="40"/>
      </w:pPr>
      <w:r>
        <w:rPr>
          <w:rFonts w:ascii="Calibri" w:hAnsi="Calibri"/>
          <w:b/>
          <w:color w:val="0A1628"/>
          <w:sz w:val="22"/>
        </w:rPr>
        <w:t>11. Cross-Module Integraties</w:t>
      </w:r>
    </w:p>
    <w:p>
      <w:pPr>
        <w:spacing w:after="40"/>
      </w:pPr>
      <w:r>
        <w:rPr>
          <w:rFonts w:ascii="Calibri" w:hAnsi="Calibri"/>
          <w:b w:val="0"/>
          <w:color w:val="374151"/>
          <w:sz w:val="20"/>
        </w:rPr>
        <w:t xml:space="preserve">    11.1 Overzicht koppelingen</w:t>
      </w:r>
    </w:p>
    <w:p>
      <w:pPr>
        <w:spacing w:after="40"/>
      </w:pPr>
      <w:r>
        <w:rPr>
          <w:rFonts w:ascii="Calibri" w:hAnsi="Calibri"/>
          <w:b w:val="0"/>
          <w:color w:val="374151"/>
          <w:sz w:val="20"/>
        </w:rPr>
        <w:t xml:space="preserve">    11.2 Workflow voorbeelden</w:t>
      </w:r>
    </w:p>
    <w:p>
      <w:pPr>
        <w:spacing w:after="40"/>
      </w:pPr>
      <w:r>
        <w:rPr>
          <w:rFonts w:ascii="Calibri" w:hAnsi="Calibri"/>
          <w:b/>
          <w:color w:val="0A1628"/>
          <w:sz w:val="22"/>
        </w:rPr>
        <w:t>12. Beheer &amp; Configuratie</w:t>
      </w:r>
    </w:p>
    <w:p>
      <w:pPr>
        <w:spacing w:after="40"/>
      </w:pPr>
      <w:r>
        <w:rPr>
          <w:rFonts w:ascii="Calibri" w:hAnsi="Calibri"/>
          <w:b w:val="0"/>
          <w:color w:val="374151"/>
          <w:sz w:val="20"/>
        </w:rPr>
        <w:t xml:space="preserve">    12.1 Medewerkers beheren</w:t>
      </w:r>
    </w:p>
    <w:p>
      <w:pPr>
        <w:spacing w:after="40"/>
      </w:pPr>
      <w:r>
        <w:rPr>
          <w:rFonts w:ascii="Calibri" w:hAnsi="Calibri"/>
          <w:b w:val="0"/>
          <w:color w:val="374151"/>
          <w:sz w:val="20"/>
        </w:rPr>
        <w:t xml:space="preserve">    12.2 Rollen en trainingseisen</w:t>
      </w:r>
    </w:p>
    <w:p>
      <w:pPr>
        <w:spacing w:after="40"/>
      </w:pPr>
      <w:r>
        <w:rPr>
          <w:rFonts w:ascii="Calibri" w:hAnsi="Calibri"/>
          <w:b w:val="0"/>
          <w:color w:val="374151"/>
          <w:sz w:val="20"/>
        </w:rPr>
        <w:t xml:space="preserve">    12.3 Contractors beheren</w:t>
      </w:r>
    </w:p>
    <w:p>
      <w:pPr>
        <w:spacing w:after="40"/>
      </w:pPr>
      <w:r>
        <w:rPr>
          <w:rFonts w:ascii="Calibri" w:hAnsi="Calibri"/>
          <w:b w:val="0"/>
          <w:color w:val="374151"/>
          <w:sz w:val="20"/>
        </w:rPr>
        <w:t xml:space="preserve">    12.4 Data export en import</w:t>
      </w:r>
    </w:p>
    <w:p>
      <w:pPr>
        <w:spacing w:after="40"/>
      </w:pPr>
      <w:r>
        <w:rPr>
          <w:rFonts w:ascii="Calibri" w:hAnsi="Calibri"/>
          <w:b/>
          <w:color w:val="0A1628"/>
          <w:sz w:val="22"/>
        </w:rPr>
        <w:t>Bijlage A — URL Overzicht</w:t>
      </w:r>
    </w:p>
    <w:p>
      <w:pPr>
        <w:spacing w:after="40"/>
      </w:pPr>
      <w:r>
        <w:rPr>
          <w:rFonts w:ascii="Calibri" w:hAnsi="Calibri"/>
          <w:b/>
          <w:color w:val="0A1628"/>
          <w:sz w:val="22"/>
        </w:rPr>
        <w:t>Bijlage B — BRZO VBS-elementen</w:t>
      </w:r>
    </w:p>
    <w:p>
      <w:pPr>
        <w:spacing w:after="40"/>
      </w:pPr>
      <w:r>
        <w:rPr>
          <w:rFonts w:ascii="Calibri" w:hAnsi="Calibri"/>
          <w:b/>
          <w:color w:val="0A1628"/>
          <w:sz w:val="22"/>
        </w:rPr>
        <w:t>Bijlage C — Afkortingenlijst</w:t>
      </w:r>
    </w:p>
    <w:p>
      <w:r>
        <w:br w:type="page"/>
      </w:r>
    </w:p>
    <w:p>
      <w:pPr>
        <w:pStyle w:val="Heading1"/>
      </w:pPr>
      <w:r>
        <w:t>1. Introductie</w:t>
      </w:r>
    </w:p>
    <w:p>
      <w:pPr>
        <w:pStyle w:val="Heading2"/>
      </w:pPr>
      <w:r>
        <w:t>1.1 Over het HSEQ Intelligence Dashboard</w:t>
      </w:r>
    </w:p>
    <w:p>
      <w:r>
        <w:rPr>
          <w:rFonts w:ascii="Calibri" w:hAnsi="Calibri"/>
          <w:color w:val="374151"/>
          <w:sz w:val="22"/>
        </w:rPr>
        <w:t>Het HSEQ Intelligence Dashboard is een webbased platform ontwikkeld door JvG Consultancy, specifiek gericht op HSEQ managers, operators en supervisors in de procesindustrie. Het dashboard centraliseert alle HSEQ-gerelateerde data — van PBZO compliance en risico-inventarisatie tot werkvergunningen, incidenten en opleidingen — in één overzichtelijke interface.</w:t>
      </w:r>
    </w:p>
    <w:p>
      <w:r>
        <w:rPr>
          <w:rFonts w:ascii="Calibri" w:hAnsi="Calibri"/>
          <w:color w:val="374151"/>
          <w:sz w:val="22"/>
        </w:rPr>
        <w:t>Het platform combineert vijf operationele modules met geïntegreerde AI-assistentie (Kas), een uitgebreide dienstenportfolio en een slimme kennisbank. Alle modules zijn onderling gekoppeld, zodat data consistent blijft en workflows end-to-end worden ondersteund.</w:t>
      </w:r>
    </w:p>
    <w:p>
      <w:pPr>
        <w:pStyle w:val="Heading2"/>
      </w:pPr>
      <w:r>
        <w:t>1.2 Doel en scope</w:t>
      </w:r>
    </w:p>
    <w:p>
      <w:r>
        <w:rPr>
          <w:rFonts w:ascii="Calibri" w:hAnsi="Calibri"/>
          <w:color w:val="374151"/>
          <w:sz w:val="22"/>
        </w:rPr>
        <w:t>Het dashboard is ontworpen om:</w:t>
      </w:r>
    </w:p>
    <w:p>
      <w:pPr>
        <w:pStyle w:val="ListBullet"/>
      </w:pPr>
      <w:r>
        <w:rPr>
          <w:sz w:val="22"/>
        </w:rPr>
        <w:t>PBZO-compliance (BRZO/Seveso) te monitoren en beheren</w:t>
      </w:r>
    </w:p>
    <w:p>
      <w:pPr>
        <w:pStyle w:val="ListBullet"/>
      </w:pPr>
      <w:r>
        <w:rPr>
          <w:sz w:val="22"/>
        </w:rPr>
        <w:t>Risico-inventarisaties en HAZOP-studies te structureren</w:t>
      </w:r>
    </w:p>
    <w:p>
      <w:pPr>
        <w:pStyle w:val="ListBullet"/>
      </w:pPr>
      <w:r>
        <w:rPr>
          <w:sz w:val="22"/>
        </w:rPr>
        <w:t>Management of Change en werkvergunningen te stroomlijnen</w:t>
      </w:r>
    </w:p>
    <w:p>
      <w:pPr>
        <w:pStyle w:val="ListBullet"/>
      </w:pPr>
      <w:r>
        <w:rPr>
          <w:sz w:val="22"/>
        </w:rPr>
        <w:t>Incidenten, CAPA-acties en milieuprestaties te registreren en op te volgen</w:t>
      </w:r>
    </w:p>
    <w:p>
      <w:pPr>
        <w:pStyle w:val="ListBullet"/>
      </w:pPr>
      <w:r>
        <w:rPr>
          <w:sz w:val="22"/>
        </w:rPr>
        <w:t>Kwalificaties, trainingen en audits te beheren</w:t>
      </w:r>
    </w:p>
    <w:p>
      <w:pPr>
        <w:pStyle w:val="ListBullet"/>
      </w:pPr>
      <w:r>
        <w:rPr>
          <w:sz w:val="22"/>
        </w:rPr>
        <w:t>Snelle toegang te bieden tot HSEQ-expertise via de AI-gestuurde HSEQ Advisor</w:t>
      </w:r>
    </w:p>
    <w:p>
      <w:r>
        <w:rPr>
          <w:rFonts w:ascii="Calibri" w:hAnsi="Calibri"/>
          <w:color w:val="374151"/>
          <w:sz w:val="22"/>
        </w:rPr>
        <w:t>De doelgroep bestaat uit HSEQ-professionals die werken bij BRZO/Seveso-bedrijven in Nederland, waaronder chemische industrie, opslag en overslag, en energiebedrijven.</w:t>
      </w:r>
    </w:p>
    <w:p>
      <w:pPr>
        <w:pStyle w:val="Heading2"/>
      </w:pPr>
      <w:r>
        <w:t>1.3 Systeemvereisten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
              <w:rPr>
                <w:rFonts w:ascii="Calibri" w:hAnsi="Calibri"/>
                <w:b/>
                <w:color w:val="FFFFFF"/>
                <w:sz w:val="20"/>
              </w:rPr>
              <w:t>Vereiste</w:t>
            </w:r>
          </w:p>
        </w:tc>
        <w:tc>
          <w:tcPr>
            <w:tcW w:type="dxa" w:w="4703"/>
            <w:shd w:fill="003366"/>
          </w:tcPr>
          <w:p>
            <w:pPr>
              <w:jc w:val="center"/>
            </w:pPr>
            <w:r/>
            <w:r>
              <w:rPr>
                <w:rFonts w:ascii="Calibri" w:hAnsi="Calibri"/>
                <w:b/>
                <w:color w:val="FFFFFF"/>
                <w:sz w:val="20"/>
              </w:rPr>
              <w:t>Specificatie</w:t>
            </w:r>
          </w:p>
        </w:tc>
      </w:tr>
      <w:tr>
        <w:tc>
          <w:tcPr>
            <w:tcW w:type="dxa" w:w="4703"/>
          </w:tcPr>
          <w:p>
            <w:r/>
            <w:r>
              <w:rPr>
                <w:rFonts w:ascii="Calibri" w:hAnsi="Calibri"/>
                <w:color w:val="374151"/>
                <w:sz w:val="20"/>
              </w:rPr>
              <w:t>Browser</w:t>
            </w:r>
          </w:p>
        </w:tc>
        <w:tc>
          <w:tcPr>
            <w:tcW w:type="dxa" w:w="4703"/>
          </w:tcPr>
          <w:p>
            <w:r/>
            <w:r>
              <w:rPr>
                <w:rFonts w:ascii="Calibri" w:hAnsi="Calibri"/>
                <w:color w:val="374151"/>
                <w:sz w:val="20"/>
              </w:rPr>
              <w:t>Chrome, Firefox, Safari, Edge (laatste 2 versies)</w:t>
            </w:r>
          </w:p>
        </w:tc>
      </w:tr>
      <w:tr>
        <w:tc>
          <w:tcPr>
            <w:tcW w:type="dxa" w:w="4703"/>
            <w:shd w:fill="F8F9FA"/>
          </w:tcPr>
          <w:p>
            <w:r/>
            <w:r>
              <w:rPr>
                <w:rFonts w:ascii="Calibri" w:hAnsi="Calibri"/>
                <w:color w:val="374151"/>
                <w:sz w:val="20"/>
              </w:rPr>
              <w:t>Internet</w:t>
            </w:r>
          </w:p>
        </w:tc>
        <w:tc>
          <w:tcPr>
            <w:tcW w:type="dxa" w:w="4703"/>
            <w:shd w:fill="F8F9FA"/>
          </w:tcPr>
          <w:p>
            <w:r/>
            <w:r>
              <w:rPr>
                <w:rFonts w:ascii="Calibri" w:hAnsi="Calibri"/>
                <w:color w:val="374151"/>
                <w:sz w:val="20"/>
              </w:rPr>
              <w:t>Stabiele verbinding vereist (cloud-based)</w:t>
            </w:r>
          </w:p>
        </w:tc>
      </w:tr>
      <w:tr>
        <w:tc>
          <w:tcPr>
            <w:tcW w:type="dxa" w:w="4703"/>
          </w:tcPr>
          <w:p>
            <w:r/>
            <w:r>
              <w:rPr>
                <w:rFonts w:ascii="Calibri" w:hAnsi="Calibri"/>
                <w:color w:val="374151"/>
                <w:sz w:val="20"/>
              </w:rPr>
              <w:t>Mobiel</w:t>
            </w:r>
          </w:p>
        </w:tc>
        <w:tc>
          <w:tcPr>
            <w:tcW w:type="dxa" w:w="4703"/>
          </w:tcPr>
          <w:p>
            <w:r/>
            <w:r>
              <w:rPr>
                <w:rFonts w:ascii="Calibri" w:hAnsi="Calibri"/>
                <w:color w:val="374151"/>
                <w:sz w:val="20"/>
              </w:rPr>
              <w:t>Responsive — iOS 15+ en Android 12+</w:t>
            </w:r>
          </w:p>
        </w:tc>
      </w:tr>
      <w:tr>
        <w:tc>
          <w:tcPr>
            <w:tcW w:type="dxa" w:w="4703"/>
            <w:shd w:fill="F8F9FA"/>
          </w:tcPr>
          <w:p>
            <w:r/>
            <w:r>
              <w:rPr>
                <w:rFonts w:ascii="Calibri" w:hAnsi="Calibri"/>
                <w:color w:val="374151"/>
                <w:sz w:val="20"/>
              </w:rPr>
              <w:t>Scherm</w:t>
            </w:r>
          </w:p>
        </w:tc>
        <w:tc>
          <w:tcPr>
            <w:tcW w:type="dxa" w:w="4703"/>
            <w:shd w:fill="F8F9FA"/>
          </w:tcPr>
          <w:p>
            <w:r/>
            <w:r>
              <w:rPr>
                <w:rFonts w:ascii="Calibri" w:hAnsi="Calibri"/>
                <w:color w:val="374151"/>
                <w:sz w:val="20"/>
              </w:rPr>
              <w:t>Min. 320px (mobiel), optimaal 1280px+ (desktop)</w:t>
            </w:r>
          </w:p>
        </w:tc>
      </w:tr>
      <w:tr>
        <w:tc>
          <w:tcPr>
            <w:tcW w:type="dxa" w:w="4703"/>
          </w:tcPr>
          <w:p>
            <w:r/>
            <w:r>
              <w:rPr>
                <w:rFonts w:ascii="Calibri" w:hAnsi="Calibri"/>
                <w:color w:val="374151"/>
                <w:sz w:val="20"/>
              </w:rPr>
              <w:t>JavaScript</w:t>
            </w:r>
          </w:p>
        </w:tc>
        <w:tc>
          <w:tcPr>
            <w:tcW w:type="dxa" w:w="4703"/>
          </w:tcPr>
          <w:p>
            <w:r/>
            <w:r>
              <w:rPr>
                <w:rFonts w:ascii="Calibri" w:hAnsi="Calibri"/>
                <w:color w:val="374151"/>
                <w:sz w:val="20"/>
              </w:rPr>
              <w:t>Ingeschakeld (vereist voor interactieve elementen)</w:t>
            </w:r>
          </w:p>
        </w:tc>
      </w:tr>
    </w:tbl>
    <w:p>
      <w:r>
        <w:br w:type="page"/>
      </w:r>
    </w:p>
    <w:p>
      <w:pPr>
        <w:pStyle w:val="Heading1"/>
      </w:pPr>
      <w:r>
        <w:t>2. Navigatie &amp; Interface</w:t>
      </w:r>
    </w:p>
    <w:p>
      <w:pPr>
        <w:pStyle w:val="Heading2"/>
      </w:pPr>
      <w:r>
        <w:t>2.1 Sidebar navigatie</w:t>
      </w:r>
    </w:p>
    <w:p>
      <w:r>
        <w:rPr>
          <w:rFonts w:ascii="Calibri" w:hAnsi="Calibri"/>
          <w:color w:val="374151"/>
          <w:sz w:val="22"/>
        </w:rPr>
        <w:t>De sidebar bevindt zich aan de linkerkant van het scherm en biedt directe toegang tot alle modules, diensten en tools. De sidebar toont de vijf hoofdmodules, de dienstenpagina's en de gereedschappen.</w:t>
      </w:r>
    </w:p>
    <w:p>
      <w:r>
        <w:rPr>
          <w:rFonts w:ascii="Calibri" w:hAnsi="Calibri"/>
          <w:color w:val="374151"/>
          <w:sz w:val="22"/>
        </w:rPr>
        <w:t>Navigatie-elementen:</w:t>
      </w:r>
    </w:p>
    <w:p>
      <w:pPr>
        <w:pStyle w:val="ListBullet"/>
      </w:pPr>
      <w:r>
        <w:rPr>
          <w:rFonts w:ascii="Calibri" w:hAnsi="Calibri"/>
          <w:b/>
          <w:sz w:val="22"/>
        </w:rPr>
        <w:t xml:space="preserve">Modules: </w:t>
      </w:r>
      <w:r>
        <w:rPr>
          <w:sz w:val="22"/>
        </w:rPr>
        <w:t>Module-iconen met beschrijving — klik om direct naar de module te gaan</w:t>
      </w:r>
    </w:p>
    <w:p>
      <w:pPr>
        <w:pStyle w:val="ListBullet"/>
      </w:pPr>
      <w:r>
        <w:rPr>
          <w:rFonts w:ascii="Calibri" w:hAnsi="Calibri"/>
          <w:b/>
          <w:sz w:val="22"/>
        </w:rPr>
        <w:t xml:space="preserve">Diensten: </w:t>
      </w:r>
      <w:r>
        <w:rPr>
          <w:sz w:val="22"/>
        </w:rPr>
        <w:t>Snelkoppelingen naar Arbo, BRZO, Milieu, KAM, Training en Energie</w:t>
      </w:r>
    </w:p>
    <w:p>
      <w:pPr>
        <w:pStyle w:val="ListBullet"/>
      </w:pPr>
      <w:r>
        <w:rPr>
          <w:rFonts w:ascii="Calibri" w:hAnsi="Calibri"/>
          <w:b/>
          <w:sz w:val="22"/>
        </w:rPr>
        <w:t xml:space="preserve">Tools: </w:t>
      </w:r>
      <w:r>
        <w:rPr>
          <w:sz w:val="22"/>
        </w:rPr>
        <w:t>Kennisbank, HSEQ Advisor, Upload, Compliance en Market Intelligence</w:t>
      </w:r>
    </w:p>
    <w:p>
      <w:pPr>
        <w:pStyle w:val="Heading2"/>
      </w:pPr>
      <w:r>
        <w:t>2.2 Hamburger menu</w:t>
      </w:r>
    </w:p>
    <w:p>
      <w:r>
        <w:rPr>
          <w:rFonts w:ascii="Calibri" w:hAnsi="Calibri"/>
          <w:color w:val="374151"/>
          <w:sz w:val="22"/>
        </w:rPr>
        <w:t>Op desktop is de sidebar standaard zichtbaar. Op kleinere schermen verschijnt een hamburger-menu (☰) rechtsboven in de header. Tik op het icoon om de navigatie uit te vouwen of te sluiten.</w:t>
      </w:r>
    </w:p>
    <w:p>
      <w:pPr>
        <w:pStyle w:val="Heading2"/>
      </w:pPr>
      <w:r>
        <w:t>2.3 Responsive design</w:t>
      </w:r>
    </w:p>
    <w:p>
      <w:r>
        <w:rPr>
          <w:rFonts w:ascii="Calibri" w:hAnsi="Calibri"/>
          <w:color w:val="374151"/>
          <w:sz w:val="22"/>
        </w:rPr>
        <w:t>Het dashboard is volledig responsive. Op desktop worden alle elementen naast elkaar getoond; op tablet en mobiel worden elementen gestapeld en tabellen horizontaal scrollbaar. De incidentmeldingsknop is mobile-first geoptimaliseerd.</w:t>
      </w:r>
    </w:p>
    <w:p>
      <w:pPr>
        <w:pStyle w:val="Heading2"/>
      </w:pPr>
      <w:r>
        <w:t>2.4 Header en breadcrumb</w:t>
      </w:r>
    </w:p>
    <w:p>
      <w:r>
        <w:rPr>
          <w:rFonts w:ascii="Calibri" w:hAnsi="Calibri"/>
          <w:color w:val="374151"/>
          <w:sz w:val="22"/>
        </w:rPr>
        <w:t>De header toont de paginatitel en het hamburger-menu. Een breadcrumb-navigatie bovenaan de content toont het pad, bijvoorbeeld: Dashboard &gt; Module 3 — MoC &amp; PtW &gt; Werkvergunning aanmaken. Elk element is klikbaar.</w:t>
      </w:r>
    </w:p>
    <w:p>
      <w:r>
        <w:br w:type="page"/>
      </w:r>
    </w:p>
    <w:p>
      <w:pPr>
        <w:pStyle w:val="Heading1"/>
      </w:pPr>
      <w:r>
        <w:t>3. Dashboard Hoofdpagina</w:t>
      </w:r>
    </w:p>
    <w:p>
      <w:r>
        <w:rPr>
          <w:rFonts w:ascii="Calibri" w:hAnsi="Calibri"/>
          <w:color w:val="374151"/>
          <w:sz w:val="22"/>
        </w:rPr>
        <w:t>De hoofdpagina is het startpunt en biedt een executive samenvatting van de HSEQ-status. URL: /hseq-dashboard/</w:t>
      </w:r>
    </w:p>
    <w:p>
      <w:pPr>
        <w:pStyle w:val="Heading2"/>
      </w:pPr>
      <w:r>
        <w:t>3.1 KPI widgets</w:t>
      </w:r>
    </w:p>
    <w:p>
      <w:r>
        <w:rPr>
          <w:rFonts w:ascii="Calibri" w:hAnsi="Calibri"/>
          <w:color w:val="374151"/>
          <w:sz w:val="22"/>
        </w:rPr>
        <w:t>De volgende KPI-kaartjes worden weergegeven: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20"/>
              </w:rPr>
              <w:t>KPI</w:t>
            </w:r>
          </w:p>
        </w:tc>
        <w:tc>
          <w:tcPr>
            <w:tcW w:type="dxa" w:w="3135"/>
            <w:shd w:fill="003366"/>
          </w:tcPr>
          <w:p>
            <w:pPr>
              <w:jc w:val="center"/>
            </w:pPr>
            <w:r/>
            <w:r>
              <w:rPr>
                <w:rFonts w:ascii="Calibri" w:hAnsi="Calibri"/>
                <w:b/>
                <w:color w:val="FFFFFF"/>
                <w:sz w:val="20"/>
              </w:rPr>
              <w:t>Beschrijving</w:t>
            </w:r>
          </w:p>
        </w:tc>
        <w:tc>
          <w:tcPr>
            <w:tcW w:type="dxa" w:w="3135"/>
            <w:shd w:fill="003366"/>
          </w:tcPr>
          <w:p>
            <w:pPr>
              <w:jc w:val="center"/>
            </w:pPr>
            <w:r/>
            <w:r>
              <w:rPr>
                <w:rFonts w:ascii="Calibri" w:hAnsi="Calibri"/>
                <w:b/>
                <w:color w:val="FFFFFF"/>
                <w:sz w:val="20"/>
              </w:rPr>
              <w:t>Link naar</w:t>
            </w:r>
          </w:p>
        </w:tc>
      </w:tr>
      <w:tr>
        <w:tc>
          <w:tcPr>
            <w:tcW w:type="dxa" w:w="3135"/>
          </w:tcPr>
          <w:p>
            <w:r/>
            <w:r>
              <w:rPr>
                <w:rFonts w:ascii="Calibri" w:hAnsi="Calibri"/>
                <w:color w:val="374151"/>
                <w:sz w:val="20"/>
              </w:rPr>
              <w:t>PBZO Compliance</w:t>
            </w:r>
          </w:p>
        </w:tc>
        <w:tc>
          <w:tcPr>
            <w:tcW w:type="dxa" w:w="3135"/>
          </w:tcPr>
          <w:p>
            <w:r/>
            <w:r>
              <w:rPr>
                <w:rFonts w:ascii="Calibri" w:hAnsi="Calibri"/>
                <w:color w:val="374151"/>
                <w:sz w:val="20"/>
              </w:rPr>
              <w:t>% VBS-elementen dat compliant is</w:t>
            </w:r>
          </w:p>
        </w:tc>
        <w:tc>
          <w:tcPr>
            <w:tcW w:type="dxa" w:w="3135"/>
          </w:tcPr>
          <w:p>
            <w:r/>
            <w:r>
              <w:rPr>
                <w:rFonts w:ascii="Calibri" w:hAnsi="Calibri"/>
                <w:color w:val="374151"/>
                <w:sz w:val="20"/>
              </w:rPr>
              <w:t>Module 1</w:t>
            </w:r>
          </w:p>
        </w:tc>
      </w:tr>
      <w:tr>
        <w:tc>
          <w:tcPr>
            <w:tcW w:type="dxa" w:w="3135"/>
            <w:shd w:fill="F8F9FA"/>
          </w:tcPr>
          <w:p>
            <w:r/>
            <w:r>
              <w:rPr>
                <w:rFonts w:ascii="Calibri" w:hAnsi="Calibri"/>
                <w:color w:val="374151"/>
                <w:sz w:val="20"/>
              </w:rPr>
              <w:t>RI&amp;E Risico's</w:t>
            </w:r>
          </w:p>
        </w:tc>
        <w:tc>
          <w:tcPr>
            <w:tcW w:type="dxa" w:w="3135"/>
            <w:shd w:fill="F8F9FA"/>
          </w:tcPr>
          <w:p>
            <w:r/>
            <w:r>
              <w:rPr>
                <w:rFonts w:ascii="Calibri" w:hAnsi="Calibri"/>
                <w:color w:val="374151"/>
                <w:sz w:val="20"/>
              </w:rPr>
              <w:t>Aantal openstaande risico's</w:t>
            </w:r>
          </w:p>
        </w:tc>
        <w:tc>
          <w:tcPr>
            <w:tcW w:type="dxa" w:w="3135"/>
            <w:shd w:fill="F8F9FA"/>
          </w:tcPr>
          <w:p>
            <w:r/>
            <w:r>
              <w:rPr>
                <w:rFonts w:ascii="Calibri" w:hAnsi="Calibri"/>
                <w:color w:val="374151"/>
                <w:sz w:val="20"/>
              </w:rPr>
              <w:t>Module 2</w:t>
            </w:r>
          </w:p>
        </w:tc>
      </w:tr>
      <w:tr>
        <w:tc>
          <w:tcPr>
            <w:tcW w:type="dxa" w:w="3135"/>
          </w:tcPr>
          <w:p>
            <w:r/>
            <w:r>
              <w:rPr>
                <w:rFonts w:ascii="Calibri" w:hAnsi="Calibri"/>
                <w:color w:val="374151"/>
                <w:sz w:val="20"/>
              </w:rPr>
              <w:t>Actieve PtW's</w:t>
            </w:r>
          </w:p>
        </w:tc>
        <w:tc>
          <w:tcPr>
            <w:tcW w:type="dxa" w:w="3135"/>
          </w:tcPr>
          <w:p>
            <w:r/>
            <w:r>
              <w:rPr>
                <w:rFonts w:ascii="Calibri" w:hAnsi="Calibri"/>
                <w:color w:val="374151"/>
                <w:sz w:val="20"/>
              </w:rPr>
              <w:t>Huidig aantal open vergunningen</w:t>
            </w:r>
          </w:p>
        </w:tc>
        <w:tc>
          <w:tcPr>
            <w:tcW w:type="dxa" w:w="3135"/>
          </w:tcPr>
          <w:p>
            <w:r/>
            <w:r>
              <w:rPr>
                <w:rFonts w:ascii="Calibri" w:hAnsi="Calibri"/>
                <w:color w:val="374151"/>
                <w:sz w:val="20"/>
              </w:rPr>
              <w:t>Module 3</w:t>
            </w:r>
          </w:p>
        </w:tc>
      </w:tr>
      <w:tr>
        <w:tc>
          <w:tcPr>
            <w:tcW w:type="dxa" w:w="3135"/>
            <w:shd w:fill="F8F9FA"/>
          </w:tcPr>
          <w:p>
            <w:r/>
            <w:r>
              <w:rPr>
                <w:rFonts w:ascii="Calibri" w:hAnsi="Calibri"/>
                <w:color w:val="374151"/>
                <w:sz w:val="20"/>
              </w:rPr>
              <w:t>Dagen zonder incident</w:t>
            </w:r>
          </w:p>
        </w:tc>
        <w:tc>
          <w:tcPr>
            <w:tcW w:type="dxa" w:w="3135"/>
            <w:shd w:fill="F8F9FA"/>
          </w:tcPr>
          <w:p>
            <w:r/>
            <w:r>
              <w:rPr>
                <w:rFonts w:ascii="Calibri" w:hAnsi="Calibri"/>
                <w:color w:val="374151"/>
                <w:sz w:val="20"/>
              </w:rPr>
              <w:t>Dagen sinds laatste incident</w:t>
            </w:r>
          </w:p>
        </w:tc>
        <w:tc>
          <w:tcPr>
            <w:tcW w:type="dxa" w:w="3135"/>
            <w:shd w:fill="F8F9FA"/>
          </w:tcPr>
          <w:p>
            <w:r/>
            <w:r>
              <w:rPr>
                <w:rFonts w:ascii="Calibri" w:hAnsi="Calibri"/>
                <w:color w:val="374151"/>
                <w:sz w:val="20"/>
              </w:rPr>
              <w:t>Module 4</w:t>
            </w:r>
          </w:p>
        </w:tc>
      </w:tr>
      <w:tr>
        <w:tc>
          <w:tcPr>
            <w:tcW w:type="dxa" w:w="3135"/>
          </w:tcPr>
          <w:p>
            <w:r/>
            <w:r>
              <w:rPr>
                <w:rFonts w:ascii="Calibri" w:hAnsi="Calibri"/>
                <w:color w:val="374151"/>
                <w:sz w:val="20"/>
              </w:rPr>
              <w:t>Training Gaps</w:t>
            </w:r>
          </w:p>
        </w:tc>
        <w:tc>
          <w:tcPr>
            <w:tcW w:type="dxa" w:w="3135"/>
          </w:tcPr>
          <w:p>
            <w:r/>
            <w:r>
              <w:rPr>
                <w:rFonts w:ascii="Calibri" w:hAnsi="Calibri"/>
                <w:color w:val="374151"/>
                <w:sz w:val="20"/>
              </w:rPr>
              <w:t>Medewerkers met ontbrekende certificeringen</w:t>
            </w:r>
          </w:p>
        </w:tc>
        <w:tc>
          <w:tcPr>
            <w:tcW w:type="dxa" w:w="3135"/>
          </w:tcPr>
          <w:p>
            <w:r/>
            <w:r>
              <w:rPr>
                <w:rFonts w:ascii="Calibri" w:hAnsi="Calibri"/>
                <w:color w:val="374151"/>
                <w:sz w:val="20"/>
              </w:rPr>
              <w:t>Module 5</w:t>
            </w:r>
          </w:p>
        </w:tc>
      </w:tr>
    </w:tbl>
    <w:p>
      <w:r>
        <w:rPr>
          <w:rFonts w:ascii="Calibri" w:hAnsi="Calibri"/>
          <w:color w:val="374151"/>
          <w:sz w:val="22"/>
        </w:rPr>
        <w:t>Elk kaartje is klikbaar. Kleuren geven status aan: groen (goed), oranje (waarschuwing), rood (actie vereist).</w:t>
      </w:r>
    </w:p>
    <w:p>
      <w:pPr>
        <w:pStyle w:val="Heading2"/>
      </w:pPr>
      <w:r>
        <w:t>3.2 HSEQ Intelligence Briefing</w:t>
      </w:r>
    </w:p>
    <w:p>
      <w:r>
        <w:rPr>
          <w:rFonts w:ascii="Calibri" w:hAnsi="Calibri"/>
          <w:color w:val="374151"/>
          <w:sz w:val="22"/>
        </w:rPr>
        <w:t>Het dashboard genereert automatisch een Intelligence Briefing — een samenvattende analyse met AI-adviezen, prioriteiten en aanbevolen acties op basis van actuele data uit alle modules. Bijgewerkt bij elke pagina-lading.</w:t>
      </w:r>
    </w:p>
    <w:p>
      <w:pPr>
        <w:pStyle w:val="Heading2"/>
      </w:pPr>
      <w:r>
        <w:t>3.3 Module links</w:t>
      </w:r>
    </w:p>
    <w:p>
      <w:r>
        <w:rPr>
          <w:rFonts w:ascii="Calibri" w:hAnsi="Calibri"/>
          <w:color w:val="374151"/>
          <w:sz w:val="22"/>
        </w:rPr>
        <w:t>Onder de KPI-sectie toont een grid met de vijf hoofdmodules. Elke modulekaart bevat een korte beschrijving en actuele status. Klik om te openen.</w:t>
      </w:r>
    </w:p>
    <w:p>
      <w:r>
        <w:br w:type="page"/>
      </w:r>
    </w:p>
    <w:p>
      <w:pPr>
        <w:pStyle w:val="Heading1"/>
      </w:pPr>
      <w:r>
        <w:t>4. Module 1 — PBZO Compliance Tracker</w:t>
      </w:r>
    </w:p>
    <w:p>
      <w:r>
        <w:rPr>
          <w:rFonts w:ascii="Calibri" w:hAnsi="Calibri"/>
          <w:color w:val="374151"/>
          <w:sz w:val="22"/>
        </w:rPr>
        <w:t>URL: /hseq-dashboard/pbzo</w:t>
      </w:r>
    </w:p>
    <w:p>
      <w:pPr>
        <w:pStyle w:val="Heading2"/>
      </w:pPr>
      <w:r>
        <w:t>4.1 VBS-elementen tracking</w:t>
      </w:r>
    </w:p>
    <w:p>
      <w:r>
        <w:rPr>
          <w:rFonts w:ascii="Calibri" w:hAnsi="Calibri"/>
          <w:color w:val="374151"/>
          <w:sz w:val="22"/>
        </w:rPr>
        <w:t>De PBZO Compliance Tracker bewaakt de zeven VBS-elementen uit het BRZO/Seveso-kader. Per element wordt het compliance-niveau bijgehouden:</w:t>
      </w:r>
    </w:p>
    <w:p>
      <w:pPr>
        <w:pStyle w:val="ListBullet"/>
      </w:pPr>
      <w:r>
        <w:rPr>
          <w:rFonts w:ascii="Calibri" w:hAnsi="Calibri"/>
          <w:b/>
          <w:sz w:val="22"/>
        </w:rPr>
        <w:t xml:space="preserve">Compliant — </w:t>
      </w:r>
      <w:r>
        <w:rPr>
          <w:sz w:val="22"/>
        </w:rPr>
        <w:t>Groen: volledig compliant</w:t>
      </w:r>
    </w:p>
    <w:p>
      <w:pPr>
        <w:pStyle w:val="ListBullet"/>
      </w:pPr>
      <w:r>
        <w:rPr>
          <w:rFonts w:ascii="Calibri" w:hAnsi="Calibri"/>
          <w:b/>
          <w:sz w:val="22"/>
        </w:rPr>
        <w:t xml:space="preserve">Deels compliant — </w:t>
      </w:r>
      <w:r>
        <w:rPr>
          <w:sz w:val="22"/>
        </w:rPr>
        <w:t>Oranje: gedeeltelijk compliant, actie nodig</w:t>
      </w:r>
    </w:p>
    <w:p>
      <w:pPr>
        <w:pStyle w:val="ListBullet"/>
      </w:pPr>
      <w:r>
        <w:rPr>
          <w:rFonts w:ascii="Calibri" w:hAnsi="Calibri"/>
          <w:b/>
          <w:sz w:val="22"/>
        </w:rPr>
        <w:t xml:space="preserve">Niet compliant — </w:t>
      </w:r>
      <w:r>
        <w:rPr>
          <w:sz w:val="22"/>
        </w:rPr>
        <w:t>Rood: niet-compliant, urgent</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
              <w:rPr>
                <w:rFonts w:ascii="Calibri" w:hAnsi="Calibri"/>
                <w:b/>
                <w:color w:val="FFFFFF"/>
                <w:sz w:val="20"/>
              </w:rPr>
              <w:t>Element</w:t>
            </w:r>
          </w:p>
        </w:tc>
        <w:tc>
          <w:tcPr>
            <w:tcW w:type="dxa" w:w="4703"/>
            <w:shd w:fill="003366"/>
          </w:tcPr>
          <w:p>
            <w:pPr>
              <w:jc w:val="center"/>
            </w:pPr>
            <w:r/>
            <w:r>
              <w:rPr>
                <w:rFonts w:ascii="Calibri" w:hAnsi="Calibri"/>
                <w:b/>
                <w:color w:val="FFFFFF"/>
                <w:sz w:val="20"/>
              </w:rPr>
              <w:t>Beschrijving</w:t>
            </w:r>
          </w:p>
        </w:tc>
      </w:tr>
      <w:tr>
        <w:tc>
          <w:tcPr>
            <w:tcW w:type="dxa" w:w="4703"/>
          </w:tcPr>
          <w:p>
            <w:r/>
            <w:r>
              <w:rPr>
                <w:rFonts w:ascii="Calibri" w:hAnsi="Calibri"/>
                <w:color w:val="374151"/>
                <w:sz w:val="20"/>
              </w:rPr>
              <w:t>VBS 1</w:t>
            </w:r>
          </w:p>
        </w:tc>
        <w:tc>
          <w:tcPr>
            <w:tcW w:type="dxa" w:w="4703"/>
          </w:tcPr>
          <w:p>
            <w:r/>
            <w:r>
              <w:rPr>
                <w:rFonts w:ascii="Calibri" w:hAnsi="Calibri"/>
                <w:color w:val="374151"/>
                <w:sz w:val="20"/>
              </w:rPr>
              <w:t>Beleid en organisatie</w:t>
            </w:r>
          </w:p>
        </w:tc>
      </w:tr>
      <w:tr>
        <w:tc>
          <w:tcPr>
            <w:tcW w:type="dxa" w:w="4703"/>
            <w:shd w:fill="F8F9FA"/>
          </w:tcPr>
          <w:p>
            <w:r/>
            <w:r>
              <w:rPr>
                <w:rFonts w:ascii="Calibri" w:hAnsi="Calibri"/>
                <w:color w:val="374151"/>
                <w:sz w:val="20"/>
              </w:rPr>
              <w:t>VBS 2</w:t>
            </w:r>
          </w:p>
        </w:tc>
        <w:tc>
          <w:tcPr>
            <w:tcW w:type="dxa" w:w="4703"/>
            <w:shd w:fill="F8F9FA"/>
          </w:tcPr>
          <w:p>
            <w:r/>
            <w:r>
              <w:rPr>
                <w:rFonts w:ascii="Calibri" w:hAnsi="Calibri"/>
                <w:color w:val="374151"/>
                <w:sz w:val="20"/>
              </w:rPr>
              <w:t>Identificatie en evaluatie van gevaren</w:t>
            </w:r>
          </w:p>
        </w:tc>
      </w:tr>
      <w:tr>
        <w:tc>
          <w:tcPr>
            <w:tcW w:type="dxa" w:w="4703"/>
          </w:tcPr>
          <w:p>
            <w:r/>
            <w:r>
              <w:rPr>
                <w:rFonts w:ascii="Calibri" w:hAnsi="Calibri"/>
                <w:color w:val="374151"/>
                <w:sz w:val="20"/>
              </w:rPr>
              <w:t>VBS 3</w:t>
            </w:r>
          </w:p>
        </w:tc>
        <w:tc>
          <w:tcPr>
            <w:tcW w:type="dxa" w:w="4703"/>
          </w:tcPr>
          <w:p>
            <w:r/>
            <w:r>
              <w:rPr>
                <w:rFonts w:ascii="Calibri" w:hAnsi="Calibri"/>
                <w:color w:val="374151"/>
                <w:sz w:val="20"/>
              </w:rPr>
              <w:t>Beheersmaatregelen — operationele veiligheid</w:t>
            </w:r>
          </w:p>
        </w:tc>
      </w:tr>
      <w:tr>
        <w:tc>
          <w:tcPr>
            <w:tcW w:type="dxa" w:w="4703"/>
            <w:shd w:fill="F8F9FA"/>
          </w:tcPr>
          <w:p>
            <w:r/>
            <w:r>
              <w:rPr>
                <w:rFonts w:ascii="Calibri" w:hAnsi="Calibri"/>
                <w:color w:val="374151"/>
                <w:sz w:val="20"/>
              </w:rPr>
              <w:t>VBS 4</w:t>
            </w:r>
          </w:p>
        </w:tc>
        <w:tc>
          <w:tcPr>
            <w:tcW w:type="dxa" w:w="4703"/>
            <w:shd w:fill="F8F9FA"/>
          </w:tcPr>
          <w:p>
            <w:r/>
            <w:r>
              <w:rPr>
                <w:rFonts w:ascii="Calibri" w:hAnsi="Calibri"/>
                <w:color w:val="374151"/>
                <w:sz w:val="20"/>
              </w:rPr>
              <w:t>Beheersmaatregelen — noodzaak en planning</w:t>
            </w:r>
          </w:p>
        </w:tc>
      </w:tr>
      <w:tr>
        <w:tc>
          <w:tcPr>
            <w:tcW w:type="dxa" w:w="4703"/>
          </w:tcPr>
          <w:p>
            <w:r/>
            <w:r>
              <w:rPr>
                <w:rFonts w:ascii="Calibri" w:hAnsi="Calibri"/>
                <w:color w:val="374151"/>
                <w:sz w:val="20"/>
              </w:rPr>
              <w:t>VBS 5</w:t>
            </w:r>
          </w:p>
        </w:tc>
        <w:tc>
          <w:tcPr>
            <w:tcW w:type="dxa" w:w="4703"/>
          </w:tcPr>
          <w:p>
            <w:r/>
            <w:r>
              <w:rPr>
                <w:rFonts w:ascii="Calibri" w:hAnsi="Calibri"/>
                <w:color w:val="374151"/>
                <w:sz w:val="20"/>
              </w:rPr>
              <w:t>Informatievoorziening en documentatie</w:t>
            </w:r>
          </w:p>
        </w:tc>
      </w:tr>
      <w:tr>
        <w:tc>
          <w:tcPr>
            <w:tcW w:type="dxa" w:w="4703"/>
            <w:shd w:fill="F8F9FA"/>
          </w:tcPr>
          <w:p>
            <w:r/>
            <w:r>
              <w:rPr>
                <w:rFonts w:ascii="Calibri" w:hAnsi="Calibri"/>
                <w:color w:val="374151"/>
                <w:sz w:val="20"/>
              </w:rPr>
              <w:t>VBS 6</w:t>
            </w:r>
          </w:p>
        </w:tc>
        <w:tc>
          <w:tcPr>
            <w:tcW w:type="dxa" w:w="4703"/>
            <w:shd w:fill="F8F9FA"/>
          </w:tcPr>
          <w:p>
            <w:r/>
            <w:r>
              <w:rPr>
                <w:rFonts w:ascii="Calibri" w:hAnsi="Calibri"/>
                <w:color w:val="374151"/>
                <w:sz w:val="20"/>
              </w:rPr>
              <w:t>Audit en review</w:t>
            </w:r>
          </w:p>
        </w:tc>
      </w:tr>
      <w:tr>
        <w:tc>
          <w:tcPr>
            <w:tcW w:type="dxa" w:w="4703"/>
          </w:tcPr>
          <w:p>
            <w:r/>
            <w:r>
              <w:rPr>
                <w:rFonts w:ascii="Calibri" w:hAnsi="Calibri"/>
                <w:color w:val="374151"/>
                <w:sz w:val="20"/>
              </w:rPr>
              <w:t>VBS 7</w:t>
            </w:r>
          </w:p>
        </w:tc>
        <w:tc>
          <w:tcPr>
            <w:tcW w:type="dxa" w:w="4703"/>
          </w:tcPr>
          <w:p>
            <w:r/>
            <w:r>
              <w:rPr>
                <w:rFonts w:ascii="Calibri" w:hAnsi="Calibri"/>
                <w:color w:val="374151"/>
                <w:sz w:val="20"/>
              </w:rPr>
              <w:t>Crisismanagement en noodsituaties</w:t>
            </w:r>
          </w:p>
        </w:tc>
      </w:tr>
    </w:tbl>
    <w:p>
      <w:pPr>
        <w:pStyle w:val="Heading2"/>
      </w:pPr>
      <w:r>
        <w:t>4.2 PDCA board</w:t>
      </w:r>
    </w:p>
    <w:p>
      <w:r>
        <w:rPr>
          <w:rFonts w:ascii="Calibri" w:hAnsi="Calibri"/>
          <w:color w:val="374151"/>
          <w:sz w:val="22"/>
        </w:rPr>
        <w:t>Per VBS-element kan een PDCA-cyclus worden bijgehouden met vier kolommen: Plan, Do, Check en Act. Elke kolom bevat acties die aan het element zijn gekoppeld. Sleep acties tussen kolommen om voortgang bij te werken.</w:t>
      </w:r>
    </w:p>
    <w:p>
      <w:pPr>
        <w:pStyle w:val="Heading2"/>
      </w:pPr>
      <w:r>
        <w:t>4.3 Status bewerken</w:t>
      </w:r>
    </w:p>
    <w:p>
      <w:r>
        <w:rPr>
          <w:rFonts w:ascii="Calibri" w:hAnsi="Calibri"/>
          <w:color w:val="374151"/>
          <w:sz w:val="22"/>
        </w:rPr>
        <w:t>Klik op een element om de status, opmerkingen, verantwoordelijke en streefdatum te wijzigen. Wijzigingen worden direct opgeslagen en weerspiegeld in de KPI op het hoofddashboard.</w:t>
      </w:r>
    </w:p>
    <w:p>
      <w:r>
        <w:br w:type="page"/>
      </w:r>
    </w:p>
    <w:p>
      <w:pPr>
        <w:pStyle w:val="Heading1"/>
      </w:pPr>
      <w:r>
        <w:t>5. Module 2 — RI&amp;E / HAZOP Dashboard</w:t>
      </w:r>
    </w:p>
    <w:p>
      <w:r>
        <w:rPr>
          <w:rFonts w:ascii="Calibri" w:hAnsi="Calibri"/>
          <w:color w:val="374151"/>
          <w:sz w:val="22"/>
        </w:rPr>
        <w:t>URL: /hseq-dashboard/rie</w:t>
      </w:r>
    </w:p>
    <w:p>
      <w:pPr>
        <w:pStyle w:val="Heading2"/>
      </w:pPr>
      <w:r>
        <w:t>5.1 Risicomatrix</w:t>
      </w:r>
    </w:p>
    <w:p>
      <w:r>
        <w:rPr>
          <w:rFonts w:ascii="Calibri" w:hAnsi="Calibri"/>
          <w:color w:val="374151"/>
          <w:sz w:val="22"/>
        </w:rPr>
        <w:t>De risicomatrix is een 5×5-grid met waarschijnlijkheid (Y-as) en ernst (X-as). Kleurcodering: groen (laag), geel (matig), oranje (hoog), rood (kritiek). Risico's worden als punten geplaatst op basis van hun beoordeling.</w:t>
      </w:r>
    </w:p>
    <w:p>
      <w:pPr>
        <w:pStyle w:val="Heading2"/>
      </w:pPr>
      <w:r>
        <w:t>5.2 Stoffenbeheersing</w:t>
      </w:r>
    </w:p>
    <w:p>
      <w:r>
        <w:rPr>
          <w:rFonts w:ascii="Calibri" w:hAnsi="Calibri"/>
          <w:color w:val="374151"/>
          <w:sz w:val="22"/>
        </w:rPr>
        <w:t>Het stofregister bevat alle gevaarlijke stoffen. Per stof:</w:t>
      </w:r>
    </w:p>
    <w:p>
      <w:pPr>
        <w:pStyle w:val="ListBullet"/>
      </w:pPr>
      <w:r>
        <w:rPr>
          <w:sz w:val="22"/>
        </w:rPr>
        <w:t>Stofnaam, CAS-nummer en GHS-classificatie</w:t>
      </w:r>
    </w:p>
    <w:p>
      <w:pPr>
        <w:pStyle w:val="ListBullet"/>
      </w:pPr>
      <w:r>
        <w:rPr>
          <w:sz w:val="22"/>
        </w:rPr>
        <w:t>Blootstellingslimieten (MAC-waarden, wettelijke grenzen)</w:t>
      </w:r>
    </w:p>
    <w:p>
      <w:pPr>
        <w:pStyle w:val="ListBullet"/>
      </w:pPr>
      <w:r>
        <w:rPr>
          <w:sz w:val="22"/>
        </w:rPr>
        <w:t>Opslaglocatie en maximale hoeveelheden</w:t>
      </w:r>
    </w:p>
    <w:p>
      <w:pPr>
        <w:pStyle w:val="ListBullet"/>
      </w:pPr>
      <w:r>
        <w:rPr>
          <w:sz w:val="22"/>
        </w:rPr>
        <w:t>Beheersmaatregelen (PBM, ventilatie, procedures)</w:t>
      </w:r>
    </w:p>
    <w:p>
      <w:r>
        <w:rPr>
          <w:rFonts w:ascii="Calibri" w:hAnsi="Calibri"/>
          <w:color w:val="374151"/>
          <w:sz w:val="22"/>
        </w:rPr>
        <w:t>Bij het toevoegen biedt de suggestiefunctie automatisch stofsuggesties inclusief CAS-nummers en classificaties.</w:t>
      </w:r>
    </w:p>
    <w:p>
      <w:pPr>
        <w:pStyle w:val="Heading2"/>
      </w:pPr>
      <w:r>
        <w:t>5.3 HAZOP studies</w:t>
      </w:r>
    </w:p>
    <w:p>
      <w:r>
        <w:rPr>
          <w:rFonts w:ascii="Calibri" w:hAnsi="Calibri"/>
          <w:color w:val="374151"/>
          <w:sz w:val="22"/>
        </w:rPr>
        <w:t>HAZOP-studies kunnen worden aangemaakt, bewerkt en gearchiveerd. Per studie worden guide words, parameters, afwijkingen, oorzaken, gevolgen en beheersmaatregelen vastgelegd. Risicoscenario's koppelen direct aan de risicomatrix. Ondersteunt meerdere studies met versiebeheer.</w:t>
      </w:r>
    </w:p>
    <w:p>
      <w:pPr>
        <w:pStyle w:val="Heading2"/>
      </w:pPr>
      <w:r>
        <w:t>5.4 Data bewerken en filteren</w:t>
      </w:r>
    </w:p>
    <w:p>
      <w:r>
        <w:rPr>
          <w:rFonts w:ascii="Calibri" w:hAnsi="Calibri"/>
          <w:color w:val="374151"/>
          <w:sz w:val="22"/>
        </w:rPr>
        <w:t>Filter op stofnaam, risicoklasse, datum of status via de zoekbalk. Bewerk per rij via het bewerk-icoon. Nieuwe items toevoegen via "Toevoegen"-knoppen.</w:t>
      </w:r>
    </w:p>
    <w:p>
      <w:r>
        <w:br w:type="page"/>
      </w:r>
    </w:p>
    <w:p>
      <w:pPr>
        <w:pStyle w:val="Heading1"/>
      </w:pPr>
      <w:r>
        <w:t>6. Module 3 — MoC &amp; PtW</w:t>
      </w:r>
    </w:p>
    <w:p>
      <w:r>
        <w:rPr>
          <w:rFonts w:ascii="Calibri" w:hAnsi="Calibri"/>
          <w:color w:val="374151"/>
          <w:sz w:val="22"/>
        </w:rPr>
        <w:t>URL: /hseq-dashboard/moc-ptw</w:t>
      </w:r>
    </w:p>
    <w:p>
      <w:pPr>
        <w:pStyle w:val="Heading2"/>
      </w:pPr>
      <w:r>
        <w:t>6.1 Management of Change flow</w:t>
      </w:r>
    </w:p>
    <w:p>
      <w:r>
        <w:rPr>
          <w:rFonts w:ascii="Calibri" w:hAnsi="Calibri"/>
          <w:color w:val="374151"/>
          <w:sz w:val="22"/>
        </w:rPr>
        <w:t>De MoC-module begeleidt wijzigingen door een vijf-stappen flow:</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20"/>
              </w:rPr>
              <w:t>Fase</w:t>
            </w:r>
          </w:p>
        </w:tc>
        <w:tc>
          <w:tcPr>
            <w:tcW w:type="dxa" w:w="3135"/>
            <w:shd w:fill="003366"/>
          </w:tcPr>
          <w:p>
            <w:pPr>
              <w:jc w:val="center"/>
            </w:pPr>
            <w:r/>
            <w:r>
              <w:rPr>
                <w:rFonts w:ascii="Calibri" w:hAnsi="Calibri"/>
                <w:b/>
                <w:color w:val="FFFFFF"/>
                <w:sz w:val="20"/>
              </w:rPr>
              <w:t>Beschrijving</w:t>
            </w:r>
          </w:p>
        </w:tc>
        <w:tc>
          <w:tcPr>
            <w:tcW w:type="dxa" w:w="3135"/>
            <w:shd w:fill="003366"/>
          </w:tcPr>
          <w:p>
            <w:pPr>
              <w:jc w:val="center"/>
            </w:pPr>
            <w:r/>
            <w:r>
              <w:rPr>
                <w:rFonts w:ascii="Calibri" w:hAnsi="Calibri"/>
                <w:b/>
                <w:color w:val="FFFFFF"/>
                <w:sz w:val="20"/>
              </w:rPr>
              <w:t>Verantwoordelijke</w:t>
            </w:r>
          </w:p>
        </w:tc>
      </w:tr>
      <w:tr>
        <w:tc>
          <w:tcPr>
            <w:tcW w:type="dxa" w:w="3135"/>
          </w:tcPr>
          <w:p>
            <w:r/>
            <w:r>
              <w:rPr>
                <w:rFonts w:ascii="Calibri" w:hAnsi="Calibri"/>
                <w:color w:val="374151"/>
                <w:sz w:val="20"/>
              </w:rPr>
              <w:t>1. Initiatie</w:t>
            </w:r>
          </w:p>
        </w:tc>
        <w:tc>
          <w:tcPr>
            <w:tcW w:type="dxa" w:w="3135"/>
          </w:tcPr>
          <w:p>
            <w:r/>
            <w:r>
              <w:rPr>
                <w:rFonts w:ascii="Calibri" w:hAnsi="Calibri"/>
                <w:color w:val="374151"/>
                <w:sz w:val="20"/>
              </w:rPr>
              <w:t>Wijziging aanvragen met motivatie en scope</w:t>
            </w:r>
          </w:p>
        </w:tc>
        <w:tc>
          <w:tcPr>
            <w:tcW w:type="dxa" w:w="3135"/>
          </w:tcPr>
          <w:p>
            <w:r/>
            <w:r>
              <w:rPr>
                <w:rFonts w:ascii="Calibri" w:hAnsi="Calibri"/>
                <w:color w:val="374151"/>
                <w:sz w:val="20"/>
              </w:rPr>
              <w:t>Initiator</w:t>
            </w:r>
          </w:p>
        </w:tc>
      </w:tr>
      <w:tr>
        <w:tc>
          <w:tcPr>
            <w:tcW w:type="dxa" w:w="3135"/>
            <w:shd w:fill="F8F9FA"/>
          </w:tcPr>
          <w:p>
            <w:r/>
            <w:r>
              <w:rPr>
                <w:rFonts w:ascii="Calibri" w:hAnsi="Calibri"/>
                <w:color w:val="374151"/>
                <w:sz w:val="20"/>
              </w:rPr>
              <w:t>2. Risicobeoordeling</w:t>
            </w:r>
          </w:p>
        </w:tc>
        <w:tc>
          <w:tcPr>
            <w:tcW w:type="dxa" w:w="3135"/>
            <w:shd w:fill="F8F9FA"/>
          </w:tcPr>
          <w:p>
            <w:r/>
            <w:r>
              <w:rPr>
                <w:rFonts w:ascii="Calibri" w:hAnsi="Calibri"/>
                <w:color w:val="374151"/>
                <w:sz w:val="20"/>
              </w:rPr>
              <w:t>Risicoanalyse van de voorgestelde wijziging</w:t>
            </w:r>
          </w:p>
        </w:tc>
        <w:tc>
          <w:tcPr>
            <w:tcW w:type="dxa" w:w="3135"/>
            <w:shd w:fill="F8F9FA"/>
          </w:tcPr>
          <w:p>
            <w:r/>
            <w:r>
              <w:rPr>
                <w:rFonts w:ascii="Calibri" w:hAnsi="Calibri"/>
                <w:color w:val="374151"/>
                <w:sz w:val="20"/>
              </w:rPr>
              <w:t>HSEQ Manager</w:t>
            </w:r>
          </w:p>
        </w:tc>
      </w:tr>
      <w:tr>
        <w:tc>
          <w:tcPr>
            <w:tcW w:type="dxa" w:w="3135"/>
          </w:tcPr>
          <w:p>
            <w:r/>
            <w:r>
              <w:rPr>
                <w:rFonts w:ascii="Calibri" w:hAnsi="Calibri"/>
                <w:color w:val="374151"/>
                <w:sz w:val="20"/>
              </w:rPr>
              <w:t>3. Goedkeuring</w:t>
            </w:r>
          </w:p>
        </w:tc>
        <w:tc>
          <w:tcPr>
            <w:tcW w:type="dxa" w:w="3135"/>
          </w:tcPr>
          <w:p>
            <w:r/>
            <w:r>
              <w:rPr>
                <w:rFonts w:ascii="Calibri" w:hAnsi="Calibri"/>
                <w:color w:val="374151"/>
                <w:sz w:val="20"/>
              </w:rPr>
              <w:t>Formele goedkeuring door bevoegd gezag</w:t>
            </w:r>
          </w:p>
        </w:tc>
        <w:tc>
          <w:tcPr>
            <w:tcW w:type="dxa" w:w="3135"/>
          </w:tcPr>
          <w:p>
            <w:r/>
            <w:r>
              <w:rPr>
                <w:rFonts w:ascii="Calibri" w:hAnsi="Calibri"/>
                <w:color w:val="374151"/>
                <w:sz w:val="20"/>
              </w:rPr>
              <w:t>Management</w:t>
            </w:r>
          </w:p>
        </w:tc>
      </w:tr>
      <w:tr>
        <w:tc>
          <w:tcPr>
            <w:tcW w:type="dxa" w:w="3135"/>
            <w:shd w:fill="F8F9FA"/>
          </w:tcPr>
          <w:p>
            <w:r/>
            <w:r>
              <w:rPr>
                <w:rFonts w:ascii="Calibri" w:hAnsi="Calibri"/>
                <w:color w:val="374151"/>
                <w:sz w:val="20"/>
              </w:rPr>
              <w:t>4. Implementatie</w:t>
            </w:r>
          </w:p>
        </w:tc>
        <w:tc>
          <w:tcPr>
            <w:tcW w:type="dxa" w:w="3135"/>
            <w:shd w:fill="F8F9FA"/>
          </w:tcPr>
          <w:p>
            <w:r/>
            <w:r>
              <w:rPr>
                <w:rFonts w:ascii="Calibri" w:hAnsi="Calibri"/>
                <w:color w:val="374151"/>
                <w:sz w:val="20"/>
              </w:rPr>
              <w:t>Uitvoering van de wijziging</w:t>
            </w:r>
          </w:p>
        </w:tc>
        <w:tc>
          <w:tcPr>
            <w:tcW w:type="dxa" w:w="3135"/>
            <w:shd w:fill="F8F9FA"/>
          </w:tcPr>
          <w:p>
            <w:r/>
            <w:r>
              <w:rPr>
                <w:rFonts w:ascii="Calibri" w:hAnsi="Calibri"/>
                <w:color w:val="374151"/>
                <w:sz w:val="20"/>
              </w:rPr>
              <w:t>Uitvoerder</w:t>
            </w:r>
          </w:p>
        </w:tc>
      </w:tr>
      <w:tr>
        <w:tc>
          <w:tcPr>
            <w:tcW w:type="dxa" w:w="3135"/>
          </w:tcPr>
          <w:p>
            <w:r/>
            <w:r>
              <w:rPr>
                <w:rFonts w:ascii="Calibri" w:hAnsi="Calibri"/>
                <w:color w:val="374151"/>
                <w:sz w:val="20"/>
              </w:rPr>
              <w:t>5. PSSR</w:t>
            </w:r>
          </w:p>
        </w:tc>
        <w:tc>
          <w:tcPr>
            <w:tcW w:type="dxa" w:w="3135"/>
          </w:tcPr>
          <w:p>
            <w:r/>
            <w:r>
              <w:rPr>
                <w:rFonts w:ascii="Calibri" w:hAnsi="Calibri"/>
                <w:color w:val="374151"/>
                <w:sz w:val="20"/>
              </w:rPr>
              <w:t>Pre-Startup Safety Review</w:t>
            </w:r>
          </w:p>
        </w:tc>
        <w:tc>
          <w:tcPr>
            <w:tcW w:type="dxa" w:w="3135"/>
          </w:tcPr>
          <w:p>
            <w:r/>
            <w:r>
              <w:rPr>
                <w:rFonts w:ascii="Calibri" w:hAnsi="Calibri"/>
                <w:color w:val="374151"/>
                <w:sz w:val="20"/>
              </w:rPr>
              <w:t>HSEQ + Operaties</w:t>
            </w:r>
          </w:p>
        </w:tc>
      </w:tr>
    </w:tbl>
    <w:p>
      <w:r>
        <w:rPr>
          <w:rFonts w:ascii="Calibri" w:hAnsi="Calibri"/>
          <w:color w:val="374151"/>
          <w:sz w:val="22"/>
        </w:rPr>
        <w:t>Elke fase vereist ingevulde velden en juiste goedkeuring. Voortgang wordt visueel weergegeven.</w:t>
      </w:r>
    </w:p>
    <w:p>
      <w:pPr>
        <w:pStyle w:val="Heading2"/>
      </w:pPr>
      <w:r>
        <w:t>6.2 Werkvergunningen aanmaken</w:t>
      </w:r>
    </w:p>
    <w:p>
      <w:r>
        <w:rPr>
          <w:rFonts w:ascii="Calibri" w:hAnsi="Calibri"/>
          <w:color w:val="374151"/>
          <w:sz w:val="22"/>
        </w:rPr>
        <w:t>Nieuwe werkvergunningen via "Nieuwe PtW". Ondersteunde types:</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
              <w:rPr>
                <w:rFonts w:ascii="Calibri" w:hAnsi="Calibri"/>
                <w:b/>
                <w:color w:val="FFFFFF"/>
                <w:sz w:val="20"/>
              </w:rPr>
              <w:t>Type</w:t>
            </w:r>
          </w:p>
        </w:tc>
        <w:tc>
          <w:tcPr>
            <w:tcW w:type="dxa" w:w="4703"/>
            <w:shd w:fill="003366"/>
          </w:tcPr>
          <w:p>
            <w:pPr>
              <w:jc w:val="center"/>
            </w:pPr>
            <w:r/>
            <w:r>
              <w:rPr>
                <w:rFonts w:ascii="Calibri" w:hAnsi="Calibri"/>
                <w:b/>
                <w:color w:val="FFFFFF"/>
                <w:sz w:val="20"/>
              </w:rPr>
              <w:t>Toepassing</w:t>
            </w:r>
          </w:p>
        </w:tc>
      </w:tr>
      <w:tr>
        <w:tc>
          <w:tcPr>
            <w:tcW w:type="dxa" w:w="4703"/>
          </w:tcPr>
          <w:p>
            <w:r/>
            <w:r>
              <w:rPr>
                <w:rFonts w:ascii="Calibri" w:hAnsi="Calibri"/>
                <w:color w:val="374151"/>
                <w:sz w:val="20"/>
              </w:rPr>
              <w:t>General</w:t>
            </w:r>
          </w:p>
        </w:tc>
        <w:tc>
          <w:tcPr>
            <w:tcW w:type="dxa" w:w="4703"/>
          </w:tcPr>
          <w:p>
            <w:r/>
            <w:r>
              <w:rPr>
                <w:rFonts w:ascii="Calibri" w:hAnsi="Calibri"/>
                <w:color w:val="374151"/>
                <w:sz w:val="20"/>
              </w:rPr>
              <w:t>Algemene werkzaamheden</w:t>
            </w:r>
          </w:p>
        </w:tc>
      </w:tr>
      <w:tr>
        <w:tc>
          <w:tcPr>
            <w:tcW w:type="dxa" w:w="4703"/>
            <w:shd w:fill="F8F9FA"/>
          </w:tcPr>
          <w:p>
            <w:r/>
            <w:r>
              <w:rPr>
                <w:rFonts w:ascii="Calibri" w:hAnsi="Calibri"/>
                <w:color w:val="374151"/>
                <w:sz w:val="20"/>
              </w:rPr>
              <w:t>Hot Work</w:t>
            </w:r>
          </w:p>
        </w:tc>
        <w:tc>
          <w:tcPr>
            <w:tcW w:type="dxa" w:w="4703"/>
            <w:shd w:fill="F8F9FA"/>
          </w:tcPr>
          <w:p>
            <w:r/>
            <w:r>
              <w:rPr>
                <w:rFonts w:ascii="Calibri" w:hAnsi="Calibri"/>
                <w:color w:val="374151"/>
                <w:sz w:val="20"/>
              </w:rPr>
              <w:t>Lassen, snijden, slijpen</w:t>
            </w:r>
          </w:p>
        </w:tc>
      </w:tr>
      <w:tr>
        <w:tc>
          <w:tcPr>
            <w:tcW w:type="dxa" w:w="4703"/>
          </w:tcPr>
          <w:p>
            <w:r/>
            <w:r>
              <w:rPr>
                <w:rFonts w:ascii="Calibri" w:hAnsi="Calibri"/>
                <w:color w:val="374151"/>
                <w:sz w:val="20"/>
              </w:rPr>
              <w:t>Confined Space</w:t>
            </w:r>
          </w:p>
        </w:tc>
        <w:tc>
          <w:tcPr>
            <w:tcW w:type="dxa" w:w="4703"/>
          </w:tcPr>
          <w:p>
            <w:r/>
            <w:r>
              <w:rPr>
                <w:rFonts w:ascii="Calibri" w:hAnsi="Calibri"/>
                <w:color w:val="374151"/>
                <w:sz w:val="20"/>
              </w:rPr>
              <w:t>Besloten ruimten</w:t>
            </w:r>
          </w:p>
        </w:tc>
      </w:tr>
      <w:tr>
        <w:tc>
          <w:tcPr>
            <w:tcW w:type="dxa" w:w="4703"/>
            <w:shd w:fill="F8F9FA"/>
          </w:tcPr>
          <w:p>
            <w:r/>
            <w:r>
              <w:rPr>
                <w:rFonts w:ascii="Calibri" w:hAnsi="Calibri"/>
                <w:color w:val="374151"/>
                <w:sz w:val="20"/>
              </w:rPr>
              <w:t>Excavation</w:t>
            </w:r>
          </w:p>
        </w:tc>
        <w:tc>
          <w:tcPr>
            <w:tcW w:type="dxa" w:w="4703"/>
            <w:shd w:fill="F8F9FA"/>
          </w:tcPr>
          <w:p>
            <w:r/>
            <w:r>
              <w:rPr>
                <w:rFonts w:ascii="Calibri" w:hAnsi="Calibri"/>
                <w:color w:val="374151"/>
                <w:sz w:val="20"/>
              </w:rPr>
              <w:t>Graafwerkzaamheden</w:t>
            </w:r>
          </w:p>
        </w:tc>
      </w:tr>
      <w:tr>
        <w:tc>
          <w:tcPr>
            <w:tcW w:type="dxa" w:w="4703"/>
          </w:tcPr>
          <w:p>
            <w:r/>
            <w:r>
              <w:rPr>
                <w:rFonts w:ascii="Calibri" w:hAnsi="Calibri"/>
                <w:color w:val="374151"/>
                <w:sz w:val="20"/>
              </w:rPr>
              <w:t>Electrical</w:t>
            </w:r>
          </w:p>
        </w:tc>
        <w:tc>
          <w:tcPr>
            <w:tcW w:type="dxa" w:w="4703"/>
          </w:tcPr>
          <w:p>
            <w:r/>
            <w:r>
              <w:rPr>
                <w:rFonts w:ascii="Calibri" w:hAnsi="Calibri"/>
                <w:color w:val="374151"/>
                <w:sz w:val="20"/>
              </w:rPr>
              <w:t>Elektrische werkzaamheden</w:t>
            </w:r>
          </w:p>
        </w:tc>
      </w:tr>
      <w:tr>
        <w:tc>
          <w:tcPr>
            <w:tcW w:type="dxa" w:w="4703"/>
            <w:shd w:fill="F8F9FA"/>
          </w:tcPr>
          <w:p>
            <w:r/>
            <w:r>
              <w:rPr>
                <w:rFonts w:ascii="Calibri" w:hAnsi="Calibri"/>
                <w:color w:val="374151"/>
                <w:sz w:val="20"/>
              </w:rPr>
              <w:t>Lifting</w:t>
            </w:r>
          </w:p>
        </w:tc>
        <w:tc>
          <w:tcPr>
            <w:tcW w:type="dxa" w:w="4703"/>
            <w:shd w:fill="F8F9FA"/>
          </w:tcPr>
          <w:p>
            <w:r/>
            <w:r>
              <w:rPr>
                <w:rFonts w:ascii="Calibri" w:hAnsi="Calibri"/>
                <w:color w:val="374151"/>
                <w:sz w:val="20"/>
              </w:rPr>
              <w:t>Hijs- en hefwerkzaamheden</w:t>
            </w:r>
          </w:p>
        </w:tc>
      </w:tr>
      <w:tr>
        <w:tc>
          <w:tcPr>
            <w:tcW w:type="dxa" w:w="4703"/>
          </w:tcPr>
          <w:p>
            <w:r/>
            <w:r>
              <w:rPr>
                <w:rFonts w:ascii="Calibri" w:hAnsi="Calibri"/>
                <w:color w:val="374151"/>
                <w:sz w:val="20"/>
              </w:rPr>
              <w:t>Breaking Containment</w:t>
            </w:r>
          </w:p>
        </w:tc>
        <w:tc>
          <w:tcPr>
            <w:tcW w:type="dxa" w:w="4703"/>
          </w:tcPr>
          <w:p>
            <w:r/>
            <w:r>
              <w:rPr>
                <w:rFonts w:ascii="Calibri" w:hAnsi="Calibri"/>
                <w:color w:val="374151"/>
                <w:sz w:val="20"/>
              </w:rPr>
              <w:t>Openen van leidingsystemen met gevaarlijke stoffen</w:t>
            </w:r>
          </w:p>
        </w:tc>
      </w:tr>
    </w:tbl>
    <w:p>
      <w:pPr>
        <w:pStyle w:val="Heading2"/>
      </w:pPr>
      <w:r>
        <w:t>6.3 ATEX, LOTO en HF checks</w:t>
      </w:r>
    </w:p>
    <w:p>
      <w:r>
        <w:rPr>
          <w:rFonts w:ascii="Calibri" w:hAnsi="Calibri"/>
          <w:color w:val="374151"/>
          <w:sz w:val="22"/>
        </w:rPr>
        <w:t>Automatische controles bij PtW-aanmaak:</w:t>
      </w:r>
    </w:p>
    <w:p>
      <w:pPr>
        <w:pStyle w:val="ListBullet"/>
      </w:pPr>
      <w:r>
        <w:rPr>
          <w:rFonts w:ascii="Calibri" w:hAnsi="Calibri"/>
          <w:b/>
          <w:sz w:val="22"/>
        </w:rPr>
        <w:t xml:space="preserve">ATEX zone check: </w:t>
      </w:r>
      <w:r>
        <w:rPr>
          <w:sz w:val="22"/>
        </w:rPr>
        <w:t>Controleert of werklocatie in ATEX-zone valt; eist aanvullende maatregelen.</w:t>
      </w:r>
    </w:p>
    <w:p>
      <w:pPr>
        <w:pStyle w:val="ListBullet"/>
      </w:pPr>
      <w:r>
        <w:rPr>
          <w:rFonts w:ascii="Calibri" w:hAnsi="Calibri"/>
          <w:b/>
          <w:sz w:val="22"/>
        </w:rPr>
        <w:t xml:space="preserve">LOTO: </w:t>
      </w:r>
      <w:r>
        <w:rPr>
          <w:sz w:val="22"/>
        </w:rPr>
        <w:t>Verifieert of LOTO procedures van toepassing en uitgevoerd zijn.</w:t>
      </w:r>
    </w:p>
    <w:p>
      <w:pPr>
        <w:pStyle w:val="ListBullet"/>
      </w:pPr>
      <w:r>
        <w:rPr>
          <w:rFonts w:ascii="Calibri" w:hAnsi="Calibri"/>
          <w:b/>
          <w:sz w:val="22"/>
        </w:rPr>
        <w:t xml:space="preserve">HF antidote check: </w:t>
      </w:r>
      <w:r>
        <w:rPr>
          <w:sz w:val="22"/>
        </w:rPr>
        <w:t>Bij Breaking Containment met HF: controleert beschikbaarheid HF-antidotum (calciumgluconaat-gel).</w:t>
      </w:r>
    </w:p>
    <w:p>
      <w:r>
        <w:rPr>
          <w:rFonts w:ascii="Calibri" w:hAnsi="Calibri"/>
          <w:color w:val="374151"/>
          <w:sz w:val="22"/>
        </w:rPr>
        <w:t>De BRZO auto-configurator past automatisch relevante BRZO-eisen toe op basis van type en locatie.</w:t>
      </w:r>
    </w:p>
    <w:p>
      <w:pPr>
        <w:pStyle w:val="Heading2"/>
      </w:pPr>
      <w:r>
        <w:t>6.4 PtW competentie check</w:t>
      </w:r>
    </w:p>
    <w:p>
      <w:r>
        <w:rPr>
          <w:rFonts w:ascii="Calibri" w:hAnsi="Calibri"/>
          <w:color w:val="374151"/>
          <w:sz w:val="22"/>
        </w:rPr>
        <w:t>Voordat een PtW definitief wordt goedgekeurd, controleert het systeem competenties via Module 5. Ontbrekende of verlopen certificeringen blokkeren de vergunning. Dit garandeert dat alleen gekwalificeerd personeel werkzaamheden uitvoert.</w:t>
      </w:r>
    </w:p>
    <w:p>
      <w:r>
        <w:br w:type="page"/>
      </w:r>
    </w:p>
    <w:p>
      <w:pPr>
        <w:pStyle w:val="Heading1"/>
      </w:pPr>
      <w:r>
        <w:t>7. Module 4 — Incidenten &amp; Milieu</w:t>
      </w:r>
    </w:p>
    <w:p>
      <w:r>
        <w:rPr>
          <w:rFonts w:ascii="Calibri" w:hAnsi="Calibri"/>
          <w:color w:val="374151"/>
          <w:sz w:val="22"/>
        </w:rPr>
        <w:t>URL: /hseq-dashboard/incidents-env — vier tabs: Incidenten, CAPA, Milieu en Gap Analyzer.</w:t>
      </w:r>
    </w:p>
    <w:p>
      <w:pPr>
        <w:pStyle w:val="Heading2"/>
      </w:pPr>
      <w:r>
        <w:t>7.1 Incident melden</w:t>
      </w:r>
    </w:p>
    <w:p>
      <w:r>
        <w:rPr>
          <w:rFonts w:ascii="Calibri" w:hAnsi="Calibri"/>
          <w:color w:val="374151"/>
          <w:sz w:val="22"/>
        </w:rPr>
        <w:t>De meldingsknop (🚨 MELD INCIDENT / SPILL) is mobile-first geoptimaliseerd. Vereiste gegevens:</w:t>
      </w:r>
    </w:p>
    <w:p>
      <w:pPr>
        <w:pStyle w:val="ListBullet"/>
      </w:pPr>
      <w:r>
        <w:rPr>
          <w:sz w:val="22"/>
        </w:rPr>
        <w:t>Datum, tijd en locatie</w:t>
      </w:r>
    </w:p>
    <w:p>
      <w:pPr>
        <w:pStyle w:val="ListBullet"/>
      </w:pPr>
      <w:r>
        <w:rPr>
          <w:sz w:val="22"/>
        </w:rPr>
        <w:t>Type incident (persoon, proces, milieu, bijna-ongeval)</w:t>
      </w:r>
    </w:p>
    <w:p>
      <w:pPr>
        <w:pStyle w:val="ListBullet"/>
      </w:pPr>
      <w:r>
        <w:rPr>
          <w:sz w:val="22"/>
        </w:rPr>
        <w:t>Beschrijving en directe acties</w:t>
      </w:r>
    </w:p>
    <w:p>
      <w:pPr>
        <w:pStyle w:val="ListBullet"/>
      </w:pPr>
      <w:r>
        <w:rPr>
          <w:sz w:val="22"/>
        </w:rPr>
        <w:t>Betrokken personen en getuigen</w:t>
      </w:r>
    </w:p>
    <w:p>
      <w:pPr>
        <w:pStyle w:val="ListBullet"/>
      </w:pPr>
      <w:r>
        <w:rPr>
          <w:sz w:val="22"/>
        </w:rPr>
        <w:t>Indicatie overheidsmelding vereist (hospitalisatie, BRZO major)</w:t>
      </w:r>
    </w:p>
    <w:p>
      <w:r>
        <w:rPr>
          <w:rFonts w:ascii="Calibri" w:hAnsi="Calibri"/>
          <w:color w:val="374151"/>
          <w:sz w:val="22"/>
        </w:rPr>
        <w:t>Na verzending start de workflow: Melding → Onderzoek → CAPA → Afsluiting.</w:t>
      </w:r>
    </w:p>
    <w:p>
      <w:pPr>
        <w:pStyle w:val="Heading2"/>
      </w:pPr>
      <w:r>
        <w:t>7.2 AI Root-Cause Analyse</w:t>
      </w:r>
    </w:p>
    <w:p>
      <w:r>
        <w:rPr>
          <w:rFonts w:ascii="Calibri" w:hAnsi="Calibri"/>
          <w:color w:val="374151"/>
          <w:sz w:val="22"/>
        </w:rPr>
        <w:t>De AI Root-Cause Analist (Kas) genereert automatisch:</w:t>
      </w:r>
    </w:p>
    <w:p>
      <w:pPr>
        <w:pStyle w:val="ListBullet"/>
      </w:pPr>
      <w:r>
        <w:rPr>
          <w:sz w:val="22"/>
        </w:rPr>
        <w:t>Een 5-Why analyse op basis van incidentgegevens</w:t>
      </w:r>
    </w:p>
    <w:p>
      <w:pPr>
        <w:pStyle w:val="ListBullet"/>
      </w:pPr>
      <w:r>
        <w:rPr>
          <w:sz w:val="22"/>
        </w:rPr>
        <w:t>Een HAZOP cross-check voor blind spot detectie (koppeling met Module 2)</w:t>
      </w:r>
    </w:p>
    <w:p>
      <w:pPr>
        <w:pStyle w:val="ListBullet"/>
      </w:pPr>
      <w:r>
        <w:rPr>
          <w:sz w:val="22"/>
        </w:rPr>
        <w:t>CAPA-suggesties gericht op geïdentificeerde oorzaken</w:t>
      </w:r>
    </w:p>
    <w:p>
      <w:pPr>
        <w:pStyle w:val="ListBullet"/>
      </w:pPr>
      <w:r>
        <w:rPr>
          <w:sz w:val="22"/>
        </w:rPr>
        <w:t>Aanbeveling voor onderzoeksmethode: Tripod Beta, Five Why of Fishbone</w:t>
      </w:r>
    </w:p>
    <w:p>
      <w:r>
        <w:rPr>
          <w:rFonts w:ascii="Calibri" w:hAnsi="Calibri"/>
          <w:color w:val="374151"/>
          <w:sz w:val="22"/>
        </w:rPr>
        <w:t>De analyse is bedoeld als ondersteuning en vervangt niet het eigen oordeel van de onderzoeker.</w:t>
      </w:r>
    </w:p>
    <w:p>
      <w:pPr>
        <w:pStyle w:val="Heading2"/>
      </w:pPr>
      <w:r>
        <w:t>7.3 Overheids-Melding Generator</w:t>
      </w:r>
    </w:p>
    <w:p>
      <w:r>
        <w:rPr>
          <w:rFonts w:ascii="Calibri" w:hAnsi="Calibri"/>
          <w:color w:val="374151"/>
          <w:sz w:val="22"/>
        </w:rPr>
        <w:t>Wanneer "reporting_required" is ingeschakeld (hospitalisatie, BRZO major), genereert het systeem automatisch een formele meldingsbrief aan de Nederlandse Arbeidsinspectie (Arbowet artikel 9). De brief bevat incidentgegevens, betrokken stoffen met CAS-nummers, genomen acties en verantwoordelijken. Exporteerbaar en bewerkbaar.</w:t>
      </w:r>
    </w:p>
    <w:p>
      <w:pPr>
        <w:pStyle w:val="Heading2"/>
      </w:pPr>
      <w:r>
        <w:t>7.4 Milieumetingen en afvalstromen</w:t>
      </w:r>
    </w:p>
    <w:p>
      <w:r>
        <w:rPr>
          <w:rFonts w:ascii="Calibri" w:hAnsi="Calibri"/>
          <w:color w:val="374151"/>
          <w:sz w:val="22"/>
        </w:rPr>
        <w:t>Het milieudashboard toont VOS- en afvalwatermetingen met stoplicht-gauges (groen/oranje/rood) en automatische compliance-berekening. Afvalstromen worden bijgehouden met EURAL-codes, hoeveelheden en verwerkingsmethoden.</w:t>
      </w:r>
    </w:p>
    <w:p>
      <w:pPr>
        <w:pStyle w:val="Heading2"/>
      </w:pPr>
      <w:r>
        <w:t>7.5 CAPA management</w:t>
      </w:r>
    </w:p>
    <w:p>
      <w:r>
        <w:rPr>
          <w:rFonts w:ascii="Calibri" w:hAnsi="Calibri"/>
          <w:color w:val="374151"/>
          <w:sz w:val="22"/>
        </w:rPr>
        <w:t>CAPA-acties worden automatisch gegenereerd vanuit incidenten en audit findings. Elke CAPA heeft een eigenaar, streefdatum en status. De CAPA-tabel toont voortgang en kan worden gefilterd op status, prioriteit of module.</w:t>
      </w:r>
    </w:p>
    <w:p>
      <w:r>
        <w:br w:type="page"/>
      </w:r>
    </w:p>
    <w:p>
      <w:pPr>
        <w:pStyle w:val="Heading1"/>
      </w:pPr>
      <w:r>
        <w:t>8. Module 5 — Kwalificaties &amp; Audits</w:t>
      </w:r>
    </w:p>
    <w:p>
      <w:r>
        <w:rPr>
          <w:rFonts w:ascii="Calibri" w:hAnsi="Calibri"/>
          <w:color w:val="374151"/>
          <w:sz w:val="22"/>
        </w:rPr>
        <w:t>URL: /hseq-dashboard/training-audits — vier tabs: Personeel, Contractors, Audits en Gap Analyzer.</w:t>
      </w:r>
    </w:p>
    <w:p>
      <w:pPr>
        <w:pStyle w:val="Heading2"/>
      </w:pPr>
      <w:r>
        <w:t>8.1 License to Operate dashboard</w:t>
      </w:r>
    </w:p>
    <w:p>
      <w:r>
        <w:rPr>
          <w:rFonts w:ascii="Calibri" w:hAnsi="Calibri"/>
          <w:color w:val="374151"/>
          <w:sz w:val="22"/>
        </w:rPr>
        <w:t>Het medewerker-grid toont per persoon de compliance-status met kleurcodering:</w:t>
      </w:r>
    </w:p>
    <w:p>
      <w:pPr>
        <w:pStyle w:val="ListBullet"/>
      </w:pPr>
      <w:r>
        <w:rPr>
          <w:rFonts w:ascii="Calibri" w:hAnsi="Calibri"/>
          <w:b/>
          <w:sz w:val="22"/>
        </w:rPr>
        <w:t xml:space="preserve">Compliant — </w:t>
      </w:r>
      <w:r>
        <w:rPr>
          <w:sz w:val="22"/>
        </w:rPr>
        <w:t>Groen: alle trainingen geldig</w:t>
      </w:r>
    </w:p>
    <w:p>
      <w:pPr>
        <w:pStyle w:val="ListBullet"/>
      </w:pPr>
      <w:r>
        <w:rPr>
          <w:rFonts w:ascii="Calibri" w:hAnsi="Calibri"/>
          <w:b/>
          <w:sz w:val="22"/>
        </w:rPr>
        <w:t xml:space="preserve">Waarschuwing — </w:t>
      </w:r>
      <w:r>
        <w:rPr>
          <w:sz w:val="22"/>
        </w:rPr>
        <w:t>Oranje: trainingen bijna verlopen</w:t>
      </w:r>
    </w:p>
    <w:p>
      <w:pPr>
        <w:pStyle w:val="ListBullet"/>
      </w:pPr>
      <w:r>
        <w:rPr>
          <w:rFonts w:ascii="Calibri" w:hAnsi="Calibri"/>
          <w:b/>
          <w:sz w:val="22"/>
        </w:rPr>
        <w:t xml:space="preserve">Niet compliant — </w:t>
      </w:r>
      <w:r>
        <w:rPr>
          <w:sz w:val="22"/>
        </w:rPr>
        <w:t>Rood: trainingen ontbreken of verlopen</w:t>
      </w:r>
    </w:p>
    <w:p>
      <w:r>
        <w:rPr>
          <w:rFonts w:ascii="Calibri" w:hAnsi="Calibri"/>
          <w:color w:val="374151"/>
          <w:sz w:val="22"/>
        </w:rPr>
        <w:t>Klik op een medewerker voor het detailoverzicht van alle trainingen met status, vervaldatum en her-certificeringsdatum.</w:t>
      </w:r>
    </w:p>
    <w:p>
      <w:pPr>
        <w:pStyle w:val="Heading2"/>
      </w:pPr>
      <w:r>
        <w:t>8.2 PtW Hard-Block visueel</w:t>
      </w:r>
    </w:p>
    <w:p>
      <w:r>
        <w:rPr>
          <w:rFonts w:ascii="Calibri" w:hAnsi="Calibri"/>
          <w:color w:val="374151"/>
          <w:sz w:val="22"/>
        </w:rPr>
        <w:t>Bij het aanmaken van een werkvergunning worden trainingseisen visueel aangegeven:</w:t>
      </w:r>
    </w:p>
    <w:p>
      <w:pPr>
        <w:pStyle w:val="ListBullet"/>
      </w:pPr>
      <w:r>
        <w:rPr>
          <w:sz w:val="22"/>
        </w:rPr>
        <w:t>🔒 Rood slotje bij ATEX Zone als EX-training ontbreekt</w:t>
      </w:r>
    </w:p>
    <w:p>
      <w:pPr>
        <w:pStyle w:val="ListBullet"/>
      </w:pPr>
      <w:r>
        <w:rPr>
          <w:sz w:val="22"/>
        </w:rPr>
        <w:t>🔒 Rood slotje bij Breaking Containment (HF) als HF-training ontbreekt</w:t>
      </w:r>
    </w:p>
    <w:p>
      <w:pPr>
        <w:pStyle w:val="ListBullet"/>
      </w:pPr>
      <w:r>
        <w:rPr>
          <w:sz w:val="22"/>
        </w:rPr>
        <w:t>✅ Groen vinkje als alle vereiste certificeringen aanwezig zijn</w:t>
      </w:r>
    </w:p>
    <w:p>
      <w:r>
        <w:rPr>
          <w:rFonts w:ascii="Calibri" w:hAnsi="Calibri"/>
          <w:color w:val="374151"/>
          <w:sz w:val="22"/>
        </w:rPr>
        <w:t>Deze visuele indicatoren komen uit de cross-module koppeling met Module 3.</w:t>
      </w:r>
    </w:p>
    <w:p>
      <w:pPr>
        <w:pStyle w:val="Heading2"/>
      </w:pPr>
      <w:r>
        <w:t>8.3 Contractor management</w:t>
      </w:r>
    </w:p>
    <w:p>
      <w:r>
        <w:rPr>
          <w:rFonts w:ascii="Calibri" w:hAnsi="Calibri"/>
          <w:color w:val="374151"/>
          <w:sz w:val="22"/>
        </w:rPr>
        <w:t>Beheer van contractor-bedrijven en hun medewerkers:</w:t>
      </w:r>
    </w:p>
    <w:p>
      <w:pPr>
        <w:pStyle w:val="ListBullet"/>
      </w:pPr>
      <w:r>
        <w:rPr>
          <w:sz w:val="22"/>
        </w:rPr>
        <w:t>Bedrijfsgegevens: KVK-nummer, VCA-level, HFA-validatie</w:t>
      </w:r>
    </w:p>
    <w:p>
      <w:pPr>
        <w:pStyle w:val="ListBullet"/>
      </w:pPr>
      <w:r>
        <w:rPr>
          <w:sz w:val="22"/>
        </w:rPr>
        <w:t>Contractor-medewerkers met VCA- en induction-status</w:t>
      </w:r>
    </w:p>
    <w:p>
      <w:pPr>
        <w:pStyle w:val="ListBullet"/>
      </w:pPr>
      <w:r>
        <w:rPr>
          <w:sz w:val="22"/>
        </w:rPr>
        <w:t>Blacklist functionaliteit voor niet-conforme contractors</w:t>
      </w:r>
    </w:p>
    <w:p>
      <w:r>
        <w:rPr>
          <w:rFonts w:ascii="Calibri" w:hAnsi="Calibri"/>
          <w:color w:val="374151"/>
          <w:sz w:val="22"/>
        </w:rPr>
        <w:t>Contractor compliance wordt meegenomen in de PtW competentie check.</w:t>
      </w:r>
    </w:p>
    <w:p>
      <w:pPr>
        <w:pStyle w:val="Heading2"/>
      </w:pPr>
      <w:r>
        <w:t>8.4 Training Gap Analyzer</w:t>
      </w:r>
    </w:p>
    <w:p>
      <w:r>
        <w:rPr>
          <w:rFonts w:ascii="Calibri" w:hAnsi="Calibri"/>
          <w:color w:val="374151"/>
          <w:sz w:val="22"/>
        </w:rPr>
        <w:t>De AI Training Gap Analyzer (Kas) scant alle medewerkers en contractors en rapporteert:</w:t>
      </w:r>
    </w:p>
    <w:p>
      <w:pPr>
        <w:pStyle w:val="ListBullet"/>
      </w:pPr>
      <w:r>
        <w:rPr>
          <w:sz w:val="22"/>
        </w:rPr>
        <w:t>Kritieke gaps: ontbrekende trainingen voor veiligheidskritieke rollen</w:t>
      </w:r>
    </w:p>
    <w:p>
      <w:pPr>
        <w:pStyle w:val="ListBullet"/>
      </w:pPr>
      <w:r>
        <w:rPr>
          <w:sz w:val="22"/>
        </w:rPr>
        <w:t>Bijna-vervallende: certificeringen die binnen 30 dagen verlopen</w:t>
      </w:r>
    </w:p>
    <w:p>
      <w:pPr>
        <w:pStyle w:val="ListBullet"/>
      </w:pPr>
      <w:r>
        <w:rPr>
          <w:sz w:val="22"/>
        </w:rPr>
        <w:t>Contractor alerts: niet-conforme contractor-personeel</w:t>
      </w:r>
    </w:p>
    <w:p>
      <w:pPr>
        <w:pStyle w:val="ListBullet"/>
      </w:pPr>
      <w:r>
        <w:rPr>
          <w:sz w:val="22"/>
        </w:rPr>
        <w:t>Strategisch AI-advies en training planningsuggesties</w:t>
      </w:r>
    </w:p>
    <w:p>
      <w:pPr>
        <w:pStyle w:val="Heading2"/>
      </w:pPr>
      <w:r>
        <w:t>8.5 Audit planning</w:t>
      </w:r>
    </w:p>
    <w:p>
      <w:r>
        <w:rPr>
          <w:rFonts w:ascii="Calibri" w:hAnsi="Calibri"/>
          <w:color w:val="374151"/>
          <w:sz w:val="22"/>
        </w:rPr>
        <w:t>Beheer van interne audits, BRZO-inspecties en ILT/OD-inspecties. Per audit worden findings vastgelegd met risk rating. Findings koppelen automatisch door naar CAPA-acties in Module 4.</w:t>
      </w:r>
    </w:p>
    <w:p>
      <w:r>
        <w:br w:type="page"/>
      </w:r>
    </w:p>
    <w:p>
      <w:pPr>
        <w:pStyle w:val="Heading1"/>
      </w:pPr>
      <w:r>
        <w:t>9. Diensten &amp; Rapportages</w:t>
      </w:r>
    </w:p>
    <w:p>
      <w:r>
        <w:rPr>
          <w:rFonts w:ascii="Calibri" w:hAnsi="Calibri"/>
          <w:color w:val="374151"/>
          <w:sz w:val="22"/>
        </w:rPr>
        <w:t>JvG Consultancy biedt zes dienstlijnen, elk met een eigen pagina en snelvraag-functie.</w:t>
      </w:r>
    </w:p>
    <w:p>
      <w:pPr>
        <w:pStyle w:val="Heading2"/>
      </w:pPr>
      <w:r>
        <w:t>9.1 Snelvragen</w:t>
      </w:r>
    </w:p>
    <w:p>
      <w:r>
        <w:rPr>
          <w:rFonts w:ascii="Calibri" w:hAnsi="Calibri"/>
          <w:color w:val="374151"/>
          <w:sz w:val="22"/>
        </w:rPr>
        <w:t>Elke dienstenpagina bevat een snelvraag-veld. Ingevoerde vragen worden automatisch doorgestuurd naar de HSEQ Advisor (zie Hoofdstuk 10) met de relevante categorie vooringevuld. Dit garandeert dat elke vraag met de juiste context wordt beantwoord.</w:t>
      </w:r>
    </w:p>
    <w:p>
      <w:pPr>
        <w:pStyle w:val="Heading2"/>
      </w:pPr>
      <w:r>
        <w:t>9.2 Dienstoverzicht</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20"/>
              </w:rPr>
              <w:t>Dienst</w:t>
            </w:r>
          </w:p>
        </w:tc>
        <w:tc>
          <w:tcPr>
            <w:tcW w:type="dxa" w:w="3135"/>
            <w:shd w:fill="003366"/>
          </w:tcPr>
          <w:p>
            <w:pPr>
              <w:jc w:val="center"/>
            </w:pPr>
            <w:r/>
            <w:r>
              <w:rPr>
                <w:rFonts w:ascii="Calibri" w:hAnsi="Calibri"/>
                <w:b/>
                <w:color w:val="FFFFFF"/>
                <w:sz w:val="20"/>
              </w:rPr>
              <w:t>URL</w:t>
            </w:r>
          </w:p>
        </w:tc>
        <w:tc>
          <w:tcPr>
            <w:tcW w:type="dxa" w:w="3135"/>
            <w:shd w:fill="003366"/>
          </w:tcPr>
          <w:p>
            <w:pPr>
              <w:jc w:val="center"/>
            </w:pPr>
            <w:r/>
            <w:r>
              <w:rPr>
                <w:rFonts w:ascii="Calibri" w:hAnsi="Calibri"/>
                <w:b/>
                <w:color w:val="FFFFFF"/>
                <w:sz w:val="20"/>
              </w:rPr>
              <w:t>Inhoud</w:t>
            </w:r>
          </w:p>
        </w:tc>
      </w:tr>
      <w:tr>
        <w:tc>
          <w:tcPr>
            <w:tcW w:type="dxa" w:w="3135"/>
          </w:tcPr>
          <w:p>
            <w:r/>
            <w:r>
              <w:rPr>
                <w:rFonts w:ascii="Calibri" w:hAnsi="Calibri"/>
                <w:color w:val="374151"/>
                <w:sz w:val="20"/>
              </w:rPr>
              <w:t>Arbo &amp; Veiligheid</w:t>
            </w:r>
          </w:p>
        </w:tc>
        <w:tc>
          <w:tcPr>
            <w:tcW w:type="dxa" w:w="3135"/>
          </w:tcPr>
          <w:p>
            <w:r/>
            <w:r>
              <w:rPr>
                <w:rFonts w:ascii="Calibri" w:hAnsi="Calibri"/>
                <w:color w:val="374151"/>
                <w:sz w:val="20"/>
              </w:rPr>
              <w:t>/services/arbo</w:t>
            </w:r>
          </w:p>
        </w:tc>
        <w:tc>
          <w:tcPr>
            <w:tcW w:type="dxa" w:w="3135"/>
          </w:tcPr>
          <w:p>
            <w:r/>
            <w:r>
              <w:rPr>
                <w:rFonts w:ascii="Calibri" w:hAnsi="Calibri"/>
                <w:color w:val="374151"/>
                <w:sz w:val="20"/>
              </w:rPr>
              <w:t>RI&amp;E, arbeidshygiëne, PBM, snelvragen</w:t>
            </w:r>
          </w:p>
        </w:tc>
      </w:tr>
      <w:tr>
        <w:tc>
          <w:tcPr>
            <w:tcW w:type="dxa" w:w="3135"/>
            <w:shd w:fill="F8F9FA"/>
          </w:tcPr>
          <w:p>
            <w:r/>
            <w:r>
              <w:rPr>
                <w:rFonts w:ascii="Calibri" w:hAnsi="Calibri"/>
                <w:color w:val="374151"/>
                <w:sz w:val="20"/>
              </w:rPr>
              <w:t>BRZO / Seveso</w:t>
            </w:r>
          </w:p>
        </w:tc>
        <w:tc>
          <w:tcPr>
            <w:tcW w:type="dxa" w:w="3135"/>
            <w:shd w:fill="F8F9FA"/>
          </w:tcPr>
          <w:p>
            <w:r/>
            <w:r>
              <w:rPr>
                <w:rFonts w:ascii="Calibri" w:hAnsi="Calibri"/>
                <w:color w:val="374151"/>
                <w:sz w:val="20"/>
              </w:rPr>
              <w:t>/services/brzo</w:t>
            </w:r>
          </w:p>
        </w:tc>
        <w:tc>
          <w:tcPr>
            <w:tcW w:type="dxa" w:w="3135"/>
            <w:shd w:fill="F8F9FA"/>
          </w:tcPr>
          <w:p>
            <w:r/>
            <w:r>
              <w:rPr>
                <w:rFonts w:ascii="Calibri" w:hAnsi="Calibri"/>
                <w:color w:val="374151"/>
                <w:sz w:val="20"/>
              </w:rPr>
              <w:t>Veiligheidsrapport, QRA, ARIE, snelvragen</w:t>
            </w:r>
          </w:p>
        </w:tc>
      </w:tr>
      <w:tr>
        <w:tc>
          <w:tcPr>
            <w:tcW w:type="dxa" w:w="3135"/>
          </w:tcPr>
          <w:p>
            <w:r/>
            <w:r>
              <w:rPr>
                <w:rFonts w:ascii="Calibri" w:hAnsi="Calibri"/>
                <w:color w:val="374151"/>
                <w:sz w:val="20"/>
              </w:rPr>
              <w:t>Milieu &amp; Omgeving</w:t>
            </w:r>
          </w:p>
        </w:tc>
        <w:tc>
          <w:tcPr>
            <w:tcW w:type="dxa" w:w="3135"/>
          </w:tcPr>
          <w:p>
            <w:r/>
            <w:r>
              <w:rPr>
                <w:rFonts w:ascii="Calibri" w:hAnsi="Calibri"/>
                <w:color w:val="374151"/>
                <w:sz w:val="20"/>
              </w:rPr>
              <w:t>/services/milieu</w:t>
            </w:r>
          </w:p>
        </w:tc>
        <w:tc>
          <w:tcPr>
            <w:tcW w:type="dxa" w:w="3135"/>
          </w:tcPr>
          <w:p>
            <w:r/>
            <w:r>
              <w:rPr>
                <w:rFonts w:ascii="Calibri" w:hAnsi="Calibri"/>
                <w:color w:val="374151"/>
                <w:sz w:val="20"/>
              </w:rPr>
              <w:t>Vergunningen, emissies, MER</w:t>
            </w:r>
          </w:p>
        </w:tc>
      </w:tr>
      <w:tr>
        <w:tc>
          <w:tcPr>
            <w:tcW w:type="dxa" w:w="3135"/>
            <w:shd w:fill="F8F9FA"/>
          </w:tcPr>
          <w:p>
            <w:r/>
            <w:r>
              <w:rPr>
                <w:rFonts w:ascii="Calibri" w:hAnsi="Calibri"/>
                <w:color w:val="374151"/>
                <w:sz w:val="20"/>
              </w:rPr>
              <w:t>KAM Management</w:t>
            </w:r>
          </w:p>
        </w:tc>
        <w:tc>
          <w:tcPr>
            <w:tcW w:type="dxa" w:w="3135"/>
            <w:shd w:fill="F8F9FA"/>
          </w:tcPr>
          <w:p>
            <w:r/>
            <w:r>
              <w:rPr>
                <w:rFonts w:ascii="Calibri" w:hAnsi="Calibri"/>
                <w:color w:val="374151"/>
                <w:sz w:val="20"/>
              </w:rPr>
              <w:t>/services/kam</w:t>
            </w:r>
          </w:p>
        </w:tc>
        <w:tc>
          <w:tcPr>
            <w:tcW w:type="dxa" w:w="3135"/>
            <w:shd w:fill="F8F9FA"/>
          </w:tcPr>
          <w:p>
            <w:r/>
            <w:r>
              <w:rPr>
                <w:rFonts w:ascii="Calibri" w:hAnsi="Calibri"/>
                <w:color w:val="374151"/>
                <w:sz w:val="20"/>
              </w:rPr>
              <w:t>ISO 9001/14001/45001</w:t>
            </w:r>
          </w:p>
        </w:tc>
      </w:tr>
      <w:tr>
        <w:tc>
          <w:tcPr>
            <w:tcW w:type="dxa" w:w="3135"/>
          </w:tcPr>
          <w:p>
            <w:r/>
            <w:r>
              <w:rPr>
                <w:rFonts w:ascii="Calibri" w:hAnsi="Calibri"/>
                <w:color w:val="374151"/>
                <w:sz w:val="20"/>
              </w:rPr>
              <w:t>Training &amp; Opleiding</w:t>
            </w:r>
          </w:p>
        </w:tc>
        <w:tc>
          <w:tcPr>
            <w:tcW w:type="dxa" w:w="3135"/>
          </w:tcPr>
          <w:p>
            <w:r/>
            <w:r>
              <w:rPr>
                <w:rFonts w:ascii="Calibri" w:hAnsi="Calibri"/>
                <w:color w:val="374151"/>
                <w:sz w:val="20"/>
              </w:rPr>
              <w:t>/services/training</w:t>
            </w:r>
          </w:p>
        </w:tc>
        <w:tc>
          <w:tcPr>
            <w:tcW w:type="dxa" w:w="3135"/>
          </w:tcPr>
          <w:p>
            <w:r/>
            <w:r>
              <w:rPr>
                <w:rFonts w:ascii="Calibri" w:hAnsi="Calibri"/>
                <w:color w:val="374151"/>
                <w:sz w:val="20"/>
              </w:rPr>
              <w:t>VCA, veiligheidstrainingen</w:t>
            </w:r>
          </w:p>
        </w:tc>
      </w:tr>
      <w:tr>
        <w:tc>
          <w:tcPr>
            <w:tcW w:type="dxa" w:w="3135"/>
            <w:shd w:fill="F8F9FA"/>
          </w:tcPr>
          <w:p>
            <w:r/>
            <w:r>
              <w:rPr>
                <w:rFonts w:ascii="Calibri" w:hAnsi="Calibri"/>
                <w:color w:val="374151"/>
                <w:sz w:val="20"/>
              </w:rPr>
              <w:t>Energie &amp; Proces</w:t>
            </w:r>
          </w:p>
        </w:tc>
        <w:tc>
          <w:tcPr>
            <w:tcW w:type="dxa" w:w="3135"/>
            <w:shd w:fill="F8F9FA"/>
          </w:tcPr>
          <w:p>
            <w:r/>
            <w:r>
              <w:rPr>
                <w:rFonts w:ascii="Calibri" w:hAnsi="Calibri"/>
                <w:color w:val="374151"/>
                <w:sz w:val="20"/>
              </w:rPr>
              <w:t>/services/energy</w:t>
            </w:r>
          </w:p>
        </w:tc>
        <w:tc>
          <w:tcPr>
            <w:tcW w:type="dxa" w:w="3135"/>
            <w:shd w:fill="F8F9FA"/>
          </w:tcPr>
          <w:p>
            <w:r/>
            <w:r>
              <w:rPr>
                <w:rFonts w:ascii="Calibri" w:hAnsi="Calibri"/>
                <w:color w:val="374151"/>
                <w:sz w:val="20"/>
              </w:rPr>
              <w:t>Energiebesparing, procesoptimalisatie</w:t>
            </w:r>
          </w:p>
        </w:tc>
      </w:tr>
    </w:tbl>
    <w:p>
      <w:r>
        <w:br w:type="page"/>
      </w:r>
    </w:p>
    <w:p>
      <w:pPr>
        <w:pStyle w:val="Heading1"/>
      </w:pPr>
      <w:r>
        <w:t>10. HSEQ Advisor (AI Chat)</w:t>
      </w:r>
    </w:p>
    <w:p>
      <w:r>
        <w:rPr>
          <w:rFonts w:ascii="Calibri" w:hAnsi="Calibri"/>
          <w:color w:val="374151"/>
          <w:sz w:val="22"/>
        </w:rPr>
        <w:t>URL: /hseq-dashboard/advisor</w:t>
      </w:r>
    </w:p>
    <w:p>
      <w:pPr>
        <w:pStyle w:val="Heading2"/>
      </w:pPr>
      <w:r>
        <w:t>10.1 Categorieën</w:t>
      </w:r>
    </w:p>
    <w:p>
      <w:r>
        <w:rPr>
          <w:rFonts w:ascii="Calibri" w:hAnsi="Calibri"/>
          <w:color w:val="374151"/>
          <w:sz w:val="22"/>
        </w:rPr>
        <w:t>De HSEQ Advisor deelt vragen in zeven categorieën in:</w:t>
      </w:r>
    </w:p>
    <w:p>
      <w:pPr>
        <w:pStyle w:val="ListBullet"/>
      </w:pPr>
      <w:r>
        <w:rPr>
          <w:sz w:val="22"/>
        </w:rPr>
        <w:t>Algemeen — algemene HSEQ-vragen</w:t>
      </w:r>
    </w:p>
    <w:p>
      <w:pPr>
        <w:pStyle w:val="ListBullet"/>
      </w:pPr>
      <w:r>
        <w:rPr>
          <w:sz w:val="22"/>
        </w:rPr>
        <w:t>BRZO/Seveso — BRZO-specifieke wetgeving en interpretaties</w:t>
      </w:r>
    </w:p>
    <w:p>
      <w:pPr>
        <w:pStyle w:val="ListBullet"/>
      </w:pPr>
      <w:r>
        <w:rPr>
          <w:sz w:val="22"/>
        </w:rPr>
        <w:t>Arbo — arbeidsomstandigheden en veiligheid</w:t>
      </w:r>
    </w:p>
    <w:p>
      <w:pPr>
        <w:pStyle w:val="ListBullet"/>
      </w:pPr>
      <w:r>
        <w:rPr>
          <w:sz w:val="22"/>
        </w:rPr>
        <w:t>Gevaarlijke Stoffen — classificatie, opslag, blootstelling</w:t>
      </w:r>
    </w:p>
    <w:p>
      <w:pPr>
        <w:pStyle w:val="ListBullet"/>
      </w:pPr>
      <w:r>
        <w:rPr>
          <w:sz w:val="22"/>
        </w:rPr>
        <w:t>Milieu — emissies, afval, vergunningen</w:t>
      </w:r>
    </w:p>
    <w:p>
      <w:pPr>
        <w:pStyle w:val="ListBullet"/>
      </w:pPr>
      <w:r>
        <w:rPr>
          <w:sz w:val="22"/>
        </w:rPr>
        <w:t>Incidenten — incidentmanagement en onderzoeksmethoden</w:t>
      </w:r>
    </w:p>
    <w:p>
      <w:pPr>
        <w:pStyle w:val="ListBullet"/>
      </w:pPr>
      <w:r>
        <w:rPr>
          <w:sz w:val="22"/>
        </w:rPr>
        <w:t>Training — opleiding, certificering, competentie</w:t>
      </w:r>
    </w:p>
    <w:p>
      <w:pPr>
        <w:pStyle w:val="Heading2"/>
      </w:pPr>
      <w:r>
        <w:t>10.2 Vragen stellen</w:t>
      </w:r>
    </w:p>
    <w:p>
      <w:r>
        <w:rPr>
          <w:rFonts w:ascii="Calibri" w:hAnsi="Calibri"/>
          <w:color w:val="374151"/>
          <w:sz w:val="22"/>
        </w:rPr>
        <w:t>Typ uw vraag in het chatveld of selecteer een categorie. De Advisor beantwoordt vragen op basis van de geüploade kennisbank, wet- en regelgeving en best practices. Snelvragen vanuit dienstenpagina's worden automatisch vooraf ingevuld.</w:t>
      </w:r>
    </w:p>
    <w:p>
      <w:pPr>
        <w:pStyle w:val="Heading2"/>
      </w:pPr>
      <w:r>
        <w:t>10.3 Export en kennisbank</w:t>
      </w:r>
    </w:p>
    <w:p>
      <w:r>
        <w:rPr>
          <w:rFonts w:ascii="Calibri" w:hAnsi="Calibri"/>
          <w:color w:val="374151"/>
          <w:sz w:val="22"/>
        </w:rPr>
        <w:t>Gesprekken kunnen worden geëxporteerd als rapport. De Advisor is gekoppeld aan de Kennisbank (/knowledge) — geüploade documenten worden meegenomen in de antwoorden. Nieuwe documenten uploaden via /upload.</w:t>
      </w:r>
    </w:p>
    <w:p>
      <w:r>
        <w:br w:type="page"/>
      </w:r>
    </w:p>
    <w:p>
      <w:pPr>
        <w:pStyle w:val="Heading1"/>
      </w:pPr>
      <w:r>
        <w:t>11. Cross-Module Integraties</w:t>
      </w:r>
    </w:p>
    <w:p>
      <w:pPr>
        <w:pStyle w:val="Heading2"/>
      </w:pPr>
      <w:r>
        <w:t>11.1 Overzicht koppelingen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20"/>
              </w:rPr>
              <w:t>Integratie</w:t>
            </w:r>
          </w:p>
        </w:tc>
        <w:tc>
          <w:tcPr>
            <w:tcW w:type="dxa" w:w="3135"/>
            <w:shd w:fill="003366"/>
          </w:tcPr>
          <w:p>
            <w:pPr>
              <w:jc w:val="center"/>
            </w:pPr>
            <w:r/>
            <w:r>
              <w:rPr>
                <w:rFonts w:ascii="Calibri" w:hAnsi="Calibri"/>
                <w:b/>
                <w:color w:val="FFFFFF"/>
                <w:sz w:val="20"/>
              </w:rPr>
              <w:t>Richting</w:t>
            </w:r>
          </w:p>
        </w:tc>
        <w:tc>
          <w:tcPr>
            <w:tcW w:type="dxa" w:w="3135"/>
            <w:shd w:fill="003366"/>
          </w:tcPr>
          <w:p>
            <w:pPr>
              <w:jc w:val="center"/>
            </w:pPr>
            <w:r/>
            <w:r>
              <w:rPr>
                <w:rFonts w:ascii="Calibri" w:hAnsi="Calibri"/>
                <w:b/>
                <w:color w:val="FFFFFF"/>
                <w:sz w:val="20"/>
              </w:rPr>
              <w:t>Beschrijving</w:t>
            </w:r>
          </w:p>
        </w:tc>
      </w:tr>
      <w:tr>
        <w:tc>
          <w:tcPr>
            <w:tcW w:type="dxa" w:w="3135"/>
          </w:tcPr>
          <w:p>
            <w:r/>
            <w:r>
              <w:rPr>
                <w:rFonts w:ascii="Calibri" w:hAnsi="Calibri"/>
                <w:color w:val="374151"/>
                <w:sz w:val="20"/>
              </w:rPr>
              <w:t>PtW → Training</w:t>
            </w:r>
          </w:p>
        </w:tc>
        <w:tc>
          <w:tcPr>
            <w:tcW w:type="dxa" w:w="3135"/>
          </w:tcPr>
          <w:p>
            <w:r/>
            <w:r>
              <w:rPr>
                <w:rFonts w:ascii="Calibri" w:hAnsi="Calibri"/>
                <w:color w:val="374151"/>
                <w:sz w:val="20"/>
              </w:rPr>
              <w:t>Mod 3 → Mod 5</w:t>
            </w:r>
          </w:p>
        </w:tc>
        <w:tc>
          <w:tcPr>
            <w:tcW w:type="dxa" w:w="3135"/>
          </w:tcPr>
          <w:p>
            <w:r/>
            <w:r>
              <w:rPr>
                <w:rFonts w:ascii="Calibri" w:hAnsi="Calibri"/>
                <w:color w:val="374151"/>
                <w:sz w:val="20"/>
              </w:rPr>
              <w:t>Werkvergunning controleert certificeringen. Ontbrekende training = vergunning geblokkeerd</w:t>
            </w:r>
          </w:p>
        </w:tc>
      </w:tr>
      <w:tr>
        <w:tc>
          <w:tcPr>
            <w:tcW w:type="dxa" w:w="3135"/>
            <w:shd w:fill="F8F9FA"/>
          </w:tcPr>
          <w:p>
            <w:r/>
            <w:r>
              <w:rPr>
                <w:rFonts w:ascii="Calibri" w:hAnsi="Calibri"/>
                <w:color w:val="374151"/>
                <w:sz w:val="20"/>
              </w:rPr>
              <w:t>Incident → CAPA</w:t>
            </w:r>
          </w:p>
        </w:tc>
        <w:tc>
          <w:tcPr>
            <w:tcW w:type="dxa" w:w="3135"/>
            <w:shd w:fill="F8F9FA"/>
          </w:tcPr>
          <w:p>
            <w:r/>
            <w:r>
              <w:rPr>
                <w:rFonts w:ascii="Calibri" w:hAnsi="Calibri"/>
                <w:color w:val="374151"/>
                <w:sz w:val="20"/>
              </w:rPr>
              <w:t>Mod 4 intern</w:t>
            </w:r>
          </w:p>
        </w:tc>
        <w:tc>
          <w:tcPr>
            <w:tcW w:type="dxa" w:w="3135"/>
            <w:shd w:fill="F8F9FA"/>
          </w:tcPr>
          <w:p>
            <w:r/>
            <w:r>
              <w:rPr>
                <w:rFonts w:ascii="Calibri" w:hAnsi="Calibri"/>
                <w:color w:val="374151"/>
                <w:sz w:val="20"/>
              </w:rPr>
              <w:t>Incidenten genereren CAPA-acties voor opvolging</w:t>
            </w:r>
          </w:p>
        </w:tc>
      </w:tr>
      <w:tr>
        <w:tc>
          <w:tcPr>
            <w:tcW w:type="dxa" w:w="3135"/>
          </w:tcPr>
          <w:p>
            <w:r/>
            <w:r>
              <w:rPr>
                <w:rFonts w:ascii="Calibri" w:hAnsi="Calibri"/>
                <w:color w:val="374151"/>
                <w:sz w:val="20"/>
              </w:rPr>
              <w:t>Audit → CAPA</w:t>
            </w:r>
          </w:p>
        </w:tc>
        <w:tc>
          <w:tcPr>
            <w:tcW w:type="dxa" w:w="3135"/>
          </w:tcPr>
          <w:p>
            <w:r/>
            <w:r>
              <w:rPr>
                <w:rFonts w:ascii="Calibri" w:hAnsi="Calibri"/>
                <w:color w:val="374151"/>
                <w:sz w:val="20"/>
              </w:rPr>
              <w:t>Mod 5 → Mod 4</w:t>
            </w:r>
          </w:p>
        </w:tc>
        <w:tc>
          <w:tcPr>
            <w:tcW w:type="dxa" w:w="3135"/>
          </w:tcPr>
          <w:p>
            <w:r/>
            <w:r>
              <w:rPr>
                <w:rFonts w:ascii="Calibri" w:hAnsi="Calibri"/>
                <w:color w:val="374151"/>
                <w:sz w:val="20"/>
              </w:rPr>
              <w:t>Audit findings koppelen aan CAPA-acties</w:t>
            </w:r>
          </w:p>
        </w:tc>
      </w:tr>
      <w:tr>
        <w:tc>
          <w:tcPr>
            <w:tcW w:type="dxa" w:w="3135"/>
            <w:shd w:fill="F8F9FA"/>
          </w:tcPr>
          <w:p>
            <w:r/>
            <w:r>
              <w:rPr>
                <w:rFonts w:ascii="Calibri" w:hAnsi="Calibri"/>
                <w:color w:val="374151"/>
                <w:sz w:val="20"/>
              </w:rPr>
              <w:t>Snelvragen → Advisor</w:t>
            </w:r>
          </w:p>
        </w:tc>
        <w:tc>
          <w:tcPr>
            <w:tcW w:type="dxa" w:w="3135"/>
            <w:shd w:fill="F8F9FA"/>
          </w:tcPr>
          <w:p>
            <w:r/>
            <w:r>
              <w:rPr>
                <w:rFonts w:ascii="Calibri" w:hAnsi="Calibri"/>
                <w:color w:val="374151"/>
                <w:sz w:val="20"/>
              </w:rPr>
              <w:t>Diensten → Tools</w:t>
            </w:r>
          </w:p>
        </w:tc>
        <w:tc>
          <w:tcPr>
            <w:tcW w:type="dxa" w:w="3135"/>
            <w:shd w:fill="F8F9FA"/>
          </w:tcPr>
          <w:p>
            <w:r/>
            <w:r>
              <w:rPr>
                <w:rFonts w:ascii="Calibri" w:hAnsi="Calibri"/>
                <w:color w:val="374151"/>
                <w:sz w:val="20"/>
              </w:rPr>
              <w:t>Dienstenpagina's linken door naar HSEQ Advisor met vooringevulde vraag</w:t>
            </w:r>
          </w:p>
        </w:tc>
      </w:tr>
      <w:tr>
        <w:tc>
          <w:tcPr>
            <w:tcW w:type="dxa" w:w="3135"/>
          </w:tcPr>
          <w:p>
            <w:r/>
            <w:r>
              <w:rPr>
                <w:rFonts w:ascii="Calibri" w:hAnsi="Calibri"/>
                <w:color w:val="374151"/>
                <w:sz w:val="20"/>
              </w:rPr>
              <w:t>Training Matrix → Rol</w:t>
            </w:r>
          </w:p>
        </w:tc>
        <w:tc>
          <w:tcPr>
            <w:tcW w:type="dxa" w:w="3135"/>
          </w:tcPr>
          <w:p>
            <w:r/>
            <w:r>
              <w:rPr>
                <w:rFonts w:ascii="Calibri" w:hAnsi="Calibri"/>
                <w:color w:val="374151"/>
                <w:sz w:val="20"/>
              </w:rPr>
              <w:t>Mod 5 intern</w:t>
            </w:r>
          </w:p>
        </w:tc>
        <w:tc>
          <w:tcPr>
            <w:tcW w:type="dxa" w:w="3135"/>
          </w:tcPr>
          <w:p>
            <w:r/>
            <w:r>
              <w:rPr>
                <w:rFonts w:ascii="Calibri" w:hAnsi="Calibri"/>
                <w:color w:val="374151"/>
                <w:sz w:val="20"/>
              </w:rPr>
              <w:t>Rollen bepalen verplichte trainingen. Rolwijziging = andere eisen</w:t>
            </w:r>
          </w:p>
        </w:tc>
      </w:tr>
      <w:tr>
        <w:tc>
          <w:tcPr>
            <w:tcW w:type="dxa" w:w="3135"/>
            <w:shd w:fill="F8F9FA"/>
          </w:tcPr>
          <w:p>
            <w:r/>
            <w:r>
              <w:rPr>
                <w:rFonts w:ascii="Calibri" w:hAnsi="Calibri"/>
                <w:color w:val="374151"/>
                <w:sz w:val="20"/>
              </w:rPr>
              <w:t>Employee → Inactive</w:t>
            </w:r>
          </w:p>
        </w:tc>
        <w:tc>
          <w:tcPr>
            <w:tcW w:type="dxa" w:w="3135"/>
            <w:shd w:fill="F8F9FA"/>
          </w:tcPr>
          <w:p>
            <w:r/>
            <w:r>
              <w:rPr>
                <w:rFonts w:ascii="Calibri" w:hAnsi="Calibri"/>
                <w:color w:val="374151"/>
                <w:sz w:val="20"/>
              </w:rPr>
              <w:t>Mod 5 intern</w:t>
            </w:r>
          </w:p>
        </w:tc>
        <w:tc>
          <w:tcPr>
            <w:tcW w:type="dxa" w:w="3135"/>
            <w:shd w:fill="F8F9FA"/>
          </w:tcPr>
          <w:p>
            <w:r/>
            <w:r>
              <w:rPr>
                <w:rFonts w:ascii="Calibri" w:hAnsi="Calibri"/>
                <w:color w:val="374151"/>
                <w:sz w:val="20"/>
              </w:rPr>
              <w:t>Inactieve medewerkers verliezen automatisch alle koppelingen</w:t>
            </w:r>
          </w:p>
        </w:tc>
      </w:tr>
      <w:tr>
        <w:tc>
          <w:tcPr>
            <w:tcW w:type="dxa" w:w="3135"/>
          </w:tcPr>
          <w:p>
            <w:r/>
            <w:r>
              <w:rPr>
                <w:rFonts w:ascii="Calibri" w:hAnsi="Calibri"/>
                <w:color w:val="374151"/>
                <w:sz w:val="20"/>
              </w:rPr>
              <w:t>Substance Library</w:t>
            </w:r>
          </w:p>
        </w:tc>
        <w:tc>
          <w:tcPr>
            <w:tcW w:type="dxa" w:w="3135"/>
          </w:tcPr>
          <w:p>
            <w:r/>
            <w:r>
              <w:rPr>
                <w:rFonts w:ascii="Calibri" w:hAnsi="Calibri"/>
                <w:color w:val="374151"/>
                <w:sz w:val="20"/>
              </w:rPr>
              <w:t>Mod 2 ↔ 3 ↔ 4</w:t>
            </w:r>
          </w:p>
        </w:tc>
        <w:tc>
          <w:tcPr>
            <w:tcW w:type="dxa" w:w="3135"/>
          </w:tcPr>
          <w:p>
            <w:r/>
            <w:r>
              <w:rPr>
                <w:rFonts w:ascii="Calibri" w:hAnsi="Calibri"/>
                <w:color w:val="374151"/>
                <w:sz w:val="20"/>
              </w:rPr>
              <w:t>Stofdata gedeeld tussen RI&amp;E, PtW en Incidenten</w:t>
            </w:r>
          </w:p>
        </w:tc>
      </w:tr>
    </w:tbl>
    <w:p>
      <w:pPr>
        <w:pStyle w:val="Heading2"/>
      </w:pPr>
      <w:r>
        <w:t>11.2 Workflow voorbeelden</w:t>
      </w:r>
    </w:p>
    <w:p>
      <w:r>
        <w:rPr>
          <w:rFonts w:ascii="Calibri" w:hAnsi="Calibri"/>
          <w:color w:val="374151"/>
          <w:sz w:val="22"/>
        </w:rPr>
        <w:t>Voorbeeld 1 — Incident tot CAPA:</w:t>
      </w:r>
    </w:p>
    <w:p>
      <w:pPr>
        <w:pStyle w:val="ListBullet"/>
      </w:pPr>
      <w:r>
        <w:rPr>
          <w:sz w:val="22"/>
        </w:rPr>
        <w:t>Een operator meldt een lekkage via de mobile meldingsknop (Module 4)</w:t>
      </w:r>
    </w:p>
    <w:p>
      <w:pPr>
        <w:pStyle w:val="ListBullet"/>
      </w:pPr>
      <w:r>
        <w:rPr>
          <w:sz w:val="22"/>
        </w:rPr>
        <w:t>De AI Root-Cause Analist genereert een 5-Why analyse en CAPA-suggesties</w:t>
      </w:r>
    </w:p>
    <w:p>
      <w:pPr>
        <w:pStyle w:val="ListBullet"/>
      </w:pPr>
      <w:r>
        <w:rPr>
          <w:sz w:val="22"/>
        </w:rPr>
        <w:t>CAPA-acties worden aangemaakt en toegewezen aan verantwoordelijken</w:t>
      </w:r>
    </w:p>
    <w:p>
      <w:pPr>
        <w:pStyle w:val="ListBullet"/>
      </w:pPr>
      <w:r>
        <w:rPr>
          <w:sz w:val="22"/>
        </w:rPr>
        <w:t>Indien relevant genereert de Overheids-Melding Generator een formele brief</w:t>
      </w:r>
    </w:p>
    <w:p>
      <w:r>
        <w:rPr>
          <w:rFonts w:ascii="Calibri" w:hAnsi="Calibri"/>
          <w:color w:val="374151"/>
          <w:sz w:val="22"/>
        </w:rPr>
        <w:t>Voorbeeld 2 — PtW tot Training check:</w:t>
      </w:r>
    </w:p>
    <w:p>
      <w:pPr>
        <w:pStyle w:val="ListBullet"/>
      </w:pPr>
      <w:r>
        <w:rPr>
          <w:sz w:val="22"/>
        </w:rPr>
        <w:t>Een supervisor vraagt een Breaking Containment PtW aan (Module 3)</w:t>
      </w:r>
    </w:p>
    <w:p>
      <w:pPr>
        <w:pStyle w:val="ListBullet"/>
      </w:pPr>
      <w:r>
        <w:rPr>
          <w:sz w:val="22"/>
        </w:rPr>
        <w:t>Het systeem controleert automatisch ATEX-zone en HF-antidotum beschikbaarheid</w:t>
      </w:r>
    </w:p>
    <w:p>
      <w:pPr>
        <w:pStyle w:val="ListBullet"/>
      </w:pPr>
      <w:r>
        <w:rPr>
          <w:sz w:val="22"/>
        </w:rPr>
        <w:t>De competentie check verifieert EX- en HF-trainingen bij Module 5</w:t>
      </w:r>
    </w:p>
    <w:p>
      <w:pPr>
        <w:pStyle w:val="ListBullet"/>
      </w:pPr>
      <w:r>
        <w:rPr>
          <w:sz w:val="22"/>
        </w:rPr>
        <w:t>Bij ontbrekende training verschijnt een rode blokkade; de vergunning kan niet worden goedgekeurd</w:t>
      </w:r>
    </w:p>
    <w:p>
      <w:r>
        <w:br w:type="page"/>
      </w:r>
    </w:p>
    <w:p>
      <w:pPr>
        <w:pStyle w:val="Heading1"/>
      </w:pPr>
      <w:r>
        <w:t>12. Beheer &amp; Configuratie</w:t>
      </w:r>
    </w:p>
    <w:p>
      <w:pPr>
        <w:pStyle w:val="Heading2"/>
      </w:pPr>
      <w:r>
        <w:t>12.1 Medewerkers beheren</w:t>
      </w:r>
    </w:p>
    <w:p>
      <w:r>
        <w:rPr>
          <w:rFonts w:ascii="Calibri" w:hAnsi="Calibri"/>
          <w:color w:val="374151"/>
          <w:sz w:val="22"/>
        </w:rPr>
        <w:t>Medewerkers worden toegevoegd en bewerkt via Module 5 (tab Personeel). Per medewerker worden vastgelegd: naam, functie, rol, afdeling, startdatum en status (active/inactive). Bij statuswijziging naar "inactive" worden alle koppelingen (PtW's, trainingen, audits) automatisch gedeactiveerd.</w:t>
      </w:r>
    </w:p>
    <w:p>
      <w:pPr>
        <w:pStyle w:val="Heading2"/>
      </w:pPr>
      <w:r>
        <w:t>12.2 Rollen en trainingseisen</w:t>
      </w:r>
    </w:p>
    <w:p>
      <w:r>
        <w:rPr>
          <w:rFonts w:ascii="Calibri" w:hAnsi="Calibri"/>
          <w:color w:val="374151"/>
          <w:sz w:val="22"/>
        </w:rPr>
        <w:t>De training matrix koppelt rollen aan verplichte trainingen. Bij het toewijzen van een rol aan een medewerker, worden de bijbehorende trainingseisen automatisch geactiveerd. Wijziging van rol resulteert in een nieuwe set eisen; bestaande certificeringen blijven geldig indien van toepassing op de nieuwe rol.</w:t>
      </w:r>
    </w:p>
    <w:p>
      <w:pPr>
        <w:pStyle w:val="Heading2"/>
      </w:pPr>
      <w:r>
        <w:t>12.3 Contractors beheren</w:t>
      </w:r>
    </w:p>
    <w:p>
      <w:r>
        <w:rPr>
          <w:rFonts w:ascii="Calibri" w:hAnsi="Calibri"/>
          <w:color w:val="374151"/>
          <w:sz w:val="22"/>
        </w:rPr>
        <w:t>Contractors worden beheerd via Module 5 (tab Contractors). Per contractor-bedrijf worden vastgelegd: bedrijfsnaam, KVK-nummer, VCA-level, HFA-validatiedatum en contactgegevens. Contractor-medewerkers worden toegevoegd met VCA- en induction-status. Niet-conforme contractors kunnen op de blacklist worden geplaatst.</w:t>
      </w:r>
    </w:p>
    <w:p>
      <w:pPr>
        <w:pStyle w:val="Heading2"/>
      </w:pPr>
      <w:r>
        <w:t>12.4 Data export en import</w:t>
      </w:r>
    </w:p>
    <w:p>
      <w:r>
        <w:rPr>
          <w:rFonts w:ascii="Calibri" w:hAnsi="Calibri"/>
          <w:color w:val="374151"/>
          <w:sz w:val="22"/>
        </w:rPr>
        <w:t>Data kan per module worden geëxporteerd via de export-functie (CSV/Excel). De kennisbank ondersteunt bulk-upload via /upload. De Compliance tracker (/compliance) biedt een overzicht van de totale organisatie-compliance met exportmogelijkheden.</w:t>
      </w:r>
    </w:p>
    <w:p>
      <w:r>
        <w:br w:type="page"/>
      </w:r>
    </w:p>
    <w:p>
      <w:pPr>
        <w:pStyle w:val="Heading1"/>
      </w:pPr>
      <w:r>
        <w:t>Bijlage A — URL Overzicht</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
              <w:rPr>
                <w:rFonts w:ascii="Calibri" w:hAnsi="Calibri"/>
                <w:b/>
                <w:color w:val="FFFFFF"/>
                <w:sz w:val="20"/>
              </w:rPr>
              <w:t>Pagina</w:t>
            </w:r>
          </w:p>
        </w:tc>
        <w:tc>
          <w:tcPr>
            <w:tcW w:type="dxa" w:w="4703"/>
            <w:shd w:fill="003366"/>
          </w:tcPr>
          <w:p>
            <w:pPr>
              <w:jc w:val="center"/>
            </w:pPr>
            <w:r/>
            <w:r>
              <w:rPr>
                <w:rFonts w:ascii="Calibri" w:hAnsi="Calibri"/>
                <w:b/>
                <w:color w:val="FFFFFF"/>
                <w:sz w:val="20"/>
              </w:rPr>
              <w:t>URL-pad</w:t>
            </w:r>
          </w:p>
        </w:tc>
      </w:tr>
      <w:tr>
        <w:tc>
          <w:tcPr>
            <w:tcW w:type="dxa" w:w="4703"/>
          </w:tcPr>
          <w:p>
            <w:r/>
            <w:r>
              <w:rPr>
                <w:rFonts w:ascii="Calibri" w:hAnsi="Calibri"/>
                <w:color w:val="374151"/>
                <w:sz w:val="20"/>
              </w:rPr>
              <w:t>Dashboard</w:t>
            </w:r>
          </w:p>
        </w:tc>
        <w:tc>
          <w:tcPr>
            <w:tcW w:type="dxa" w:w="4703"/>
          </w:tcPr>
          <w:p>
            <w:r/>
            <w:r>
              <w:rPr>
                <w:rFonts w:ascii="Calibri" w:hAnsi="Calibri"/>
                <w:color w:val="374151"/>
                <w:sz w:val="20"/>
              </w:rPr>
              <w:t>/hseq-dashboard/</w:t>
            </w:r>
          </w:p>
        </w:tc>
      </w:tr>
      <w:tr>
        <w:tc>
          <w:tcPr>
            <w:tcW w:type="dxa" w:w="4703"/>
            <w:shd w:fill="F8F9FA"/>
          </w:tcPr>
          <w:p>
            <w:r/>
            <w:r>
              <w:rPr>
                <w:rFonts w:ascii="Calibri" w:hAnsi="Calibri"/>
                <w:color w:val="374151"/>
                <w:sz w:val="20"/>
              </w:rPr>
              <w:t>Module 1 — PBZO</w:t>
            </w:r>
          </w:p>
        </w:tc>
        <w:tc>
          <w:tcPr>
            <w:tcW w:type="dxa" w:w="4703"/>
            <w:shd w:fill="F8F9FA"/>
          </w:tcPr>
          <w:p>
            <w:r/>
            <w:r>
              <w:rPr>
                <w:rFonts w:ascii="Calibri" w:hAnsi="Calibri"/>
                <w:color w:val="374151"/>
                <w:sz w:val="20"/>
              </w:rPr>
              <w:t>/hseq-dashboard/pbzo</w:t>
            </w:r>
          </w:p>
        </w:tc>
      </w:tr>
      <w:tr>
        <w:tc>
          <w:tcPr>
            <w:tcW w:type="dxa" w:w="4703"/>
          </w:tcPr>
          <w:p>
            <w:r/>
            <w:r>
              <w:rPr>
                <w:rFonts w:ascii="Calibri" w:hAnsi="Calibri"/>
                <w:color w:val="374151"/>
                <w:sz w:val="20"/>
              </w:rPr>
              <w:t>Module 2 — RI&amp;E / HAZOP</w:t>
            </w:r>
          </w:p>
        </w:tc>
        <w:tc>
          <w:tcPr>
            <w:tcW w:type="dxa" w:w="4703"/>
          </w:tcPr>
          <w:p>
            <w:r/>
            <w:r>
              <w:rPr>
                <w:rFonts w:ascii="Calibri" w:hAnsi="Calibri"/>
                <w:color w:val="374151"/>
                <w:sz w:val="20"/>
              </w:rPr>
              <w:t>/hseq-dashboard/rie</w:t>
            </w:r>
          </w:p>
        </w:tc>
      </w:tr>
      <w:tr>
        <w:tc>
          <w:tcPr>
            <w:tcW w:type="dxa" w:w="4703"/>
            <w:shd w:fill="F8F9FA"/>
          </w:tcPr>
          <w:p>
            <w:r/>
            <w:r>
              <w:rPr>
                <w:rFonts w:ascii="Calibri" w:hAnsi="Calibri"/>
                <w:color w:val="374151"/>
                <w:sz w:val="20"/>
              </w:rPr>
              <w:t>Module 3 — MoC &amp; PtW</w:t>
            </w:r>
          </w:p>
        </w:tc>
        <w:tc>
          <w:tcPr>
            <w:tcW w:type="dxa" w:w="4703"/>
            <w:shd w:fill="F8F9FA"/>
          </w:tcPr>
          <w:p>
            <w:r/>
            <w:r>
              <w:rPr>
                <w:rFonts w:ascii="Calibri" w:hAnsi="Calibri"/>
                <w:color w:val="374151"/>
                <w:sz w:val="20"/>
              </w:rPr>
              <w:t>/hseq-dashboard/moc-ptw</w:t>
            </w:r>
          </w:p>
        </w:tc>
      </w:tr>
      <w:tr>
        <w:tc>
          <w:tcPr>
            <w:tcW w:type="dxa" w:w="4703"/>
          </w:tcPr>
          <w:p>
            <w:r/>
            <w:r>
              <w:rPr>
                <w:rFonts w:ascii="Calibri" w:hAnsi="Calibri"/>
                <w:color w:val="374151"/>
                <w:sz w:val="20"/>
              </w:rPr>
              <w:t>Module 4 — Incidenten &amp; Milieu</w:t>
            </w:r>
          </w:p>
        </w:tc>
        <w:tc>
          <w:tcPr>
            <w:tcW w:type="dxa" w:w="4703"/>
          </w:tcPr>
          <w:p>
            <w:r/>
            <w:r>
              <w:rPr>
                <w:rFonts w:ascii="Calibri" w:hAnsi="Calibri"/>
                <w:color w:val="374151"/>
                <w:sz w:val="20"/>
              </w:rPr>
              <w:t>/hseq-dashboard/incidents-env</w:t>
            </w:r>
          </w:p>
        </w:tc>
      </w:tr>
      <w:tr>
        <w:tc>
          <w:tcPr>
            <w:tcW w:type="dxa" w:w="4703"/>
            <w:shd w:fill="F8F9FA"/>
          </w:tcPr>
          <w:p>
            <w:r/>
            <w:r>
              <w:rPr>
                <w:rFonts w:ascii="Calibri" w:hAnsi="Calibri"/>
                <w:color w:val="374151"/>
                <w:sz w:val="20"/>
              </w:rPr>
              <w:t>Module 5 — Kwalificaties &amp; Audits</w:t>
            </w:r>
          </w:p>
        </w:tc>
        <w:tc>
          <w:tcPr>
            <w:tcW w:type="dxa" w:w="4703"/>
            <w:shd w:fill="F8F9FA"/>
          </w:tcPr>
          <w:p>
            <w:r/>
            <w:r>
              <w:rPr>
                <w:rFonts w:ascii="Calibri" w:hAnsi="Calibri"/>
                <w:color w:val="374151"/>
                <w:sz w:val="20"/>
              </w:rPr>
              <w:t>/hseq-dashboard/training-audits</w:t>
            </w:r>
          </w:p>
        </w:tc>
      </w:tr>
      <w:tr>
        <w:tc>
          <w:tcPr>
            <w:tcW w:type="dxa" w:w="4703"/>
          </w:tcPr>
          <w:p>
            <w:r/>
            <w:r>
              <w:rPr>
                <w:rFonts w:ascii="Calibri" w:hAnsi="Calibri"/>
                <w:color w:val="374151"/>
                <w:sz w:val="20"/>
              </w:rPr>
              <w:t>Arbo &amp; Veiligheid</w:t>
            </w:r>
          </w:p>
        </w:tc>
        <w:tc>
          <w:tcPr>
            <w:tcW w:type="dxa" w:w="4703"/>
          </w:tcPr>
          <w:p>
            <w:r/>
            <w:r>
              <w:rPr>
                <w:rFonts w:ascii="Calibri" w:hAnsi="Calibri"/>
                <w:color w:val="374151"/>
                <w:sz w:val="20"/>
              </w:rPr>
              <w:t>/services/arbo</w:t>
            </w:r>
          </w:p>
        </w:tc>
      </w:tr>
      <w:tr>
        <w:tc>
          <w:tcPr>
            <w:tcW w:type="dxa" w:w="4703"/>
            <w:shd w:fill="F8F9FA"/>
          </w:tcPr>
          <w:p>
            <w:r/>
            <w:r>
              <w:rPr>
                <w:rFonts w:ascii="Calibri" w:hAnsi="Calibri"/>
                <w:color w:val="374151"/>
                <w:sz w:val="20"/>
              </w:rPr>
              <w:t>BRZO / Seveso</w:t>
            </w:r>
          </w:p>
        </w:tc>
        <w:tc>
          <w:tcPr>
            <w:tcW w:type="dxa" w:w="4703"/>
            <w:shd w:fill="F8F9FA"/>
          </w:tcPr>
          <w:p>
            <w:r/>
            <w:r>
              <w:rPr>
                <w:rFonts w:ascii="Calibri" w:hAnsi="Calibri"/>
                <w:color w:val="374151"/>
                <w:sz w:val="20"/>
              </w:rPr>
              <w:t>/services/brzo</w:t>
            </w:r>
          </w:p>
        </w:tc>
      </w:tr>
      <w:tr>
        <w:tc>
          <w:tcPr>
            <w:tcW w:type="dxa" w:w="4703"/>
          </w:tcPr>
          <w:p>
            <w:r/>
            <w:r>
              <w:rPr>
                <w:rFonts w:ascii="Calibri" w:hAnsi="Calibri"/>
                <w:color w:val="374151"/>
                <w:sz w:val="20"/>
              </w:rPr>
              <w:t>Milieu &amp; Omgeving</w:t>
            </w:r>
          </w:p>
        </w:tc>
        <w:tc>
          <w:tcPr>
            <w:tcW w:type="dxa" w:w="4703"/>
          </w:tcPr>
          <w:p>
            <w:r/>
            <w:r>
              <w:rPr>
                <w:rFonts w:ascii="Calibri" w:hAnsi="Calibri"/>
                <w:color w:val="374151"/>
                <w:sz w:val="20"/>
              </w:rPr>
              <w:t>/services/milieu</w:t>
            </w:r>
          </w:p>
        </w:tc>
      </w:tr>
      <w:tr>
        <w:tc>
          <w:tcPr>
            <w:tcW w:type="dxa" w:w="4703"/>
            <w:shd w:fill="F8F9FA"/>
          </w:tcPr>
          <w:p>
            <w:r/>
            <w:r>
              <w:rPr>
                <w:rFonts w:ascii="Calibri" w:hAnsi="Calibri"/>
                <w:color w:val="374151"/>
                <w:sz w:val="20"/>
              </w:rPr>
              <w:t>KAM Management</w:t>
            </w:r>
          </w:p>
        </w:tc>
        <w:tc>
          <w:tcPr>
            <w:tcW w:type="dxa" w:w="4703"/>
            <w:shd w:fill="F8F9FA"/>
          </w:tcPr>
          <w:p>
            <w:r/>
            <w:r>
              <w:rPr>
                <w:rFonts w:ascii="Calibri" w:hAnsi="Calibri"/>
                <w:color w:val="374151"/>
                <w:sz w:val="20"/>
              </w:rPr>
              <w:t>/services/kam</w:t>
            </w:r>
          </w:p>
        </w:tc>
      </w:tr>
      <w:tr>
        <w:tc>
          <w:tcPr>
            <w:tcW w:type="dxa" w:w="4703"/>
          </w:tcPr>
          <w:p>
            <w:r/>
            <w:r>
              <w:rPr>
                <w:rFonts w:ascii="Calibri" w:hAnsi="Calibri"/>
                <w:color w:val="374151"/>
                <w:sz w:val="20"/>
              </w:rPr>
              <w:t>Training &amp; Opleiding</w:t>
            </w:r>
          </w:p>
        </w:tc>
        <w:tc>
          <w:tcPr>
            <w:tcW w:type="dxa" w:w="4703"/>
          </w:tcPr>
          <w:p>
            <w:r/>
            <w:r>
              <w:rPr>
                <w:rFonts w:ascii="Calibri" w:hAnsi="Calibri"/>
                <w:color w:val="374151"/>
                <w:sz w:val="20"/>
              </w:rPr>
              <w:t>/services/training</w:t>
            </w:r>
          </w:p>
        </w:tc>
      </w:tr>
      <w:tr>
        <w:tc>
          <w:tcPr>
            <w:tcW w:type="dxa" w:w="4703"/>
            <w:shd w:fill="F8F9FA"/>
          </w:tcPr>
          <w:p>
            <w:r/>
            <w:r>
              <w:rPr>
                <w:rFonts w:ascii="Calibri" w:hAnsi="Calibri"/>
                <w:color w:val="374151"/>
                <w:sz w:val="20"/>
              </w:rPr>
              <w:t>Energie &amp; Proces</w:t>
            </w:r>
          </w:p>
        </w:tc>
        <w:tc>
          <w:tcPr>
            <w:tcW w:type="dxa" w:w="4703"/>
            <w:shd w:fill="F8F9FA"/>
          </w:tcPr>
          <w:p>
            <w:r/>
            <w:r>
              <w:rPr>
                <w:rFonts w:ascii="Calibri" w:hAnsi="Calibri"/>
                <w:color w:val="374151"/>
                <w:sz w:val="20"/>
              </w:rPr>
              <w:t>/services/energy</w:t>
            </w:r>
          </w:p>
        </w:tc>
      </w:tr>
      <w:tr>
        <w:tc>
          <w:tcPr>
            <w:tcW w:type="dxa" w:w="4703"/>
          </w:tcPr>
          <w:p>
            <w:r/>
            <w:r>
              <w:rPr>
                <w:rFonts w:ascii="Calibri" w:hAnsi="Calibri"/>
                <w:color w:val="374151"/>
                <w:sz w:val="20"/>
              </w:rPr>
              <w:t>Kennisbank</w:t>
            </w:r>
          </w:p>
        </w:tc>
        <w:tc>
          <w:tcPr>
            <w:tcW w:type="dxa" w:w="4703"/>
          </w:tcPr>
          <w:p>
            <w:r/>
            <w:r>
              <w:rPr>
                <w:rFonts w:ascii="Calibri" w:hAnsi="Calibri"/>
                <w:color w:val="374151"/>
                <w:sz w:val="20"/>
              </w:rPr>
              <w:t>/knowledge</w:t>
            </w:r>
          </w:p>
        </w:tc>
      </w:tr>
      <w:tr>
        <w:tc>
          <w:tcPr>
            <w:tcW w:type="dxa" w:w="4703"/>
            <w:shd w:fill="F8F9FA"/>
          </w:tcPr>
          <w:p>
            <w:r/>
            <w:r>
              <w:rPr>
                <w:rFonts w:ascii="Calibri" w:hAnsi="Calibri"/>
                <w:color w:val="374151"/>
                <w:sz w:val="20"/>
              </w:rPr>
              <w:t>HSEQ Advisor</w:t>
            </w:r>
          </w:p>
        </w:tc>
        <w:tc>
          <w:tcPr>
            <w:tcW w:type="dxa" w:w="4703"/>
            <w:shd w:fill="F8F9FA"/>
          </w:tcPr>
          <w:p>
            <w:r/>
            <w:r>
              <w:rPr>
                <w:rFonts w:ascii="Calibri" w:hAnsi="Calibri"/>
                <w:color w:val="374151"/>
                <w:sz w:val="20"/>
              </w:rPr>
              <w:t>/advisor</w:t>
            </w:r>
          </w:p>
        </w:tc>
      </w:tr>
      <w:tr>
        <w:tc>
          <w:tcPr>
            <w:tcW w:type="dxa" w:w="4703"/>
          </w:tcPr>
          <w:p>
            <w:r/>
            <w:r>
              <w:rPr>
                <w:rFonts w:ascii="Calibri" w:hAnsi="Calibri"/>
                <w:color w:val="374151"/>
                <w:sz w:val="20"/>
              </w:rPr>
              <w:t>Upload</w:t>
            </w:r>
          </w:p>
        </w:tc>
        <w:tc>
          <w:tcPr>
            <w:tcW w:type="dxa" w:w="4703"/>
          </w:tcPr>
          <w:p>
            <w:r/>
            <w:r>
              <w:rPr>
                <w:rFonts w:ascii="Calibri" w:hAnsi="Calibri"/>
                <w:color w:val="374151"/>
                <w:sz w:val="20"/>
              </w:rPr>
              <w:t>/upload</w:t>
            </w:r>
          </w:p>
        </w:tc>
      </w:tr>
      <w:tr>
        <w:tc>
          <w:tcPr>
            <w:tcW w:type="dxa" w:w="4703"/>
            <w:shd w:fill="F8F9FA"/>
          </w:tcPr>
          <w:p>
            <w:r/>
            <w:r>
              <w:rPr>
                <w:rFonts w:ascii="Calibri" w:hAnsi="Calibri"/>
                <w:color w:val="374151"/>
                <w:sz w:val="20"/>
              </w:rPr>
              <w:t>Compliance</w:t>
            </w:r>
          </w:p>
        </w:tc>
        <w:tc>
          <w:tcPr>
            <w:tcW w:type="dxa" w:w="4703"/>
            <w:shd w:fill="F8F9FA"/>
          </w:tcPr>
          <w:p>
            <w:r/>
            <w:r>
              <w:rPr>
                <w:rFonts w:ascii="Calibri" w:hAnsi="Calibri"/>
                <w:color w:val="374151"/>
                <w:sz w:val="20"/>
              </w:rPr>
              <w:t>/compliance</w:t>
            </w:r>
          </w:p>
        </w:tc>
      </w:tr>
      <w:tr>
        <w:tc>
          <w:tcPr>
            <w:tcW w:type="dxa" w:w="4703"/>
          </w:tcPr>
          <w:p>
            <w:r/>
            <w:r>
              <w:rPr>
                <w:rFonts w:ascii="Calibri" w:hAnsi="Calibri"/>
                <w:color w:val="374151"/>
                <w:sz w:val="20"/>
              </w:rPr>
              <w:t>Market Intelligence</w:t>
            </w:r>
          </w:p>
        </w:tc>
        <w:tc>
          <w:tcPr>
            <w:tcW w:type="dxa" w:w="4703"/>
          </w:tcPr>
          <w:p>
            <w:r/>
            <w:r>
              <w:rPr>
                <w:rFonts w:ascii="Calibri" w:hAnsi="Calibri"/>
                <w:color w:val="374151"/>
                <w:sz w:val="20"/>
              </w:rPr>
              <w:t>/intelligence</w:t>
            </w:r>
          </w:p>
        </w:tc>
      </w:tr>
    </w:tbl>
    <w:p>
      <w:r>
        <w:br w:type="page"/>
      </w:r>
    </w:p>
    <w:p>
      <w:pPr>
        <w:pStyle w:val="Heading1"/>
      </w:pPr>
      <w:r>
        <w:t>Bijlage B — BRZO VBS-elementen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20"/>
              </w:rPr>
              <w:t>Element</w:t>
            </w:r>
          </w:p>
        </w:tc>
        <w:tc>
          <w:tcPr>
            <w:tcW w:type="dxa" w:w="3135"/>
            <w:shd w:fill="003366"/>
          </w:tcPr>
          <w:p>
            <w:pPr>
              <w:jc w:val="center"/>
            </w:pPr>
            <w:r/>
            <w:r>
              <w:rPr>
                <w:rFonts w:ascii="Calibri" w:hAnsi="Calibri"/>
                <w:b/>
                <w:color w:val="FFFFFF"/>
                <w:sz w:val="20"/>
              </w:rPr>
              <w:t>Naam</w:t>
            </w:r>
          </w:p>
        </w:tc>
        <w:tc>
          <w:tcPr>
            <w:tcW w:type="dxa" w:w="3135"/>
            <w:shd w:fill="003366"/>
          </w:tcPr>
          <w:p>
            <w:pPr>
              <w:jc w:val="center"/>
            </w:pPr>
            <w:r/>
            <w:r>
              <w:rPr>
                <w:rFonts w:ascii="Calibri" w:hAnsi="Calibri"/>
                <w:b/>
                <w:color w:val="FFFFFF"/>
                <w:sz w:val="20"/>
              </w:rPr>
              <w:t>Kern</w:t>
            </w:r>
          </w:p>
        </w:tc>
      </w:tr>
      <w:tr>
        <w:tc>
          <w:tcPr>
            <w:tcW w:type="dxa" w:w="3135"/>
          </w:tcPr>
          <w:p>
            <w:r/>
            <w:r>
              <w:rPr>
                <w:rFonts w:ascii="Calibri" w:hAnsi="Calibri"/>
                <w:color w:val="374151"/>
                <w:sz w:val="20"/>
              </w:rPr>
              <w:t>VBS 1</w:t>
            </w:r>
          </w:p>
        </w:tc>
        <w:tc>
          <w:tcPr>
            <w:tcW w:type="dxa" w:w="3135"/>
          </w:tcPr>
          <w:p>
            <w:r/>
            <w:r>
              <w:rPr>
                <w:rFonts w:ascii="Calibri" w:hAnsi="Calibri"/>
                <w:color w:val="374151"/>
                <w:sz w:val="20"/>
              </w:rPr>
              <w:t>Beleid en organisatie</w:t>
            </w:r>
          </w:p>
        </w:tc>
        <w:tc>
          <w:tcPr>
            <w:tcW w:type="dxa" w:w="3135"/>
          </w:tcPr>
          <w:p>
            <w:r/>
            <w:r>
              <w:rPr>
                <w:rFonts w:ascii="Calibri" w:hAnsi="Calibri"/>
                <w:color w:val="374151"/>
                <w:sz w:val="20"/>
              </w:rPr>
              <w:t>Veiligheidsbeleid, structuur, verantwoordelijkheden</w:t>
            </w:r>
          </w:p>
        </w:tc>
      </w:tr>
      <w:tr>
        <w:tc>
          <w:tcPr>
            <w:tcW w:type="dxa" w:w="3135"/>
            <w:shd w:fill="F8F9FA"/>
          </w:tcPr>
          <w:p>
            <w:r/>
            <w:r>
              <w:rPr>
                <w:rFonts w:ascii="Calibri" w:hAnsi="Calibri"/>
                <w:color w:val="374151"/>
                <w:sz w:val="20"/>
              </w:rPr>
              <w:t>VBS 2</w:t>
            </w:r>
          </w:p>
        </w:tc>
        <w:tc>
          <w:tcPr>
            <w:tcW w:type="dxa" w:w="3135"/>
            <w:shd w:fill="F8F9FA"/>
          </w:tcPr>
          <w:p>
            <w:r/>
            <w:r>
              <w:rPr>
                <w:rFonts w:ascii="Calibri" w:hAnsi="Calibri"/>
                <w:color w:val="374151"/>
                <w:sz w:val="20"/>
              </w:rPr>
              <w:t>Identificatie en evaluatie</w:t>
            </w:r>
          </w:p>
        </w:tc>
        <w:tc>
          <w:tcPr>
            <w:tcW w:type="dxa" w:w="3135"/>
            <w:shd w:fill="F8F9FA"/>
          </w:tcPr>
          <w:p>
            <w:r/>
            <w:r>
              <w:rPr>
                <w:rFonts w:ascii="Calibri" w:hAnsi="Calibri"/>
                <w:color w:val="374151"/>
                <w:sz w:val="20"/>
              </w:rPr>
              <w:t>Gevaaridentificatie, risicobeoordeling, risicoberekening</w:t>
            </w:r>
          </w:p>
        </w:tc>
      </w:tr>
      <w:tr>
        <w:tc>
          <w:tcPr>
            <w:tcW w:type="dxa" w:w="3135"/>
          </w:tcPr>
          <w:p>
            <w:r/>
            <w:r>
              <w:rPr>
                <w:rFonts w:ascii="Calibri" w:hAnsi="Calibri"/>
                <w:color w:val="374151"/>
                <w:sz w:val="20"/>
              </w:rPr>
              <w:t>VBS 3</w:t>
            </w:r>
          </w:p>
        </w:tc>
        <w:tc>
          <w:tcPr>
            <w:tcW w:type="dxa" w:w="3135"/>
          </w:tcPr>
          <w:p>
            <w:r/>
            <w:r>
              <w:rPr>
                <w:rFonts w:ascii="Calibri" w:hAnsi="Calibri"/>
                <w:color w:val="374151"/>
                <w:sz w:val="20"/>
              </w:rPr>
              <w:t>Beheersmaatregelen — veiligheid</w:t>
            </w:r>
          </w:p>
        </w:tc>
        <w:tc>
          <w:tcPr>
            <w:tcW w:type="dxa" w:w="3135"/>
          </w:tcPr>
          <w:p>
            <w:r/>
            <w:r>
              <w:rPr>
                <w:rFonts w:ascii="Calibri" w:hAnsi="Calibri"/>
                <w:color w:val="374151"/>
                <w:sz w:val="20"/>
              </w:rPr>
              <w:t>Preventieve en mitigerende maatregelen</w:t>
            </w:r>
          </w:p>
        </w:tc>
      </w:tr>
      <w:tr>
        <w:tc>
          <w:tcPr>
            <w:tcW w:type="dxa" w:w="3135"/>
            <w:shd w:fill="F8F9FA"/>
          </w:tcPr>
          <w:p>
            <w:r/>
            <w:r>
              <w:rPr>
                <w:rFonts w:ascii="Calibri" w:hAnsi="Calibri"/>
                <w:color w:val="374151"/>
                <w:sz w:val="20"/>
              </w:rPr>
              <w:t>VBS 4</w:t>
            </w:r>
          </w:p>
        </w:tc>
        <w:tc>
          <w:tcPr>
            <w:tcW w:type="dxa" w:w="3135"/>
            <w:shd w:fill="F8F9FA"/>
          </w:tcPr>
          <w:p>
            <w:r/>
            <w:r>
              <w:rPr>
                <w:rFonts w:ascii="Calibri" w:hAnsi="Calibri"/>
                <w:color w:val="374151"/>
                <w:sz w:val="20"/>
              </w:rPr>
              <w:t>Beheersmaatregelen — planning</w:t>
            </w:r>
          </w:p>
        </w:tc>
        <w:tc>
          <w:tcPr>
            <w:tcW w:type="dxa" w:w="3135"/>
            <w:shd w:fill="F8F9FA"/>
          </w:tcPr>
          <w:p>
            <w:r/>
            <w:r>
              <w:rPr>
                <w:rFonts w:ascii="Calibri" w:hAnsi="Calibri"/>
                <w:color w:val="374151"/>
                <w:sz w:val="20"/>
              </w:rPr>
              <w:t>Uitvoeringsplanning en prioritering</w:t>
            </w:r>
          </w:p>
        </w:tc>
      </w:tr>
      <w:tr>
        <w:tc>
          <w:tcPr>
            <w:tcW w:type="dxa" w:w="3135"/>
          </w:tcPr>
          <w:p>
            <w:r/>
            <w:r>
              <w:rPr>
                <w:rFonts w:ascii="Calibri" w:hAnsi="Calibri"/>
                <w:color w:val="374151"/>
                <w:sz w:val="20"/>
              </w:rPr>
              <w:t>VBS 5</w:t>
            </w:r>
          </w:p>
        </w:tc>
        <w:tc>
          <w:tcPr>
            <w:tcW w:type="dxa" w:w="3135"/>
          </w:tcPr>
          <w:p>
            <w:r/>
            <w:r>
              <w:rPr>
                <w:rFonts w:ascii="Calibri" w:hAnsi="Calibri"/>
                <w:color w:val="374151"/>
                <w:sz w:val="20"/>
              </w:rPr>
              <w:t>Informatievoorziening</w:t>
            </w:r>
          </w:p>
        </w:tc>
        <w:tc>
          <w:tcPr>
            <w:tcW w:type="dxa" w:w="3135"/>
          </w:tcPr>
          <w:p>
            <w:r/>
            <w:r>
              <w:rPr>
                <w:rFonts w:ascii="Calibri" w:hAnsi="Calibri"/>
                <w:color w:val="374151"/>
                <w:sz w:val="20"/>
              </w:rPr>
              <w:t>Documentatie, procedures, training</w:t>
            </w:r>
          </w:p>
        </w:tc>
      </w:tr>
      <w:tr>
        <w:tc>
          <w:tcPr>
            <w:tcW w:type="dxa" w:w="3135"/>
            <w:shd w:fill="F8F9FA"/>
          </w:tcPr>
          <w:p>
            <w:r/>
            <w:r>
              <w:rPr>
                <w:rFonts w:ascii="Calibri" w:hAnsi="Calibri"/>
                <w:color w:val="374151"/>
                <w:sz w:val="20"/>
              </w:rPr>
              <w:t>VBS 6</w:t>
            </w:r>
          </w:p>
        </w:tc>
        <w:tc>
          <w:tcPr>
            <w:tcW w:type="dxa" w:w="3135"/>
            <w:shd w:fill="F8F9FA"/>
          </w:tcPr>
          <w:p>
            <w:r/>
            <w:r>
              <w:rPr>
                <w:rFonts w:ascii="Calibri" w:hAnsi="Calibri"/>
                <w:color w:val="374151"/>
                <w:sz w:val="20"/>
              </w:rPr>
              <w:t>Audit en review</w:t>
            </w:r>
          </w:p>
        </w:tc>
        <w:tc>
          <w:tcPr>
            <w:tcW w:type="dxa" w:w="3135"/>
            <w:shd w:fill="F8F9FA"/>
          </w:tcPr>
          <w:p>
            <w:r/>
            <w:r>
              <w:rPr>
                <w:rFonts w:ascii="Calibri" w:hAnsi="Calibri"/>
                <w:color w:val="374151"/>
                <w:sz w:val="20"/>
              </w:rPr>
              <w:t>Interne audits, management review, continue verbetering</w:t>
            </w:r>
          </w:p>
        </w:tc>
      </w:tr>
      <w:tr>
        <w:tc>
          <w:tcPr>
            <w:tcW w:type="dxa" w:w="3135"/>
          </w:tcPr>
          <w:p>
            <w:r/>
            <w:r>
              <w:rPr>
                <w:rFonts w:ascii="Calibri" w:hAnsi="Calibri"/>
                <w:color w:val="374151"/>
                <w:sz w:val="20"/>
              </w:rPr>
              <w:t>VBS 7</w:t>
            </w:r>
          </w:p>
        </w:tc>
        <w:tc>
          <w:tcPr>
            <w:tcW w:type="dxa" w:w="3135"/>
          </w:tcPr>
          <w:p>
            <w:r/>
            <w:r>
              <w:rPr>
                <w:rFonts w:ascii="Calibri" w:hAnsi="Calibri"/>
                <w:color w:val="374151"/>
                <w:sz w:val="20"/>
              </w:rPr>
              <w:t>Crisismanagement</w:t>
            </w:r>
          </w:p>
        </w:tc>
        <w:tc>
          <w:tcPr>
            <w:tcW w:type="dxa" w:w="3135"/>
          </w:tcPr>
          <w:p>
            <w:r/>
            <w:r>
              <w:rPr>
                <w:rFonts w:ascii="Calibri" w:hAnsi="Calibri"/>
                <w:color w:val="374151"/>
                <w:sz w:val="20"/>
              </w:rPr>
              <w:t>Noodplan, oefeningen, communicatie bij incidenten</w:t>
            </w:r>
          </w:p>
        </w:tc>
      </w:tr>
    </w:tbl>
    <w:p>
      <w:r>
        <w:br w:type="page"/>
      </w:r>
    </w:p>
    <w:p>
      <w:pPr>
        <w:pStyle w:val="Heading1"/>
      </w:pPr>
      <w:r>
        <w:t>Bijlage C — Afkortingenlijst</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
              <w:rPr>
                <w:rFonts w:ascii="Calibri" w:hAnsi="Calibri"/>
                <w:b/>
                <w:color w:val="FFFFFF"/>
                <w:sz w:val="20"/>
              </w:rPr>
              <w:t>Afkorting</w:t>
            </w:r>
          </w:p>
        </w:tc>
        <w:tc>
          <w:tcPr>
            <w:tcW w:type="dxa" w:w="4703"/>
            <w:shd w:fill="003366"/>
          </w:tcPr>
          <w:p>
            <w:pPr>
              <w:jc w:val="center"/>
            </w:pPr>
            <w:r/>
            <w:r>
              <w:rPr>
                <w:rFonts w:ascii="Calibri" w:hAnsi="Calibri"/>
                <w:b/>
                <w:color w:val="FFFFFF"/>
                <w:sz w:val="20"/>
              </w:rPr>
              <w:t>Betekenis</w:t>
            </w:r>
          </w:p>
        </w:tc>
      </w:tr>
      <w:tr>
        <w:tc>
          <w:tcPr>
            <w:tcW w:type="dxa" w:w="4703"/>
          </w:tcPr>
          <w:p>
            <w:r/>
            <w:r>
              <w:rPr>
                <w:rFonts w:ascii="Calibri" w:hAnsi="Calibri"/>
                <w:color w:val="374151"/>
                <w:sz w:val="20"/>
              </w:rPr>
              <w:t>ATEX</w:t>
            </w:r>
          </w:p>
        </w:tc>
        <w:tc>
          <w:tcPr>
            <w:tcW w:type="dxa" w:w="4703"/>
          </w:tcPr>
          <w:p>
            <w:r/>
            <w:r>
              <w:rPr>
                <w:rFonts w:ascii="Calibri" w:hAnsi="Calibri"/>
                <w:color w:val="374151"/>
                <w:sz w:val="20"/>
              </w:rPr>
              <w:t>Atmosphères Explosibles (explosieveiligheid)</w:t>
            </w:r>
          </w:p>
        </w:tc>
      </w:tr>
      <w:tr>
        <w:tc>
          <w:tcPr>
            <w:tcW w:type="dxa" w:w="4703"/>
            <w:shd w:fill="F8F9FA"/>
          </w:tcPr>
          <w:p>
            <w:r/>
            <w:r>
              <w:rPr>
                <w:rFonts w:ascii="Calibri" w:hAnsi="Calibri"/>
                <w:color w:val="374151"/>
                <w:sz w:val="20"/>
              </w:rPr>
              <w:t>BRZO</w:t>
            </w:r>
          </w:p>
        </w:tc>
        <w:tc>
          <w:tcPr>
            <w:tcW w:type="dxa" w:w="4703"/>
            <w:shd w:fill="F8F9FA"/>
          </w:tcPr>
          <w:p>
            <w:r/>
            <w:r>
              <w:rPr>
                <w:rFonts w:ascii="Calibri" w:hAnsi="Calibri"/>
                <w:color w:val="374151"/>
                <w:sz w:val="20"/>
              </w:rPr>
              <w:t>Besluit Risico's Zware Ongevallen</w:t>
            </w:r>
          </w:p>
        </w:tc>
      </w:tr>
      <w:tr>
        <w:tc>
          <w:tcPr>
            <w:tcW w:type="dxa" w:w="4703"/>
          </w:tcPr>
          <w:p>
            <w:r/>
            <w:r>
              <w:rPr>
                <w:rFonts w:ascii="Calibri" w:hAnsi="Calibri"/>
                <w:color w:val="374151"/>
                <w:sz w:val="20"/>
              </w:rPr>
              <w:t>CAPA</w:t>
            </w:r>
          </w:p>
        </w:tc>
        <w:tc>
          <w:tcPr>
            <w:tcW w:type="dxa" w:w="4703"/>
          </w:tcPr>
          <w:p>
            <w:r/>
            <w:r>
              <w:rPr>
                <w:rFonts w:ascii="Calibri" w:hAnsi="Calibri"/>
                <w:color w:val="374151"/>
                <w:sz w:val="20"/>
              </w:rPr>
              <w:t>Corrective and Preventive Action</w:t>
            </w:r>
          </w:p>
        </w:tc>
      </w:tr>
      <w:tr>
        <w:tc>
          <w:tcPr>
            <w:tcW w:type="dxa" w:w="4703"/>
            <w:shd w:fill="F8F9FA"/>
          </w:tcPr>
          <w:p>
            <w:r/>
            <w:r>
              <w:rPr>
                <w:rFonts w:ascii="Calibri" w:hAnsi="Calibri"/>
                <w:color w:val="374151"/>
                <w:sz w:val="20"/>
              </w:rPr>
              <w:t>CAS</w:t>
            </w:r>
          </w:p>
        </w:tc>
        <w:tc>
          <w:tcPr>
            <w:tcW w:type="dxa" w:w="4703"/>
            <w:shd w:fill="F8F9FA"/>
          </w:tcPr>
          <w:p>
            <w:r/>
            <w:r>
              <w:rPr>
                <w:rFonts w:ascii="Calibri" w:hAnsi="Calibri"/>
                <w:color w:val="374151"/>
                <w:sz w:val="20"/>
              </w:rPr>
              <w:t>Chemical Abstracts Service (stofidentificatie)</w:t>
            </w:r>
          </w:p>
        </w:tc>
      </w:tr>
      <w:tr>
        <w:tc>
          <w:tcPr>
            <w:tcW w:type="dxa" w:w="4703"/>
          </w:tcPr>
          <w:p>
            <w:r/>
            <w:r>
              <w:rPr>
                <w:rFonts w:ascii="Calibri" w:hAnsi="Calibri"/>
                <w:color w:val="374151"/>
                <w:sz w:val="20"/>
              </w:rPr>
              <w:t>GHS</w:t>
            </w:r>
          </w:p>
        </w:tc>
        <w:tc>
          <w:tcPr>
            <w:tcW w:type="dxa" w:w="4703"/>
          </w:tcPr>
          <w:p>
            <w:r/>
            <w:r>
              <w:rPr>
                <w:rFonts w:ascii="Calibri" w:hAnsi="Calibri"/>
                <w:color w:val="374151"/>
                <w:sz w:val="20"/>
              </w:rPr>
              <w:t>Globally Harmonized System (classificatie gevaarlijke stoffen)</w:t>
            </w:r>
          </w:p>
        </w:tc>
      </w:tr>
      <w:tr>
        <w:tc>
          <w:tcPr>
            <w:tcW w:type="dxa" w:w="4703"/>
            <w:shd w:fill="F8F9FA"/>
          </w:tcPr>
          <w:p>
            <w:r/>
            <w:r>
              <w:rPr>
                <w:rFonts w:ascii="Calibri" w:hAnsi="Calibri"/>
                <w:color w:val="374151"/>
                <w:sz w:val="20"/>
              </w:rPr>
              <w:t>HAZOP</w:t>
            </w:r>
          </w:p>
        </w:tc>
        <w:tc>
          <w:tcPr>
            <w:tcW w:type="dxa" w:w="4703"/>
            <w:shd w:fill="F8F9FA"/>
          </w:tcPr>
          <w:p>
            <w:r/>
            <w:r>
              <w:rPr>
                <w:rFonts w:ascii="Calibri" w:hAnsi="Calibri"/>
                <w:color w:val="374151"/>
                <w:sz w:val="20"/>
              </w:rPr>
              <w:t>Hazard and Operability Study</w:t>
            </w:r>
          </w:p>
        </w:tc>
      </w:tr>
      <w:tr>
        <w:tc>
          <w:tcPr>
            <w:tcW w:type="dxa" w:w="4703"/>
          </w:tcPr>
          <w:p>
            <w:r/>
            <w:r>
              <w:rPr>
                <w:rFonts w:ascii="Calibri" w:hAnsi="Calibri"/>
                <w:color w:val="374151"/>
                <w:sz w:val="20"/>
              </w:rPr>
              <w:t>HF</w:t>
            </w:r>
          </w:p>
        </w:tc>
        <w:tc>
          <w:tcPr>
            <w:tcW w:type="dxa" w:w="4703"/>
          </w:tcPr>
          <w:p>
            <w:r/>
            <w:r>
              <w:rPr>
                <w:rFonts w:ascii="Calibri" w:hAnsi="Calibri"/>
                <w:color w:val="374151"/>
                <w:sz w:val="20"/>
              </w:rPr>
              <w:t>Waterstoffluoride (Hydrogen Fluoride)</w:t>
            </w:r>
          </w:p>
        </w:tc>
      </w:tr>
      <w:tr>
        <w:tc>
          <w:tcPr>
            <w:tcW w:type="dxa" w:w="4703"/>
            <w:shd w:fill="F8F9FA"/>
          </w:tcPr>
          <w:p>
            <w:r/>
            <w:r>
              <w:rPr>
                <w:rFonts w:ascii="Calibri" w:hAnsi="Calibri"/>
                <w:color w:val="374151"/>
                <w:sz w:val="20"/>
              </w:rPr>
              <w:t>HFA</w:t>
            </w:r>
          </w:p>
        </w:tc>
        <w:tc>
          <w:tcPr>
            <w:tcW w:type="dxa" w:w="4703"/>
            <w:shd w:fill="F8F9FA"/>
          </w:tcPr>
          <w:p>
            <w:r/>
            <w:r>
              <w:rPr>
                <w:rFonts w:ascii="Calibri" w:hAnsi="Calibri"/>
                <w:color w:val="374151"/>
                <w:sz w:val="20"/>
              </w:rPr>
              <w:t>Hazard Factor Assessment</w:t>
            </w:r>
          </w:p>
        </w:tc>
      </w:tr>
      <w:tr>
        <w:tc>
          <w:tcPr>
            <w:tcW w:type="dxa" w:w="4703"/>
          </w:tcPr>
          <w:p>
            <w:r/>
            <w:r>
              <w:rPr>
                <w:rFonts w:ascii="Calibri" w:hAnsi="Calibri"/>
                <w:color w:val="374151"/>
                <w:sz w:val="20"/>
              </w:rPr>
              <w:t>HSEQ</w:t>
            </w:r>
          </w:p>
        </w:tc>
        <w:tc>
          <w:tcPr>
            <w:tcW w:type="dxa" w:w="4703"/>
          </w:tcPr>
          <w:p>
            <w:r/>
            <w:r>
              <w:rPr>
                <w:rFonts w:ascii="Calibri" w:hAnsi="Calibri"/>
                <w:color w:val="374151"/>
                <w:sz w:val="20"/>
              </w:rPr>
              <w:t>Health, Safety, Environment &amp; Quality</w:t>
            </w:r>
          </w:p>
        </w:tc>
      </w:tr>
      <w:tr>
        <w:tc>
          <w:tcPr>
            <w:tcW w:type="dxa" w:w="4703"/>
            <w:shd w:fill="F8F9FA"/>
          </w:tcPr>
          <w:p>
            <w:r/>
            <w:r>
              <w:rPr>
                <w:rFonts w:ascii="Calibri" w:hAnsi="Calibri"/>
                <w:color w:val="374151"/>
                <w:sz w:val="20"/>
              </w:rPr>
              <w:t>ILT</w:t>
            </w:r>
          </w:p>
        </w:tc>
        <w:tc>
          <w:tcPr>
            <w:tcW w:type="dxa" w:w="4703"/>
            <w:shd w:fill="F8F9FA"/>
          </w:tcPr>
          <w:p>
            <w:r/>
            <w:r>
              <w:rPr>
                <w:rFonts w:ascii="Calibri" w:hAnsi="Calibri"/>
                <w:color w:val="374151"/>
                <w:sz w:val="20"/>
              </w:rPr>
              <w:t>Inspectie Leefomgeving en Transport</w:t>
            </w:r>
          </w:p>
        </w:tc>
      </w:tr>
      <w:tr>
        <w:tc>
          <w:tcPr>
            <w:tcW w:type="dxa" w:w="4703"/>
          </w:tcPr>
          <w:p>
            <w:r/>
            <w:r>
              <w:rPr>
                <w:rFonts w:ascii="Calibri" w:hAnsi="Calibri"/>
                <w:color w:val="374151"/>
                <w:sz w:val="20"/>
              </w:rPr>
              <w:t>KAM</w:t>
            </w:r>
          </w:p>
        </w:tc>
        <w:tc>
          <w:tcPr>
            <w:tcW w:type="dxa" w:w="4703"/>
          </w:tcPr>
          <w:p>
            <w:r/>
            <w:r>
              <w:rPr>
                <w:rFonts w:ascii="Calibri" w:hAnsi="Calibri"/>
                <w:color w:val="374151"/>
                <w:sz w:val="20"/>
              </w:rPr>
              <w:t>Kwaliteit, Arbo, Milieu</w:t>
            </w:r>
          </w:p>
        </w:tc>
      </w:tr>
      <w:tr>
        <w:tc>
          <w:tcPr>
            <w:tcW w:type="dxa" w:w="4703"/>
            <w:shd w:fill="F8F9FA"/>
          </w:tcPr>
          <w:p>
            <w:r/>
            <w:r>
              <w:rPr>
                <w:rFonts w:ascii="Calibri" w:hAnsi="Calibri"/>
                <w:color w:val="374151"/>
                <w:sz w:val="20"/>
              </w:rPr>
              <w:t>LOTO</w:t>
            </w:r>
          </w:p>
        </w:tc>
        <w:tc>
          <w:tcPr>
            <w:tcW w:type="dxa" w:w="4703"/>
            <w:shd w:fill="F8F9FA"/>
          </w:tcPr>
          <w:p>
            <w:r/>
            <w:r>
              <w:rPr>
                <w:rFonts w:ascii="Calibri" w:hAnsi="Calibri"/>
                <w:color w:val="374151"/>
                <w:sz w:val="20"/>
              </w:rPr>
              <w:t>Lock-Out / Tag-Out</w:t>
            </w:r>
          </w:p>
        </w:tc>
      </w:tr>
      <w:tr>
        <w:tc>
          <w:tcPr>
            <w:tcW w:type="dxa" w:w="4703"/>
          </w:tcPr>
          <w:p>
            <w:r/>
            <w:r>
              <w:rPr>
                <w:rFonts w:ascii="Calibri" w:hAnsi="Calibri"/>
                <w:color w:val="374151"/>
                <w:sz w:val="20"/>
              </w:rPr>
              <w:t>MAC</w:t>
            </w:r>
          </w:p>
        </w:tc>
        <w:tc>
          <w:tcPr>
            <w:tcW w:type="dxa" w:w="4703"/>
          </w:tcPr>
          <w:p>
            <w:r/>
            <w:r>
              <w:rPr>
                <w:rFonts w:ascii="Calibri" w:hAnsi="Calibri"/>
                <w:color w:val="374151"/>
                <w:sz w:val="20"/>
              </w:rPr>
              <w:t>Maximaal Aanvaardbare Concentratie</w:t>
            </w:r>
          </w:p>
        </w:tc>
      </w:tr>
      <w:tr>
        <w:tc>
          <w:tcPr>
            <w:tcW w:type="dxa" w:w="4703"/>
            <w:shd w:fill="F8F9FA"/>
          </w:tcPr>
          <w:p>
            <w:r/>
            <w:r>
              <w:rPr>
                <w:rFonts w:ascii="Calibri" w:hAnsi="Calibri"/>
                <w:color w:val="374151"/>
                <w:sz w:val="20"/>
              </w:rPr>
              <w:t>MoC</w:t>
            </w:r>
          </w:p>
        </w:tc>
        <w:tc>
          <w:tcPr>
            <w:tcW w:type="dxa" w:w="4703"/>
            <w:shd w:fill="F8F9FA"/>
          </w:tcPr>
          <w:p>
            <w:r/>
            <w:r>
              <w:rPr>
                <w:rFonts w:ascii="Calibri" w:hAnsi="Calibri"/>
                <w:color w:val="374151"/>
                <w:sz w:val="20"/>
              </w:rPr>
              <w:t>Management of Change</w:t>
            </w:r>
          </w:p>
        </w:tc>
      </w:tr>
      <w:tr>
        <w:tc>
          <w:tcPr>
            <w:tcW w:type="dxa" w:w="4703"/>
          </w:tcPr>
          <w:p>
            <w:r/>
            <w:r>
              <w:rPr>
                <w:rFonts w:ascii="Calibri" w:hAnsi="Calibri"/>
                <w:color w:val="374151"/>
                <w:sz w:val="20"/>
              </w:rPr>
              <w:t>PBM</w:t>
            </w:r>
          </w:p>
        </w:tc>
        <w:tc>
          <w:tcPr>
            <w:tcW w:type="dxa" w:w="4703"/>
          </w:tcPr>
          <w:p>
            <w:r/>
            <w:r>
              <w:rPr>
                <w:rFonts w:ascii="Calibri" w:hAnsi="Calibri"/>
                <w:color w:val="374151"/>
                <w:sz w:val="20"/>
              </w:rPr>
              <w:t>Persoonlijke Beschermingsmiddelen</w:t>
            </w:r>
          </w:p>
        </w:tc>
      </w:tr>
      <w:tr>
        <w:tc>
          <w:tcPr>
            <w:tcW w:type="dxa" w:w="4703"/>
            <w:shd w:fill="F8F9FA"/>
          </w:tcPr>
          <w:p>
            <w:r/>
            <w:r>
              <w:rPr>
                <w:rFonts w:ascii="Calibri" w:hAnsi="Calibri"/>
                <w:color w:val="374151"/>
                <w:sz w:val="20"/>
              </w:rPr>
              <w:t>PDCA</w:t>
            </w:r>
          </w:p>
        </w:tc>
        <w:tc>
          <w:tcPr>
            <w:tcW w:type="dxa" w:w="4703"/>
            <w:shd w:fill="F8F9FA"/>
          </w:tcPr>
          <w:p>
            <w:r/>
            <w:r>
              <w:rPr>
                <w:rFonts w:ascii="Calibri" w:hAnsi="Calibri"/>
                <w:color w:val="374151"/>
                <w:sz w:val="20"/>
              </w:rPr>
              <w:t>Plan-Do-Check-Act</w:t>
            </w:r>
          </w:p>
        </w:tc>
      </w:tr>
      <w:tr>
        <w:tc>
          <w:tcPr>
            <w:tcW w:type="dxa" w:w="4703"/>
          </w:tcPr>
          <w:p>
            <w:r/>
            <w:r>
              <w:rPr>
                <w:rFonts w:ascii="Calibri" w:hAnsi="Calibri"/>
                <w:color w:val="374151"/>
                <w:sz w:val="20"/>
              </w:rPr>
              <w:t>PtW</w:t>
            </w:r>
          </w:p>
        </w:tc>
        <w:tc>
          <w:tcPr>
            <w:tcW w:type="dxa" w:w="4703"/>
          </w:tcPr>
          <w:p>
            <w:r/>
            <w:r>
              <w:rPr>
                <w:rFonts w:ascii="Calibri" w:hAnsi="Calibri"/>
                <w:color w:val="374151"/>
                <w:sz w:val="20"/>
              </w:rPr>
              <w:t>Permit to Work (werkvergunning)</w:t>
            </w:r>
          </w:p>
        </w:tc>
      </w:tr>
      <w:tr>
        <w:tc>
          <w:tcPr>
            <w:tcW w:type="dxa" w:w="4703"/>
            <w:shd w:fill="F8F9FA"/>
          </w:tcPr>
          <w:p>
            <w:r/>
            <w:r>
              <w:rPr>
                <w:rFonts w:ascii="Calibri" w:hAnsi="Calibri"/>
                <w:color w:val="374151"/>
                <w:sz w:val="20"/>
              </w:rPr>
              <w:t>PSSR</w:t>
            </w:r>
          </w:p>
        </w:tc>
        <w:tc>
          <w:tcPr>
            <w:tcW w:type="dxa" w:w="4703"/>
            <w:shd w:fill="F8F9FA"/>
          </w:tcPr>
          <w:p>
            <w:r/>
            <w:r>
              <w:rPr>
                <w:rFonts w:ascii="Calibri" w:hAnsi="Calibri"/>
                <w:color w:val="374151"/>
                <w:sz w:val="20"/>
              </w:rPr>
              <w:t>Pre-Startup Safety Review</w:t>
            </w:r>
          </w:p>
        </w:tc>
      </w:tr>
      <w:tr>
        <w:tc>
          <w:tcPr>
            <w:tcW w:type="dxa" w:w="4703"/>
          </w:tcPr>
          <w:p>
            <w:r/>
            <w:r>
              <w:rPr>
                <w:rFonts w:ascii="Calibri" w:hAnsi="Calibri"/>
                <w:color w:val="374151"/>
                <w:sz w:val="20"/>
              </w:rPr>
              <w:t>QRA</w:t>
            </w:r>
          </w:p>
        </w:tc>
        <w:tc>
          <w:tcPr>
            <w:tcW w:type="dxa" w:w="4703"/>
          </w:tcPr>
          <w:p>
            <w:r/>
            <w:r>
              <w:rPr>
                <w:rFonts w:ascii="Calibri" w:hAnsi="Calibri"/>
                <w:color w:val="374151"/>
                <w:sz w:val="20"/>
              </w:rPr>
              <w:t>Quantitative Risk Assessment</w:t>
            </w:r>
          </w:p>
        </w:tc>
      </w:tr>
      <w:tr>
        <w:tc>
          <w:tcPr>
            <w:tcW w:type="dxa" w:w="4703"/>
            <w:shd w:fill="F8F9FA"/>
          </w:tcPr>
          <w:p>
            <w:r/>
            <w:r>
              <w:rPr>
                <w:rFonts w:ascii="Calibri" w:hAnsi="Calibri"/>
                <w:color w:val="374151"/>
                <w:sz w:val="20"/>
              </w:rPr>
              <w:t>RI&amp;E</w:t>
            </w:r>
          </w:p>
        </w:tc>
        <w:tc>
          <w:tcPr>
            <w:tcW w:type="dxa" w:w="4703"/>
            <w:shd w:fill="F8F9FA"/>
          </w:tcPr>
          <w:p>
            <w:r/>
            <w:r>
              <w:rPr>
                <w:rFonts w:ascii="Calibri" w:hAnsi="Calibri"/>
                <w:color w:val="374151"/>
                <w:sz w:val="20"/>
              </w:rPr>
              <w:t>Risico-Inventarisatie en -Evaluatie</w:t>
            </w:r>
          </w:p>
        </w:tc>
      </w:tr>
      <w:tr>
        <w:tc>
          <w:tcPr>
            <w:tcW w:type="dxa" w:w="4703"/>
          </w:tcPr>
          <w:p>
            <w:r/>
            <w:r>
              <w:rPr>
                <w:rFonts w:ascii="Calibri" w:hAnsi="Calibri"/>
                <w:color w:val="374151"/>
                <w:sz w:val="20"/>
              </w:rPr>
              <w:t>VBS</w:t>
            </w:r>
          </w:p>
        </w:tc>
        <w:tc>
          <w:tcPr>
            <w:tcW w:type="dxa" w:w="4703"/>
          </w:tcPr>
          <w:p>
            <w:r/>
            <w:r>
              <w:rPr>
                <w:rFonts w:ascii="Calibri" w:hAnsi="Calibri"/>
                <w:color w:val="374151"/>
                <w:sz w:val="20"/>
              </w:rPr>
              <w:t>Veiligheidsbeheerssysteem</w:t>
            </w:r>
          </w:p>
        </w:tc>
      </w:tr>
      <w:tr>
        <w:tc>
          <w:tcPr>
            <w:tcW w:type="dxa" w:w="4703"/>
            <w:shd w:fill="F8F9FA"/>
          </w:tcPr>
          <w:p>
            <w:r/>
            <w:r>
              <w:rPr>
                <w:rFonts w:ascii="Calibri" w:hAnsi="Calibri"/>
                <w:color w:val="374151"/>
                <w:sz w:val="20"/>
              </w:rPr>
              <w:t>VCA</w:t>
            </w:r>
          </w:p>
        </w:tc>
        <w:tc>
          <w:tcPr>
            <w:tcW w:type="dxa" w:w="4703"/>
            <w:shd w:fill="F8F9FA"/>
          </w:tcPr>
          <w:p>
            <w:r/>
            <w:r>
              <w:rPr>
                <w:rFonts w:ascii="Calibri" w:hAnsi="Calibri"/>
                <w:color w:val="374151"/>
                <w:sz w:val="20"/>
              </w:rPr>
              <w:t>Veiligheid, Gezondheid en Milieu Checklist Aannemers</w:t>
            </w:r>
          </w:p>
        </w:tc>
      </w:tr>
      <w:tr>
        <w:tc>
          <w:tcPr>
            <w:tcW w:type="dxa" w:w="4703"/>
          </w:tcPr>
          <w:p>
            <w:r/>
            <w:r>
              <w:rPr>
                <w:rFonts w:ascii="Calibri" w:hAnsi="Calibri"/>
                <w:color w:val="374151"/>
                <w:sz w:val="20"/>
              </w:rPr>
              <w:t>VOS</w:t>
            </w:r>
          </w:p>
        </w:tc>
        <w:tc>
          <w:tcPr>
            <w:tcW w:type="dxa" w:w="4703"/>
          </w:tcPr>
          <w:p>
            <w:r/>
            <w:r>
              <w:rPr>
                <w:rFonts w:ascii="Calibri" w:hAnsi="Calibri"/>
                <w:color w:val="374151"/>
                <w:sz w:val="20"/>
              </w:rPr>
              <w:t>Vluchtige Organische Stoffen</w:t>
            </w:r>
          </w:p>
        </w:tc>
      </w:tr>
    </w:tbl>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xml:space="preserve">JvG Consultancy | HSEQ Intelligence Dashboard Handleiding v1.0 | Pagina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B7280"/>
        <w:sz w:val="16"/>
      </w:rPr>
      <w:t>JvG Consultancy — HSEQ Intelligence Dashboard Handleiding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Calibri" w:hAnsi="Calibri"/>
      <w:color w:val="37415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b/>
      <w:bCs/>
      <w:color w:val="0A1628"/>
      <w:sz w:val="36"/>
      <w:szCs w:val="28"/>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asciiTheme="majorHAnsi" w:eastAsiaTheme="majorEastAsia" w:hAnsiTheme="majorHAnsi" w:cstheme="majorBidi" w:ascii="Calibri" w:hAnsi="Calibri"/>
      <w:b/>
      <w:bCs/>
      <w:color w:val="1B2A4A"/>
      <w:sz w:val="30"/>
      <w:szCs w:val="26"/>
    </w:rPr>
  </w:style>
  <w:style w:type="paragraph" w:styleId="Heading3">
    <w:name w:val="heading 3"/>
    <w:basedOn w:val="Normal"/>
    <w:next w:val="Normal"/>
    <w:link w:val="Heading3Char"/>
    <w:uiPriority w:val="9"/>
    <w:unhideWhenUsed/>
    <w:qFormat/>
    <w:rsid w:val="00FC693F"/>
    <w:pPr>
      <w:keepNext/>
      <w:keepLines/>
      <w:spacing w:before="280" w:after="160"/>
      <w:outlineLvl w:val="2"/>
    </w:pPr>
    <w:rPr>
      <w:rFonts w:asciiTheme="majorHAnsi" w:eastAsiaTheme="majorEastAsia" w:hAnsiTheme="majorHAnsi" w:cstheme="majorBidi" w:ascii="Calibri" w:hAnsi="Calibri"/>
      <w:b/>
      <w:bCs/>
      <w:color w:val="00336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