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pPr>
      <w:bookmarkStart w:colFirst="0" w:colLast="0" w:name="_5yowmfv415u9" w:id="0"/>
      <w:bookmarkEnd w:id="0"/>
      <w:r w:rsidDel="00000000" w:rsidR="00000000" w:rsidRPr="00000000">
        <w:rPr>
          <w:rtl w:val="0"/>
        </w:rPr>
        <w:t xml:space="preserve">Onderzoeksrapport: Contractor Management en Aansprakelijkheid bij Offshore Ontmanteling</w:t>
      </w:r>
    </w:p>
    <w:p w:rsidR="00000000" w:rsidDel="00000000" w:rsidP="00000000" w:rsidRDefault="00000000" w:rsidRPr="00000000" w14:paraId="00000002">
      <w:pPr>
        <w:pStyle w:val="Heading4"/>
        <w:rPr/>
      </w:pPr>
      <w:bookmarkStart w:colFirst="0" w:colLast="0" w:name="_7yen68wmmy5x" w:id="1"/>
      <w:bookmarkEnd w:id="1"/>
      <w:r w:rsidDel="00000000" w:rsidR="00000000" w:rsidRPr="00000000">
        <w:rPr>
          <w:rtl w:val="0"/>
        </w:rPr>
        <w:t xml:space="preserve">1. Inleiding en Doelstelling van het Onderzoek</w:t>
      </w:r>
    </w:p>
    <w:p w:rsidR="00000000" w:rsidDel="00000000" w:rsidP="00000000" w:rsidRDefault="00000000" w:rsidRPr="00000000" w14:paraId="00000003">
      <w:pPr>
        <w:rPr/>
      </w:pPr>
      <w:r w:rsidDel="00000000" w:rsidR="00000000" w:rsidRPr="00000000">
        <w:rPr>
          <w:rtl w:val="0"/>
        </w:rPr>
        <w:t xml:space="preserve">Dit rapport definieert de kaders voor effectief contractor management en de beheersing van aansprakelijkheid tijdens offshore ontmantelingsprojecten, specifiek gericht op ‘small piece removal’ operaties op de Noordzee. Bij deze werkzaamheden is de foutmarge minimaal; de technische staat van verouderde platforms en de intensiteit van handmatige arbeid verhogen de risicoprofielen significant.Vanuit mijn expertise als veiligheidskundige en juridisch adviseur benadruk ik dat ongevallenonderzoek en risicobeheersing geen optionele extra's zijn, maar fundamenten voor de continuïteit van de organisatie. Conform AI-43 hoofdstuk 1 leiden incidenten onvermijdelijk tot ernstige verstoringen van het bedrijfsproces, substantiële schadeclaims, boetes van toezichthouders en onherstelbaar imagoverlies. In een maatschappelijk klimaat waarin ongevallen steeds minder getolereerd worden, is het aantonen van "vermijdbaarheid" boven "verwijtbaarheid" de primaire verdedigingslinie voor de Board of Management.</w:t>
      </w:r>
    </w:p>
    <w:p w:rsidR="00000000" w:rsidDel="00000000" w:rsidP="00000000" w:rsidRDefault="00000000" w:rsidRPr="00000000" w14:paraId="00000004">
      <w:pPr>
        <w:pStyle w:val="Heading4"/>
        <w:rPr/>
      </w:pPr>
      <w:bookmarkStart w:colFirst="0" w:colLast="0" w:name="_lphtj82nsq21" w:id="2"/>
      <w:bookmarkEnd w:id="2"/>
      <w:r w:rsidDel="00000000" w:rsidR="00000000" w:rsidRPr="00000000">
        <w:rPr>
          <w:rtl w:val="0"/>
        </w:rPr>
        <w:t xml:space="preserve">2. Juridisch Kader: Publiekrechtelijk versus Privaatrechtelijk</w:t>
      </w:r>
    </w:p>
    <w:p w:rsidR="00000000" w:rsidDel="00000000" w:rsidP="00000000" w:rsidRDefault="00000000" w:rsidRPr="00000000" w14:paraId="00000005">
      <w:pPr>
        <w:rPr/>
      </w:pPr>
      <w:r w:rsidDel="00000000" w:rsidR="00000000" w:rsidRPr="00000000">
        <w:rPr>
          <w:rtl w:val="0"/>
        </w:rPr>
        <w:t xml:space="preserve">In de offshore sector is de juridische structuur duaal en strikt gescheiden tussen publiekrechtelijke handhaving en privaatrechtelijke invulling.</w:t>
      </w:r>
    </w:p>
    <w:p w:rsidR="00000000" w:rsidDel="00000000" w:rsidP="00000000" w:rsidRDefault="00000000" w:rsidRPr="00000000" w14:paraId="00000006">
      <w:pPr>
        <w:pStyle w:val="Heading5"/>
        <w:rPr/>
      </w:pPr>
      <w:bookmarkStart w:colFirst="0" w:colLast="0" w:name="_nx4zlzmwni8u" w:id="3"/>
      <w:bookmarkEnd w:id="3"/>
      <w:r w:rsidDel="00000000" w:rsidR="00000000" w:rsidRPr="00000000">
        <w:rPr>
          <w:rtl w:val="0"/>
        </w:rPr>
        <w:t xml:space="preserve">Publiekrechtelijk: Doelvoorschriften en Toezicht</w:t>
      </w:r>
    </w:p>
    <w:p w:rsidR="00000000" w:rsidDel="00000000" w:rsidP="00000000" w:rsidRDefault="00000000" w:rsidRPr="00000000" w14:paraId="00000007">
      <w:pPr>
        <w:rPr/>
      </w:pPr>
      <w:r w:rsidDel="00000000" w:rsidR="00000000" w:rsidRPr="00000000">
        <w:rPr>
          <w:rtl w:val="0"/>
        </w:rPr>
        <w:t xml:space="preserve">De  </w:t>
      </w:r>
      <w:r w:rsidDel="00000000" w:rsidR="00000000" w:rsidRPr="00000000">
        <w:rPr>
          <w:b w:val="1"/>
          <w:bCs w:val="1"/>
          <w:rtl w:val="0"/>
        </w:rPr>
        <w:t xml:space="preserve">Arbowet (Art. 3)</w:t>
      </w:r>
      <w:r w:rsidDel="00000000" w:rsidR="00000000" w:rsidRPr="00000000">
        <w:rPr>
          <w:rtl w:val="0"/>
        </w:rPr>
        <w:t xml:space="preserve">  legt de algemene zorgplicht bij de werkgever om een beleid te voeren gericht op de best mogelijke arbeidsomstandigheden. In de offshore context fungeert het  </w:t>
      </w:r>
      <w:r w:rsidDel="00000000" w:rsidR="00000000" w:rsidRPr="00000000">
        <w:rPr>
          <w:b w:val="1"/>
          <w:bCs w:val="1"/>
          <w:rtl w:val="0"/>
        </w:rPr>
        <w:t xml:space="preserve">Staatstoezicht op de Mijnen (SodM)</w:t>
      </w:r>
      <w:r w:rsidDel="00000000" w:rsidR="00000000" w:rsidRPr="00000000">
        <w:rPr>
          <w:rtl w:val="0"/>
        </w:rPr>
        <w:t xml:space="preserve">  als de primaire toezichthouder, belast met de handhaving van deze publiekrechtelijke kaders.</w:t>
      </w:r>
    </w:p>
    <w:p w:rsidR="00000000" w:rsidDel="00000000" w:rsidP="00000000" w:rsidRDefault="00000000" w:rsidRPr="00000000" w14:paraId="00000008">
      <w:pPr>
        <w:numPr>
          <w:ilvl w:val="0"/>
          <w:numId w:val="7"/>
        </w:numPr>
        <w:ind w:left="720" w:hanging="360"/>
        <w:rPr>
          <w:u w:val="none"/>
        </w:rPr>
      </w:pPr>
      <w:r w:rsidDel="00000000" w:rsidR="00000000" w:rsidRPr="00000000">
        <w:rPr>
          <w:b w:val="1"/>
          <w:bCs w:val="1"/>
          <w:rtl w:val="0"/>
        </w:rPr>
        <w:t xml:space="preserve">Doelvoorschriften:</w:t>
      </w:r>
      <w:r w:rsidDel="00000000" w:rsidR="00000000" w:rsidRPr="00000000">
        <w:rPr>
          <w:rtl w:val="0"/>
        </w:rPr>
        <w:t xml:space="preserve">  De overheid stelt het te bereiken beschermingsniveau vast in de Arbowet en het Arbobesluit.</w:t>
      </w:r>
    </w:p>
    <w:p w:rsidR="00000000" w:rsidDel="00000000" w:rsidP="00000000" w:rsidRDefault="00000000" w:rsidRPr="00000000" w14:paraId="00000009">
      <w:pPr>
        <w:numPr>
          <w:ilvl w:val="0"/>
          <w:numId w:val="7"/>
        </w:numPr>
        <w:ind w:left="720" w:hanging="360"/>
        <w:rPr>
          <w:u w:val="none"/>
        </w:rPr>
      </w:pPr>
      <w:r w:rsidDel="00000000" w:rsidR="00000000" w:rsidRPr="00000000">
        <w:rPr>
          <w:b w:val="1"/>
          <w:bCs w:val="1"/>
          <w:rtl w:val="0"/>
        </w:rPr>
        <w:t xml:space="preserve">Meldingsplicht:</w:t>
      </w:r>
      <w:r w:rsidDel="00000000" w:rsidR="00000000" w:rsidRPr="00000000">
        <w:rPr>
          <w:rtl w:val="0"/>
        </w:rPr>
        <w:t xml:space="preserve">  Ernstige ongevallen dienen direct bij het SodM gemeld te worden (Art. 9 Arbowet). De toezichthouder onderzoekt uitsluitend of er beboetbare feiten of strafrechtelijke verwijtbaarheid aanwezig zijn.</w:t>
      </w:r>
    </w:p>
    <w:p w:rsidR="00000000" w:rsidDel="00000000" w:rsidP="00000000" w:rsidRDefault="00000000" w:rsidRPr="00000000" w14:paraId="0000000A">
      <w:pPr>
        <w:pStyle w:val="Heading5"/>
        <w:rPr/>
      </w:pPr>
      <w:bookmarkStart w:colFirst="0" w:colLast="0" w:name="_sitroq1y4mz8" w:id="4"/>
      <w:bookmarkEnd w:id="4"/>
      <w:r w:rsidDel="00000000" w:rsidR="00000000" w:rsidRPr="00000000">
        <w:rPr>
          <w:rtl w:val="0"/>
        </w:rPr>
        <w:t xml:space="preserve">Privaatrechtelijk: Invulling en Aansprakelijkheid</w:t>
      </w:r>
    </w:p>
    <w:p w:rsidR="00000000" w:rsidDel="00000000" w:rsidP="00000000" w:rsidRDefault="00000000" w:rsidRPr="00000000" w14:paraId="0000000B">
      <w:pPr>
        <w:rPr/>
      </w:pPr>
      <w:r w:rsidDel="00000000" w:rsidR="00000000" w:rsidRPr="00000000">
        <w:rPr>
          <w:rtl w:val="0"/>
        </w:rPr>
        <w:t xml:space="preserve">De feitelijke implementatie van veiligheidsmaatregelen wordt geregeld in het private domein via de  </w:t>
      </w:r>
      <w:r w:rsidDel="00000000" w:rsidR="00000000" w:rsidRPr="00000000">
        <w:rPr>
          <w:b w:val="1"/>
          <w:bCs w:val="1"/>
          <w:rtl w:val="0"/>
        </w:rPr>
        <w:t xml:space="preserve">Arbocatalogus</w:t>
      </w:r>
      <w:r w:rsidDel="00000000" w:rsidR="00000000" w:rsidRPr="00000000">
        <w:rPr>
          <w:rtl w:val="0"/>
        </w:rPr>
        <w:t xml:space="preserve"> . Hier maken werkgevers en werknemers afspraken over de technische en organisatorische invulling van de doelvoorschriften. Civielrechtelijke aansprakelijkheid (Burgerlijk Wetboek) baseert zich vaak op de vraag of de organisatie deze private afspraken en de stand der techniek heeft nageleefd om claims te voorkomen.</w:t>
      </w:r>
    </w:p>
    <w:p w:rsidR="00000000" w:rsidDel="00000000" w:rsidP="00000000" w:rsidRDefault="00000000" w:rsidRPr="00000000" w14:paraId="0000000C">
      <w:pPr>
        <w:pStyle w:val="Heading5"/>
        <w:rPr/>
      </w:pPr>
      <w:bookmarkStart w:colFirst="0" w:colLast="0" w:name="_7o2v1rb9o9im" w:id="5"/>
      <w:bookmarkEnd w:id="5"/>
      <w:r w:rsidDel="00000000" w:rsidR="00000000" w:rsidRPr="00000000">
        <w:rPr>
          <w:rtl w:val="0"/>
        </w:rPr>
        <w:t xml:space="preserve">Risicomanagement conform Arbobesluit</w:t>
      </w:r>
    </w:p>
    <w:p w:rsidR="00000000" w:rsidDel="00000000" w:rsidP="00000000" w:rsidRDefault="00000000" w:rsidRPr="00000000" w14:paraId="0000000D">
      <w:pPr>
        <w:rPr/>
      </w:pPr>
      <w:r w:rsidDel="00000000" w:rsidR="00000000" w:rsidRPr="00000000">
        <w:rPr>
          <w:rtl w:val="0"/>
        </w:rPr>
        <w:t xml:space="preserve">Bij ontmanteling is de koppeling van de RI&amp;E aan de volgende artikelen uit het  </w:t>
      </w:r>
      <w:r w:rsidDel="00000000" w:rsidR="00000000" w:rsidRPr="00000000">
        <w:rPr>
          <w:b w:val="1"/>
          <w:bCs w:val="1"/>
          <w:rtl w:val="0"/>
        </w:rPr>
        <w:t xml:space="preserve">Arbobesluit</w:t>
      </w:r>
      <w:r w:rsidDel="00000000" w:rsidR="00000000" w:rsidRPr="00000000">
        <w:rPr>
          <w:rtl w:val="0"/>
        </w:rPr>
        <w:t xml:space="preserve">  dwingend:</w:t>
      </w:r>
    </w:p>
    <w:p w:rsidR="00000000" w:rsidDel="00000000" w:rsidP="00000000" w:rsidRDefault="00000000" w:rsidRPr="00000000" w14:paraId="0000000E">
      <w:pPr>
        <w:numPr>
          <w:ilvl w:val="0"/>
          <w:numId w:val="3"/>
        </w:numPr>
        <w:ind w:left="720" w:hanging="360"/>
        <w:rPr>
          <w:u w:val="none"/>
        </w:rPr>
      </w:pPr>
      <w:r w:rsidDel="00000000" w:rsidR="00000000" w:rsidRPr="00000000">
        <w:rPr>
          <w:b w:val="1"/>
          <w:bCs w:val="1"/>
          <w:rtl w:val="0"/>
        </w:rPr>
        <w:t xml:space="preserve">Art. 5.2:</w:t>
      </w:r>
      <w:r w:rsidDel="00000000" w:rsidR="00000000" w:rsidRPr="00000000">
        <w:rPr>
          <w:rtl w:val="0"/>
        </w:rPr>
        <w:t xml:space="preserve">  Voorkomen van gevaren bij de bron (bijv. mechanisch knippen i.p.v. handmatig branden).</w:t>
      </w:r>
    </w:p>
    <w:p w:rsidR="00000000" w:rsidDel="00000000" w:rsidP="00000000" w:rsidRDefault="00000000" w:rsidRPr="00000000" w14:paraId="0000000F">
      <w:pPr>
        <w:numPr>
          <w:ilvl w:val="0"/>
          <w:numId w:val="3"/>
        </w:numPr>
        <w:ind w:left="720" w:hanging="360"/>
        <w:rPr>
          <w:u w:val="none"/>
        </w:rPr>
      </w:pPr>
      <w:r w:rsidDel="00000000" w:rsidR="00000000" w:rsidRPr="00000000">
        <w:rPr>
          <w:b w:val="1"/>
          <w:bCs w:val="1"/>
          <w:rtl w:val="0"/>
        </w:rPr>
        <w:t xml:space="preserve">Art. 5.3:</w:t>
      </w:r>
      <w:r w:rsidDel="00000000" w:rsidR="00000000" w:rsidRPr="00000000">
        <w:rPr>
          <w:rtl w:val="0"/>
        </w:rPr>
        <w:t xml:space="preserve">  Specifieke risico-inventarisatie voor fysieke belasting en de evaluatie daarvan.</w:t>
      </w:r>
    </w:p>
    <w:p w:rsidR="00000000" w:rsidDel="00000000" w:rsidP="00000000" w:rsidRDefault="00000000" w:rsidRPr="00000000" w14:paraId="00000010">
      <w:pPr>
        <w:numPr>
          <w:ilvl w:val="0"/>
          <w:numId w:val="3"/>
        </w:numPr>
        <w:ind w:left="720" w:hanging="360"/>
        <w:rPr>
          <w:u w:val="none"/>
        </w:rPr>
      </w:pPr>
      <w:r w:rsidDel="00000000" w:rsidR="00000000" w:rsidRPr="00000000">
        <w:rPr>
          <w:b w:val="1"/>
          <w:bCs w:val="1"/>
          <w:rtl w:val="0"/>
        </w:rPr>
        <w:t xml:space="preserve">Art. 5.4:</w:t>
      </w:r>
      <w:r w:rsidDel="00000000" w:rsidR="00000000" w:rsidRPr="00000000">
        <w:rPr>
          <w:rtl w:val="0"/>
        </w:rPr>
        <w:t xml:space="preserve">  Ergonomische inrichting van tijdelijke werkplekken op de deck-vloer.</w:t>
      </w:r>
    </w:p>
    <w:p w:rsidR="00000000" w:rsidDel="00000000" w:rsidP="00000000" w:rsidRDefault="00000000" w:rsidRPr="00000000" w14:paraId="00000011">
      <w:pPr>
        <w:numPr>
          <w:ilvl w:val="0"/>
          <w:numId w:val="3"/>
        </w:numPr>
        <w:ind w:left="720" w:hanging="360"/>
        <w:rPr>
          <w:u w:val="none"/>
        </w:rPr>
      </w:pPr>
      <w:r w:rsidDel="00000000" w:rsidR="00000000" w:rsidRPr="00000000">
        <w:rPr>
          <w:b w:val="1"/>
          <w:bCs w:val="1"/>
          <w:rtl w:val="0"/>
        </w:rPr>
        <w:t xml:space="preserve">Art. 5.5:</w:t>
      </w:r>
      <w:r w:rsidDel="00000000" w:rsidR="00000000" w:rsidRPr="00000000">
        <w:rPr>
          <w:rtl w:val="0"/>
        </w:rPr>
        <w:t xml:space="preserve">  Doeltreffende voorlichting en onderricht, specifiek voor contractor-personeel.</w:t>
      </w:r>
    </w:p>
    <w:p w:rsidR="00000000" w:rsidDel="00000000" w:rsidP="00000000" w:rsidRDefault="00000000" w:rsidRPr="00000000" w14:paraId="00000012">
      <w:pPr>
        <w:pStyle w:val="Heading4"/>
        <w:rPr/>
      </w:pPr>
      <w:bookmarkStart w:colFirst="0" w:colLast="0" w:name="_xu54waopptrh" w:id="6"/>
      <w:bookmarkEnd w:id="6"/>
      <w:r w:rsidDel="00000000" w:rsidR="00000000" w:rsidRPr="00000000">
        <w:rPr>
          <w:rtl w:val="0"/>
        </w:rPr>
        <w:t xml:space="preserve">3. Contractor Management en Ketenaansprakelijkheid</w:t>
      </w:r>
    </w:p>
    <w:p w:rsidR="00000000" w:rsidDel="00000000" w:rsidP="00000000" w:rsidRDefault="00000000" w:rsidRPr="00000000" w14:paraId="00000013">
      <w:pPr>
        <w:rPr/>
      </w:pPr>
      <w:r w:rsidDel="00000000" w:rsidR="00000000" w:rsidRPr="00000000">
        <w:rPr>
          <w:rtl w:val="0"/>
        </w:rPr>
        <w:t xml:space="preserve">De afhankelijkheid van onderaannemers bij ‘small piece removal’ vereist een rigoureus selectie- en evaluatiebeleid.</w:t>
      </w:r>
    </w:p>
    <w:p w:rsidR="00000000" w:rsidDel="00000000" w:rsidP="00000000" w:rsidRDefault="00000000" w:rsidRPr="00000000" w14:paraId="00000014">
      <w:pPr>
        <w:pStyle w:val="Heading5"/>
        <w:rPr/>
      </w:pPr>
      <w:bookmarkStart w:colFirst="0" w:colLast="0" w:name="_2pah0yh3fqkd" w:id="7"/>
      <w:bookmarkEnd w:id="7"/>
      <w:r w:rsidDel="00000000" w:rsidR="00000000" w:rsidRPr="00000000">
        <w:rPr>
          <w:rtl w:val="0"/>
        </w:rPr>
        <w:t xml:space="preserve">VCA-Evaluatie en Jaarcyclus</w:t>
      </w:r>
    </w:p>
    <w:p w:rsidR="00000000" w:rsidDel="00000000" w:rsidP="00000000" w:rsidRDefault="00000000" w:rsidRPr="00000000" w14:paraId="00000015">
      <w:pPr>
        <w:rPr/>
      </w:pPr>
      <w:r w:rsidDel="00000000" w:rsidR="00000000" w:rsidRPr="00000000">
        <w:rPr>
          <w:rtl w:val="0"/>
        </w:rPr>
        <w:t xml:space="preserve">Conform de  </w:t>
      </w:r>
      <w:r w:rsidDel="00000000" w:rsidR="00000000" w:rsidRPr="00000000">
        <w:rPr>
          <w:b w:val="1"/>
          <w:bCs w:val="1"/>
          <w:rtl w:val="0"/>
        </w:rPr>
        <w:t xml:space="preserve">VCA-eisen</w:t>
      </w:r>
      <w:r w:rsidDel="00000000" w:rsidR="00000000" w:rsidRPr="00000000">
        <w:rPr>
          <w:rtl w:val="0"/>
        </w:rPr>
        <w:t xml:space="preserve">  (AI-43 hfst 2) is het verplicht dat de VGM-risico-inventarisatie van aannemers ten minste jaarlijks wordt geëvalueerd op basis van opgetreden incidenten. Dit borgt dat leerpunten uit de praktijk direct leiden tot aanpassing van de werkmethodiek in de keten.</w:t>
      </w:r>
    </w:p>
    <w:p w:rsidR="00000000" w:rsidDel="00000000" w:rsidP="00000000" w:rsidRDefault="00000000" w:rsidRPr="00000000" w14:paraId="00000016">
      <w:pPr>
        <w:pStyle w:val="Heading5"/>
        <w:rPr/>
      </w:pPr>
      <w:bookmarkStart w:colFirst="0" w:colLast="0" w:name="_6gj0ufk80jj9" w:id="8"/>
      <w:bookmarkEnd w:id="8"/>
      <w:r w:rsidDel="00000000" w:rsidR="00000000" w:rsidRPr="00000000">
        <w:rPr>
          <w:rtl w:val="0"/>
        </w:rPr>
        <w:t xml:space="preserve">Selectie op Competentieniveau en Attitude</w:t>
      </w:r>
    </w:p>
    <w:p w:rsidR="00000000" w:rsidDel="00000000" w:rsidP="00000000" w:rsidRDefault="00000000" w:rsidRPr="00000000" w14:paraId="00000017">
      <w:pPr>
        <w:rPr/>
      </w:pPr>
      <w:r w:rsidDel="00000000" w:rsidR="00000000" w:rsidRPr="00000000">
        <w:rPr>
          <w:rtl w:val="0"/>
        </w:rPr>
        <w:t xml:space="preserve">Bij de selectie van personeel hanteer ik de vier stadia van competentie (AI-43 9.2.1). Voor hoog-risico offshore werkzaamheden is het onacceptabel om personeel in te zetten dat zich in het stadium "onbewust-onbekwaam" of "bewust-onbekwaam" bevindt. De eis is minimaal  </w:t>
      </w:r>
      <w:r w:rsidDel="00000000" w:rsidR="00000000" w:rsidRPr="00000000">
        <w:rPr>
          <w:b w:val="1"/>
          <w:bCs w:val="1"/>
          <w:rtl w:val="0"/>
        </w:rPr>
        <w:t xml:space="preserve">"bewust-bekwaam"</w:t>
      </w:r>
      <w:r w:rsidDel="00000000" w:rsidR="00000000" w:rsidRPr="00000000">
        <w:rPr>
          <w:rtl w:val="0"/>
        </w:rPr>
        <w:t xml:space="preserve"> : medewerkers die de regels kennen en deze expliciet toepassen.</w:t>
      </w:r>
    </w:p>
    <w:p w:rsidR="00000000" w:rsidDel="00000000" w:rsidP="00000000" w:rsidRDefault="00000000" w:rsidRPr="00000000" w14:paraId="00000018">
      <w:pPr>
        <w:numPr>
          <w:ilvl w:val="0"/>
          <w:numId w:val="8"/>
        </w:numPr>
        <w:ind w:left="720" w:hanging="360"/>
        <w:rPr>
          <w:u w:val="none"/>
        </w:rPr>
      </w:pPr>
      <w:r w:rsidDel="00000000" w:rsidR="00000000" w:rsidRPr="00000000">
        <w:rPr>
          <w:b w:val="1"/>
          <w:bCs w:val="1"/>
          <w:rtl w:val="0"/>
        </w:rPr>
        <w:t xml:space="preserve">Veiligheidsattitude:</w:t>
      </w:r>
      <w:r w:rsidDel="00000000" w:rsidR="00000000" w:rsidRPr="00000000">
        <w:rPr>
          <w:rtl w:val="0"/>
        </w:rPr>
        <w:t xml:space="preserve">  Selecteer op de bereidheid om werkzaamheden stil te leggen bij onvoorziene risico's (stop-work authority).</w:t>
      </w:r>
    </w:p>
    <w:p w:rsidR="00000000" w:rsidDel="00000000" w:rsidP="00000000" w:rsidRDefault="00000000" w:rsidRPr="00000000" w14:paraId="00000019">
      <w:pPr>
        <w:pStyle w:val="Heading4"/>
        <w:rPr/>
      </w:pPr>
      <w:bookmarkStart w:colFirst="0" w:colLast="0" w:name="_lp6p7ie5gcet" w:id="9"/>
      <w:bookmarkEnd w:id="9"/>
      <w:r w:rsidDel="00000000" w:rsidR="00000000" w:rsidRPr="00000000">
        <w:rPr>
          <w:rtl w:val="0"/>
        </w:rPr>
        <w:t xml:space="preserve">4. Risicomanagement en het Permit to Work (PTW) Systeem</w:t>
      </w:r>
    </w:p>
    <w:p w:rsidR="00000000" w:rsidDel="00000000" w:rsidP="00000000" w:rsidRDefault="00000000" w:rsidRPr="00000000" w14:paraId="0000001A">
      <w:pPr>
        <w:rPr/>
      </w:pPr>
      <w:r w:rsidDel="00000000" w:rsidR="00000000" w:rsidRPr="00000000">
        <w:rPr>
          <w:rtl w:val="0"/>
        </w:rPr>
        <w:t xml:space="preserve">De operationele beheersing geschiedt via de  </w:t>
      </w:r>
      <w:r w:rsidDel="00000000" w:rsidR="00000000" w:rsidRPr="00000000">
        <w:rPr>
          <w:b w:val="1"/>
          <w:bCs w:val="1"/>
          <w:rtl w:val="0"/>
        </w:rPr>
        <w:t xml:space="preserve">Plan-Do-Check-Act-cyclus (PDCA)</w:t>
      </w:r>
      <w:r w:rsidDel="00000000" w:rsidR="00000000" w:rsidRPr="00000000">
        <w:rPr>
          <w:rtl w:val="0"/>
        </w:rPr>
        <w:t xml:space="preserve"> , waarbij het managementsysteem de barrières in het  </w:t>
      </w:r>
      <w:r w:rsidDel="00000000" w:rsidR="00000000" w:rsidRPr="00000000">
        <w:rPr>
          <w:b w:val="1"/>
          <w:bCs w:val="1"/>
          <w:rtl w:val="0"/>
        </w:rPr>
        <w:t xml:space="preserve">Reason-model (Swiss Cheese)</w:t>
      </w:r>
      <w:r w:rsidDel="00000000" w:rsidR="00000000" w:rsidRPr="00000000">
        <w:rPr>
          <w:rtl w:val="0"/>
        </w:rPr>
        <w:t xml:space="preserve">  bewaakt.</w:t>
      </w:r>
    </w:p>
    <w:p w:rsidR="00000000" w:rsidDel="00000000" w:rsidP="00000000" w:rsidRDefault="00000000" w:rsidRPr="00000000" w14:paraId="0000001B">
      <w:pPr>
        <w:pStyle w:val="Heading5"/>
        <w:rPr/>
      </w:pPr>
      <w:bookmarkStart w:colFirst="0" w:colLast="0" w:name="_1fennri4dcdb" w:id="10"/>
      <w:bookmarkEnd w:id="10"/>
      <w:r w:rsidDel="00000000" w:rsidR="00000000" w:rsidRPr="00000000">
        <w:rPr>
          <w:rtl w:val="0"/>
        </w:rPr>
        <w:t xml:space="preserve">Active Failures versus Latent Conditions</w:t>
      </w:r>
    </w:p>
    <w:p w:rsidR="00000000" w:rsidDel="00000000" w:rsidP="00000000" w:rsidRDefault="00000000" w:rsidRPr="00000000" w14:paraId="0000001C">
      <w:pPr>
        <w:rPr/>
      </w:pPr>
      <w:r w:rsidDel="00000000" w:rsidR="00000000" w:rsidRPr="00000000">
        <w:rPr>
          <w:rtl w:val="0"/>
        </w:rPr>
        <w:t xml:space="preserve">In incidentanalyses maken wij het cruciale onderscheid (AI-43 Fig 11):</w:t>
      </w:r>
    </w:p>
    <w:p w:rsidR="00000000" w:rsidDel="00000000" w:rsidP="00000000" w:rsidRDefault="00000000" w:rsidRPr="00000000" w14:paraId="0000001D">
      <w:pPr>
        <w:numPr>
          <w:ilvl w:val="0"/>
          <w:numId w:val="6"/>
        </w:numPr>
        <w:ind w:left="720" w:hanging="360"/>
        <w:rPr>
          <w:u w:val="none"/>
        </w:rPr>
      </w:pPr>
      <w:r w:rsidDel="00000000" w:rsidR="00000000" w:rsidRPr="00000000">
        <w:rPr>
          <w:b w:val="1"/>
          <w:bCs w:val="1"/>
          <w:rtl w:val="0"/>
        </w:rPr>
        <w:t xml:space="preserve">Active Failures:</w:t>
      </w:r>
      <w:r w:rsidDel="00000000" w:rsidR="00000000" w:rsidRPr="00000000">
        <w:rPr>
          <w:rtl w:val="0"/>
        </w:rPr>
        <w:t xml:space="preserve">  De onveilige handelingen op de werkvloer (de "sharp edge").</w:t>
      </w:r>
    </w:p>
    <w:p w:rsidR="00000000" w:rsidDel="00000000" w:rsidP="00000000" w:rsidRDefault="00000000" w:rsidRPr="00000000" w14:paraId="0000001E">
      <w:pPr>
        <w:numPr>
          <w:ilvl w:val="0"/>
          <w:numId w:val="6"/>
        </w:numPr>
        <w:ind w:left="720" w:hanging="360"/>
        <w:rPr>
          <w:u w:val="none"/>
        </w:rPr>
      </w:pPr>
      <w:r w:rsidDel="00000000" w:rsidR="00000000" w:rsidRPr="00000000">
        <w:rPr>
          <w:b w:val="1"/>
          <w:bCs w:val="1"/>
          <w:rtl w:val="0"/>
        </w:rPr>
        <w:t xml:space="preserve">Latent Conditions:</w:t>
      </w:r>
      <w:r w:rsidDel="00000000" w:rsidR="00000000" w:rsidRPr="00000000">
        <w:rPr>
          <w:rtl w:val="0"/>
        </w:rPr>
        <w:t xml:space="preserve">  Managementfalen zoals gebrekkig onderhoud, onvoldoende training of onrealistische planning. Dit zijn de "gaten in de kaas" die soms jarenlang latent aanwezig zijn.</w:t>
      </w:r>
    </w:p>
    <w:p w:rsidR="00000000" w:rsidDel="00000000" w:rsidP="00000000" w:rsidRDefault="00000000" w:rsidRPr="00000000" w14:paraId="0000001F">
      <w:pPr>
        <w:pStyle w:val="Heading5"/>
        <w:rPr/>
      </w:pPr>
      <w:bookmarkStart w:colFirst="0" w:colLast="0" w:name="_q8n5qmqao409" w:id="11"/>
      <w:bookmarkEnd w:id="11"/>
      <w:r w:rsidDel="00000000" w:rsidR="00000000" w:rsidRPr="00000000">
        <w:rPr>
          <w:rtl w:val="0"/>
        </w:rPr>
        <w:t xml:space="preserve">PTW als Preventieve Barrière</w:t>
      </w:r>
    </w:p>
    <w:p w:rsidR="00000000" w:rsidDel="00000000" w:rsidP="00000000" w:rsidRDefault="00000000" w:rsidRPr="00000000" w14:paraId="00000020">
      <w:pPr>
        <w:rPr/>
      </w:pPr>
      <w:r w:rsidDel="00000000" w:rsidR="00000000" w:rsidRPr="00000000">
        <w:rPr>
          <w:rtl w:val="0"/>
        </w:rPr>
        <w:t xml:space="preserve">Het Permit to Work (PTW) systeem is de formele barrière die toetst of alle latente condities beheerst zijn voordat werk start. Het bedrijfsnoodplan fungeert als de repressieve barrière (AI-43 hfst 2.5) om de gevolgen te minimaliseren indien preventieve barrières falen.</w:t>
      </w:r>
    </w:p>
    <w:p w:rsidR="00000000" w:rsidDel="00000000" w:rsidP="00000000" w:rsidRDefault="00000000" w:rsidRPr="00000000" w14:paraId="00000021">
      <w:pPr>
        <w:pStyle w:val="Heading5"/>
        <w:rPr/>
      </w:pPr>
      <w:bookmarkStart w:colFirst="0" w:colLast="0" w:name="_whljw3710zld" w:id="12"/>
      <w:bookmarkEnd w:id="12"/>
      <w:r w:rsidDel="00000000" w:rsidR="00000000" w:rsidRPr="00000000">
        <w:rPr>
          <w:rtl w:val="0"/>
        </w:rPr>
        <w:t xml:space="preserve">Vergelijking Risicoanalyse-methodieken</w:t>
      </w:r>
    </w:p>
    <w:p w:rsidR="00000000" w:rsidDel="00000000" w:rsidP="00000000" w:rsidRDefault="00000000" w:rsidRPr="00000000" w14:paraId="00000022">
      <w:pPr>
        <w:rPr/>
      </w:pPr>
      <w:r w:rsidDel="00000000" w:rsidR="00000000" w:rsidRPr="00000000">
        <w:rPr>
          <w:rtl w:val="0"/>
        </w:rPr>
        <w:t xml:space="preserve">Methode,Focus,Instrumenten / Termen</w:t>
      </w:r>
    </w:p>
    <w:p w:rsidR="00000000" w:rsidDel="00000000" w:rsidP="00000000" w:rsidRDefault="00000000" w:rsidRPr="00000000" w14:paraId="00000023">
      <w:pPr>
        <w:rPr/>
      </w:pPr>
      <w:r w:rsidDel="00000000" w:rsidR="00000000" w:rsidRPr="00000000">
        <w:rPr>
          <w:rtl w:val="0"/>
        </w:rPr>
        <w:t xml:space="preserve">Prospectief,Ontwerpbeoordeling &amp; Preventie,"Gidwoorden , RI&amp;E, HAZOP, scenario-analyse."</w:t>
      </w:r>
    </w:p>
    <w:p w:rsidR="00000000" w:rsidDel="00000000" w:rsidP="00000000" w:rsidRDefault="00000000" w:rsidRPr="00000000" w14:paraId="00000024">
      <w:pPr>
        <w:rPr/>
      </w:pPr>
      <w:r w:rsidDel="00000000" w:rsidR="00000000" w:rsidRPr="00000000">
        <w:rPr>
          <w:rtl w:val="0"/>
        </w:rPr>
        <w:t xml:space="preserve">Retrospectief,Leren van incidenten,"Causale factoren , ongevallenonderzoek, Storybuilder."</w:t>
      </w:r>
    </w:p>
    <w:p w:rsidR="00000000" w:rsidDel="00000000" w:rsidP="00000000" w:rsidRDefault="00000000" w:rsidRPr="00000000" w14:paraId="00000025">
      <w:pPr>
        <w:pStyle w:val="Heading4"/>
        <w:rPr/>
      </w:pPr>
      <w:bookmarkStart w:colFirst="0" w:colLast="0" w:name="_2csxo97kl58p" w:id="13"/>
      <w:bookmarkEnd w:id="13"/>
      <w:r w:rsidDel="00000000" w:rsidR="00000000" w:rsidRPr="00000000">
        <w:rPr>
          <w:rtl w:val="0"/>
        </w:rPr>
        <w:t xml:space="preserve">5. Methodiek van Ongevallenonderzoek bij Decommissioning</w:t>
      </w:r>
    </w:p>
    <w:p w:rsidR="00000000" w:rsidDel="00000000" w:rsidP="00000000" w:rsidRDefault="00000000" w:rsidRPr="00000000" w14:paraId="00000026">
      <w:pPr>
        <w:rPr/>
      </w:pPr>
      <w:r w:rsidDel="00000000" w:rsidR="00000000" w:rsidRPr="00000000">
        <w:rPr>
          <w:rtl w:val="0"/>
        </w:rPr>
        <w:t xml:space="preserve">Bij incidenten hanteert het onderzoeksteam de  </w:t>
      </w:r>
      <w:r w:rsidDel="00000000" w:rsidR="00000000" w:rsidRPr="00000000">
        <w:rPr>
          <w:b w:val="1"/>
          <w:bCs w:val="1"/>
          <w:rtl w:val="0"/>
        </w:rPr>
        <w:t xml:space="preserve">ABC-regels</w:t>
      </w:r>
      <w:r w:rsidDel="00000000" w:rsidR="00000000" w:rsidRPr="00000000">
        <w:rPr>
          <w:rtl w:val="0"/>
        </w:rPr>
        <w:t xml:space="preserve"> :  </w:t>
      </w:r>
      <w:r w:rsidDel="00000000" w:rsidR="00000000" w:rsidRPr="00000000">
        <w:rPr>
          <w:i w:val="1"/>
          <w:iCs w:val="1"/>
          <w:rtl w:val="0"/>
        </w:rPr>
        <w:t xml:space="preserve">Assume nothing, Believe nobody, Check everything</w:t>
      </w:r>
      <w:r w:rsidDel="00000000" w:rsidR="00000000" w:rsidRPr="00000000">
        <w:rPr>
          <w:rtl w:val="0"/>
        </w:rPr>
        <w:t xml:space="preserve"> . Niets is waar totdat het door fysiek bewijs of meervoudige verificatie is gestaafd.</w:t>
      </w:r>
    </w:p>
    <w:p w:rsidR="00000000" w:rsidDel="00000000" w:rsidP="00000000" w:rsidRDefault="00000000" w:rsidRPr="00000000" w14:paraId="00000027">
      <w:pPr>
        <w:pStyle w:val="Heading5"/>
        <w:rPr/>
      </w:pPr>
      <w:bookmarkStart w:colFirst="0" w:colLast="0" w:name="_yqalmvxnxgyi" w:id="14"/>
      <w:bookmarkEnd w:id="14"/>
      <w:r w:rsidDel="00000000" w:rsidR="00000000" w:rsidRPr="00000000">
        <w:rPr>
          <w:rtl w:val="0"/>
        </w:rPr>
        <w:t xml:space="preserve">Waarheidsvinding en Interviewtechnieken</w:t>
      </w:r>
    </w:p>
    <w:p w:rsidR="00000000" w:rsidDel="00000000" w:rsidP="00000000" w:rsidRDefault="00000000" w:rsidRPr="00000000" w14:paraId="00000028">
      <w:pPr>
        <w:rPr/>
      </w:pPr>
      <w:r w:rsidDel="00000000" w:rsidR="00000000" w:rsidRPr="00000000">
        <w:rPr>
          <w:rtl w:val="0"/>
        </w:rPr>
        <w:t xml:space="preserve">Interviews moeten direct starten om het verlies van 50-80% van de details binnen 24 uur voor te zijn (AI-43 8.7).</w:t>
      </w:r>
    </w:p>
    <w:p w:rsidR="00000000" w:rsidDel="00000000" w:rsidP="00000000" w:rsidRDefault="00000000" w:rsidRPr="00000000" w14:paraId="00000029">
      <w:pPr>
        <w:numPr>
          <w:ilvl w:val="0"/>
          <w:numId w:val="4"/>
        </w:numPr>
        <w:ind w:left="720" w:hanging="360"/>
        <w:rPr>
          <w:u w:val="none"/>
        </w:rPr>
      </w:pPr>
      <w:r w:rsidDel="00000000" w:rsidR="00000000" w:rsidRPr="00000000">
        <w:rPr>
          <w:b w:val="1"/>
          <w:bCs w:val="1"/>
          <w:rtl w:val="0"/>
        </w:rPr>
        <w:t xml:space="preserve">Tussenwerpsels:</w:t>
      </w:r>
      <w:r w:rsidDel="00000000" w:rsidR="00000000" w:rsidRPr="00000000">
        <w:rPr>
          <w:rtl w:val="0"/>
        </w:rPr>
        <w:t xml:space="preserve">  Gebruik stimulerende reacties ("hm hm", "ga verder") om de getuige te laten praten.</w:t>
      </w:r>
    </w:p>
    <w:p w:rsidR="00000000" w:rsidDel="00000000" w:rsidP="00000000" w:rsidRDefault="00000000" w:rsidRPr="00000000" w14:paraId="0000002A">
      <w:pPr>
        <w:numPr>
          <w:ilvl w:val="0"/>
          <w:numId w:val="4"/>
        </w:numPr>
        <w:ind w:left="720" w:hanging="360"/>
        <w:rPr>
          <w:u w:val="none"/>
        </w:rPr>
      </w:pPr>
      <w:r w:rsidDel="00000000" w:rsidR="00000000" w:rsidRPr="00000000">
        <w:rPr>
          <w:b w:val="1"/>
          <w:bCs w:val="1"/>
          <w:rtl w:val="0"/>
        </w:rPr>
        <w:t xml:space="preserve">Non-verbale signalen:</w:t>
      </w:r>
      <w:r w:rsidDel="00000000" w:rsidR="00000000" w:rsidRPr="00000000">
        <w:rPr>
          <w:rtl w:val="0"/>
        </w:rPr>
        <w:t xml:space="preserve">  Let op mimiek, lichaamshouding en oogcontact als indicatoren voor shock of angst voor bestraffing.</w:t>
      </w:r>
    </w:p>
    <w:p w:rsidR="00000000" w:rsidDel="00000000" w:rsidP="00000000" w:rsidRDefault="00000000" w:rsidRPr="00000000" w14:paraId="0000002B">
      <w:pPr>
        <w:numPr>
          <w:ilvl w:val="0"/>
          <w:numId w:val="4"/>
        </w:numPr>
        <w:ind w:left="720" w:hanging="360"/>
        <w:rPr>
          <w:u w:val="none"/>
        </w:rPr>
      </w:pPr>
      <w:r w:rsidDel="00000000" w:rsidR="00000000" w:rsidRPr="00000000">
        <w:rPr>
          <w:b w:val="1"/>
          <w:bCs w:val="1"/>
          <w:rtl w:val="0"/>
        </w:rPr>
        <w:t xml:space="preserve">Blame-culture:</w:t>
      </w:r>
      <w:r w:rsidDel="00000000" w:rsidR="00000000" w:rsidRPr="00000000">
        <w:rPr>
          <w:rtl w:val="0"/>
        </w:rPr>
        <w:t xml:space="preserve">  Vermijd moralisering. Onderzoek de "vermijdbaarheid" door de focus te leggen op de context waarin de medewerker handelde.</w:t>
      </w:r>
    </w:p>
    <w:p w:rsidR="00000000" w:rsidDel="00000000" w:rsidP="00000000" w:rsidRDefault="00000000" w:rsidRPr="00000000" w14:paraId="0000002C">
      <w:pPr>
        <w:pStyle w:val="Heading5"/>
        <w:rPr/>
      </w:pPr>
      <w:bookmarkStart w:colFirst="0" w:colLast="0" w:name="_6c7g0nv8l4mi" w:id="15"/>
      <w:bookmarkEnd w:id="15"/>
      <w:r w:rsidDel="00000000" w:rsidR="00000000" w:rsidRPr="00000000">
        <w:rPr>
          <w:rtl w:val="0"/>
        </w:rPr>
        <w:t xml:space="preserve">Technisch Specialistisch Onderzoek</w:t>
      </w:r>
    </w:p>
    <w:p w:rsidR="00000000" w:rsidDel="00000000" w:rsidP="00000000" w:rsidRDefault="00000000" w:rsidRPr="00000000" w14:paraId="0000002D">
      <w:pPr>
        <w:rPr/>
      </w:pPr>
      <w:r w:rsidDel="00000000" w:rsidR="00000000" w:rsidRPr="00000000">
        <w:rPr>
          <w:rtl w:val="0"/>
        </w:rPr>
        <w:t xml:space="preserve">Bij technische defecten aan offshore installaties is specialistische inzet vereist (AI-43 hfst 7):</w:t>
      </w:r>
    </w:p>
    <w:p w:rsidR="00000000" w:rsidDel="00000000" w:rsidP="00000000" w:rsidRDefault="00000000" w:rsidRPr="00000000" w14:paraId="0000002E">
      <w:pPr>
        <w:numPr>
          <w:ilvl w:val="0"/>
          <w:numId w:val="11"/>
        </w:numPr>
        <w:ind w:left="720" w:hanging="360"/>
        <w:rPr>
          <w:u w:val="none"/>
        </w:rPr>
      </w:pPr>
      <w:r w:rsidDel="00000000" w:rsidR="00000000" w:rsidRPr="00000000">
        <w:rPr>
          <w:b w:val="1"/>
          <w:bCs w:val="1"/>
          <w:rtl w:val="0"/>
        </w:rPr>
        <w:t xml:space="preserve">Materiaalkundig onderzoek:</w:t>
      </w:r>
      <w:r w:rsidDel="00000000" w:rsidR="00000000" w:rsidRPr="00000000">
        <w:rPr>
          <w:rtl w:val="0"/>
        </w:rPr>
        <w:t xml:space="preserve">  Analyse van breuken door materiaalstress, vermoeiing of corrosie.</w:t>
      </w:r>
    </w:p>
    <w:p w:rsidR="00000000" w:rsidDel="00000000" w:rsidP="00000000" w:rsidRDefault="00000000" w:rsidRPr="00000000" w14:paraId="0000002F">
      <w:pPr>
        <w:numPr>
          <w:ilvl w:val="0"/>
          <w:numId w:val="11"/>
        </w:numPr>
        <w:ind w:left="720" w:hanging="360"/>
        <w:rPr>
          <w:u w:val="none"/>
        </w:rPr>
      </w:pPr>
      <w:r w:rsidDel="00000000" w:rsidR="00000000" w:rsidRPr="00000000">
        <w:rPr>
          <w:b w:val="1"/>
          <w:bCs w:val="1"/>
          <w:rtl w:val="0"/>
        </w:rPr>
        <w:t xml:space="preserve">Brandtechnisch onderzoek:</w:t>
      </w:r>
      <w:r w:rsidDel="00000000" w:rsidR="00000000" w:rsidRPr="00000000">
        <w:rPr>
          <w:rtl w:val="0"/>
        </w:rPr>
        <w:t xml:space="preserve">  Identificeer de brandhaard via de  </w:t>
      </w:r>
      <w:r w:rsidDel="00000000" w:rsidR="00000000" w:rsidRPr="00000000">
        <w:rPr>
          <w:b w:val="1"/>
          <w:bCs w:val="1"/>
          <w:rtl w:val="0"/>
        </w:rPr>
        <w:t xml:space="preserve">V-vormige uitbreiding</w:t>
      </w:r>
      <w:r w:rsidDel="00000000" w:rsidR="00000000" w:rsidRPr="00000000">
        <w:rPr>
          <w:rtl w:val="0"/>
        </w:rPr>
        <w:t xml:space="preserve"> . Gebruik  </w:t>
      </w:r>
      <w:r w:rsidDel="00000000" w:rsidR="00000000" w:rsidRPr="00000000">
        <w:rPr>
          <w:b w:val="1"/>
          <w:bCs w:val="1"/>
          <w:rtl w:val="0"/>
        </w:rPr>
        <w:t xml:space="preserve">temperatuurindicatoren</w:t>
      </w:r>
      <w:r w:rsidDel="00000000" w:rsidR="00000000" w:rsidRPr="00000000">
        <w:rPr>
          <w:rtl w:val="0"/>
        </w:rPr>
        <w:t xml:space="preserve">  (zoals gesmolten metalen of roetpatronen) om het brandverloop te reconstrueren.</w:t>
      </w:r>
    </w:p>
    <w:p w:rsidR="00000000" w:rsidDel="00000000" w:rsidP="00000000" w:rsidRDefault="00000000" w:rsidRPr="00000000" w14:paraId="00000030">
      <w:pPr>
        <w:numPr>
          <w:ilvl w:val="0"/>
          <w:numId w:val="11"/>
        </w:numPr>
        <w:ind w:left="720" w:hanging="360"/>
        <w:rPr>
          <w:u w:val="none"/>
        </w:rPr>
      </w:pPr>
      <w:r w:rsidDel="00000000" w:rsidR="00000000" w:rsidRPr="00000000">
        <w:rPr>
          <w:b w:val="1"/>
          <w:bCs w:val="1"/>
          <w:rtl w:val="0"/>
        </w:rPr>
        <w:t xml:space="preserve">Genotype-analyse:</w:t>
      </w:r>
      <w:r w:rsidDel="00000000" w:rsidR="00000000" w:rsidRPr="00000000">
        <w:rPr>
          <w:rtl w:val="0"/>
        </w:rPr>
        <w:t xml:space="preserve">  Kijk verder dan het "Phenotype" (het symptoom, zoals een gebroken bout) naar het "Genotype" (de basisoorzaak, zoals een falend inkoopproces voor onderdelen).</w:t>
      </w:r>
    </w:p>
    <w:p w:rsidR="00000000" w:rsidDel="00000000" w:rsidP="00000000" w:rsidRDefault="00000000" w:rsidRPr="00000000" w14:paraId="00000031">
      <w:pPr>
        <w:pStyle w:val="Heading4"/>
        <w:rPr/>
      </w:pPr>
      <w:bookmarkStart w:colFirst="0" w:colLast="0" w:name="_7x5vnatbbkcl" w:id="16"/>
      <w:bookmarkEnd w:id="16"/>
      <w:r w:rsidDel="00000000" w:rsidR="00000000" w:rsidRPr="00000000">
        <w:rPr>
          <w:rtl w:val="0"/>
        </w:rPr>
        <w:t xml:space="preserve">6. Fysieke Belasting en Ergonomie bij 'Small Piece Removal'</w:t>
      </w:r>
    </w:p>
    <w:p w:rsidR="00000000" w:rsidDel="00000000" w:rsidP="00000000" w:rsidRDefault="00000000" w:rsidRPr="00000000" w14:paraId="00000032">
      <w:pPr>
        <w:rPr/>
      </w:pPr>
      <w:r w:rsidDel="00000000" w:rsidR="00000000" w:rsidRPr="00000000">
        <w:rPr>
          <w:rtl w:val="0"/>
        </w:rPr>
        <w:t xml:space="preserve">Bij handmatige demontage is statische belasting een kritiek risico.</w:t>
      </w:r>
    </w:p>
    <w:p w:rsidR="00000000" w:rsidDel="00000000" w:rsidP="00000000" w:rsidRDefault="00000000" w:rsidRPr="00000000" w14:paraId="00000033">
      <w:pPr>
        <w:pStyle w:val="Heading5"/>
        <w:rPr/>
      </w:pPr>
      <w:bookmarkStart w:colFirst="0" w:colLast="0" w:name="_z2ap7vslsqps" w:id="17"/>
      <w:bookmarkEnd w:id="17"/>
      <w:r w:rsidDel="00000000" w:rsidR="00000000" w:rsidRPr="00000000">
        <w:rPr>
          <w:rtl w:val="0"/>
        </w:rPr>
        <w:t xml:space="preserve">Basiswerkhoogten (AI-08 Tabel 2 - Gemengde Populatie)</w:t>
      </w:r>
    </w:p>
    <w:p w:rsidR="00000000" w:rsidDel="00000000" w:rsidP="00000000" w:rsidRDefault="00000000" w:rsidRPr="00000000" w14:paraId="00000034">
      <w:pPr>
        <w:rPr/>
      </w:pPr>
      <w:r w:rsidDel="00000000" w:rsidR="00000000" w:rsidRPr="00000000">
        <w:rPr>
          <w:rtl w:val="0"/>
        </w:rPr>
        <w:t xml:space="preserve">Voor een gemengde populatie offshore (geschoeide werknemers) gelden de volgende dwingende werkhoogten:</w:t>
      </w:r>
    </w:p>
    <w:p w:rsidR="00000000" w:rsidDel="00000000" w:rsidP="00000000" w:rsidRDefault="00000000" w:rsidRPr="00000000" w14:paraId="00000035">
      <w:pPr>
        <w:numPr>
          <w:ilvl w:val="0"/>
          <w:numId w:val="5"/>
        </w:numPr>
        <w:ind w:left="720" w:hanging="360"/>
        <w:rPr>
          <w:u w:val="none"/>
        </w:rPr>
      </w:pPr>
      <w:r w:rsidDel="00000000" w:rsidR="00000000" w:rsidRPr="00000000">
        <w:rPr>
          <w:b w:val="1"/>
          <w:bCs w:val="1"/>
          <w:rtl w:val="0"/>
        </w:rPr>
        <w:t xml:space="preserve">Kleine medewerkers:</w:t>
      </w:r>
      <w:r w:rsidDel="00000000" w:rsidR="00000000" w:rsidRPr="00000000">
        <w:rPr>
          <w:rtl w:val="0"/>
        </w:rPr>
        <w:t xml:space="preserve">  104 cm</w:t>
      </w:r>
    </w:p>
    <w:p w:rsidR="00000000" w:rsidDel="00000000" w:rsidP="00000000" w:rsidRDefault="00000000" w:rsidRPr="00000000" w14:paraId="00000036">
      <w:pPr>
        <w:numPr>
          <w:ilvl w:val="0"/>
          <w:numId w:val="5"/>
        </w:numPr>
        <w:ind w:left="720" w:hanging="360"/>
        <w:rPr>
          <w:u w:val="none"/>
        </w:rPr>
      </w:pPr>
      <w:r w:rsidDel="00000000" w:rsidR="00000000" w:rsidRPr="00000000">
        <w:rPr>
          <w:b w:val="1"/>
          <w:bCs w:val="1"/>
          <w:rtl w:val="0"/>
        </w:rPr>
        <w:t xml:space="preserve">Gemiddelde lengte:</w:t>
      </w:r>
      <w:r w:rsidDel="00000000" w:rsidR="00000000" w:rsidRPr="00000000">
        <w:rPr>
          <w:rtl w:val="0"/>
        </w:rPr>
        <w:t xml:space="preserve">  116 cm</w:t>
      </w:r>
    </w:p>
    <w:p w:rsidR="00000000" w:rsidDel="00000000" w:rsidP="00000000" w:rsidRDefault="00000000" w:rsidRPr="00000000" w14:paraId="00000037">
      <w:pPr>
        <w:numPr>
          <w:ilvl w:val="0"/>
          <w:numId w:val="5"/>
        </w:numPr>
        <w:ind w:left="720" w:hanging="360"/>
        <w:rPr>
          <w:u w:val="none"/>
        </w:rPr>
      </w:pPr>
      <w:r w:rsidDel="00000000" w:rsidR="00000000" w:rsidRPr="00000000">
        <w:rPr>
          <w:b w:val="1"/>
          <w:bCs w:val="1"/>
          <w:rtl w:val="0"/>
        </w:rPr>
        <w:t xml:space="preserve">Grote medewerkers:</w:t>
      </w:r>
      <w:r w:rsidDel="00000000" w:rsidR="00000000" w:rsidRPr="00000000">
        <w:rPr>
          <w:rtl w:val="0"/>
        </w:rPr>
        <w:t xml:space="preserve">  127 cmVoor nauwkeurig werk dient de hoogte 20 tot 30 cm boven ellebooghoogte te liggen om nekbelasting te voorkomen.</w:t>
      </w:r>
    </w:p>
    <w:p w:rsidR="00000000" w:rsidDel="00000000" w:rsidP="00000000" w:rsidRDefault="00000000" w:rsidRPr="00000000" w14:paraId="00000038">
      <w:pPr>
        <w:pStyle w:val="Heading5"/>
        <w:rPr/>
      </w:pPr>
      <w:bookmarkStart w:colFirst="0" w:colLast="0" w:name="_twbupse7au9p" w:id="18"/>
      <w:bookmarkEnd w:id="18"/>
      <w:r w:rsidDel="00000000" w:rsidR="00000000" w:rsidRPr="00000000">
        <w:rPr>
          <w:rtl w:val="0"/>
        </w:rPr>
        <w:t xml:space="preserve">Lean en de '7 Dodelijke Verliezen' in de Praktijk</w:t>
      </w:r>
    </w:p>
    <w:p w:rsidR="00000000" w:rsidDel="00000000" w:rsidP="00000000" w:rsidRDefault="00000000" w:rsidRPr="00000000" w14:paraId="00000039">
      <w:pPr>
        <w:rPr/>
      </w:pPr>
      <w:r w:rsidDel="00000000" w:rsidR="00000000" w:rsidRPr="00000000">
        <w:rPr>
          <w:rtl w:val="0"/>
        </w:rPr>
        <w:t xml:space="preserve">In de offshore context vertalen wij Lean-principes direct naar veiligheid:</w:t>
      </w:r>
    </w:p>
    <w:p w:rsidR="00000000" w:rsidDel="00000000" w:rsidP="00000000" w:rsidRDefault="00000000" w:rsidRPr="00000000" w14:paraId="0000003A">
      <w:pPr>
        <w:numPr>
          <w:ilvl w:val="0"/>
          <w:numId w:val="1"/>
        </w:numPr>
        <w:ind w:left="720" w:hanging="360"/>
        <w:rPr>
          <w:u w:val="none"/>
        </w:rPr>
      </w:pPr>
      <w:r w:rsidDel="00000000" w:rsidR="00000000" w:rsidRPr="00000000">
        <w:rPr>
          <w:b w:val="1"/>
          <w:bCs w:val="1"/>
          <w:rtl w:val="0"/>
        </w:rPr>
        <w:t xml:space="preserve">Transport en Logistiek:</w:t>
      </w:r>
      <w:r w:rsidDel="00000000" w:rsidR="00000000" w:rsidRPr="00000000">
        <w:rPr>
          <w:rtl w:val="0"/>
        </w:rPr>
        <w:t xml:space="preserve">  Onnodige verplaatsing van losgehaalde onderdelen op een volle deck-vloer verhoogt het risico op struikelgevaar en fysieke overbelasting.</w:t>
      </w:r>
    </w:p>
    <w:p w:rsidR="00000000" w:rsidDel="00000000" w:rsidP="00000000" w:rsidRDefault="00000000" w:rsidRPr="00000000" w14:paraId="0000003B">
      <w:pPr>
        <w:numPr>
          <w:ilvl w:val="0"/>
          <w:numId w:val="1"/>
        </w:numPr>
        <w:ind w:left="720" w:hanging="360"/>
        <w:rPr>
          <w:u w:val="none"/>
        </w:rPr>
      </w:pPr>
      <w:r w:rsidDel="00000000" w:rsidR="00000000" w:rsidRPr="00000000">
        <w:rPr>
          <w:b w:val="1"/>
          <w:bCs w:val="1"/>
          <w:rtl w:val="0"/>
        </w:rPr>
        <w:t xml:space="preserve">Onnodige bewegingen:</w:t>
      </w:r>
      <w:r w:rsidDel="00000000" w:rsidR="00000000" w:rsidRPr="00000000">
        <w:rPr>
          <w:rtl w:val="0"/>
        </w:rPr>
        <w:t xml:space="preserve">  Optimaliseer de reikwijdte (max. 30-45 cm voor frequente taken) om rugklachten door bukken en draaien te minimaliseren.</w:t>
      </w:r>
    </w:p>
    <w:p w:rsidR="00000000" w:rsidDel="00000000" w:rsidP="00000000" w:rsidRDefault="00000000" w:rsidRPr="00000000" w14:paraId="0000003C">
      <w:pPr>
        <w:pStyle w:val="Heading4"/>
        <w:rPr/>
      </w:pPr>
      <w:bookmarkStart w:colFirst="0" w:colLast="0" w:name="_kfewjn9z3cl8" w:id="19"/>
      <w:bookmarkEnd w:id="19"/>
      <w:r w:rsidDel="00000000" w:rsidR="00000000" w:rsidRPr="00000000">
        <w:rPr>
          <w:rtl w:val="0"/>
        </w:rPr>
        <w:t xml:space="preserve">7. Implementatie van Verbetermaatregelen en Borging</w:t>
      </w:r>
    </w:p>
    <w:p w:rsidR="00000000" w:rsidDel="00000000" w:rsidP="00000000" w:rsidRDefault="00000000" w:rsidRPr="00000000" w14:paraId="0000003D">
      <w:pPr>
        <w:rPr/>
      </w:pPr>
      <w:r w:rsidDel="00000000" w:rsidR="00000000" w:rsidRPr="00000000">
        <w:rPr>
          <w:rtl w:val="0"/>
        </w:rPr>
        <w:t xml:space="preserve">Aanbevelingen hebben pas waarde als ze de status van "vrijblijvend advies" ontstijgen.</w:t>
      </w:r>
    </w:p>
    <w:p w:rsidR="00000000" w:rsidDel="00000000" w:rsidP="00000000" w:rsidRDefault="00000000" w:rsidRPr="00000000" w14:paraId="0000003E">
      <w:pPr>
        <w:numPr>
          <w:ilvl w:val="0"/>
          <w:numId w:val="2"/>
        </w:numPr>
        <w:ind w:left="720" w:hanging="360"/>
        <w:rPr>
          <w:u w:val="none"/>
        </w:rPr>
      </w:pPr>
      <w:r w:rsidDel="00000000" w:rsidR="00000000" w:rsidRPr="00000000">
        <w:rPr>
          <w:b w:val="1"/>
          <w:bCs w:val="1"/>
          <w:rtl w:val="0"/>
        </w:rPr>
        <w:t xml:space="preserve">Plan van Aanpak:</w:t>
      </w:r>
      <w:r w:rsidDel="00000000" w:rsidR="00000000" w:rsidRPr="00000000">
        <w:rPr>
          <w:rtl w:val="0"/>
        </w:rPr>
        <w:t xml:space="preserve">  Elke geaccordeerde maatregel moet worden opgenomen in het Plan van Aanpak van de RI&amp;E, voorzien van een verantwoordelijke functionaris en een harde einddatum.</w:t>
      </w:r>
    </w:p>
    <w:p w:rsidR="00000000" w:rsidDel="00000000" w:rsidP="00000000" w:rsidRDefault="00000000" w:rsidRPr="00000000" w14:paraId="0000003F">
      <w:pPr>
        <w:numPr>
          <w:ilvl w:val="0"/>
          <w:numId w:val="2"/>
        </w:numPr>
        <w:ind w:left="720" w:hanging="360"/>
        <w:rPr>
          <w:u w:val="none"/>
        </w:rPr>
      </w:pPr>
      <w:r w:rsidDel="00000000" w:rsidR="00000000" w:rsidRPr="00000000">
        <w:rPr>
          <w:b w:val="1"/>
          <w:bCs w:val="1"/>
          <w:rtl w:val="0"/>
        </w:rPr>
        <w:t xml:space="preserve">Managementbeoordeling:</w:t>
      </w:r>
      <w:r w:rsidDel="00000000" w:rsidR="00000000" w:rsidRPr="00000000">
        <w:rPr>
          <w:rtl w:val="0"/>
        </w:rPr>
        <w:t xml:space="preserve">  Dit is het sluitstuk van de veiligheidscirkel. De directie toetst of de resultaten (indicatoren) overeenstemmen met de strategische doelen.</w:t>
      </w:r>
    </w:p>
    <w:p w:rsidR="00000000" w:rsidDel="00000000" w:rsidP="00000000" w:rsidRDefault="00000000" w:rsidRPr="00000000" w14:paraId="00000040">
      <w:pPr>
        <w:numPr>
          <w:ilvl w:val="0"/>
          <w:numId w:val="2"/>
        </w:numPr>
        <w:ind w:left="720" w:hanging="360"/>
        <w:rPr>
          <w:u w:val="none"/>
        </w:rPr>
      </w:pPr>
      <w:r w:rsidDel="00000000" w:rsidR="00000000" w:rsidRPr="00000000">
        <w:rPr>
          <w:b w:val="1"/>
          <w:bCs w:val="1"/>
          <w:rtl w:val="0"/>
        </w:rPr>
        <w:t xml:space="preserve">Kennisdeling:</w:t>
      </w:r>
      <w:r w:rsidDel="00000000" w:rsidR="00000000" w:rsidRPr="00000000">
        <w:rPr>
          <w:rtl w:val="0"/>
        </w:rPr>
        <w:t xml:space="preserve">  Deel leerpunten via 'one-pagers' met foto's op de platform-intranetten en tijdens toolboxmeetings om collectief bewustzijn te creëren.</w:t>
      </w:r>
    </w:p>
    <w:p w:rsidR="00000000" w:rsidDel="00000000" w:rsidP="00000000" w:rsidRDefault="00000000" w:rsidRPr="00000000" w14:paraId="00000041">
      <w:pPr>
        <w:pStyle w:val="Heading4"/>
        <w:rPr/>
      </w:pPr>
      <w:bookmarkStart w:colFirst="0" w:colLast="0" w:name="_zggepocpooud" w:id="20"/>
      <w:bookmarkEnd w:id="20"/>
      <w:r w:rsidDel="00000000" w:rsidR="00000000" w:rsidRPr="00000000">
        <w:rPr>
          <w:rtl w:val="0"/>
        </w:rPr>
        <w:t xml:space="preserve">8. Bijlagen: Checklists voor Inspectie</w:t>
      </w:r>
    </w:p>
    <w:p w:rsidR="00000000" w:rsidDel="00000000" w:rsidP="00000000" w:rsidRDefault="00000000" w:rsidRPr="00000000" w14:paraId="00000042">
      <w:pPr>
        <w:pStyle w:val="Heading5"/>
        <w:rPr/>
      </w:pPr>
      <w:bookmarkStart w:colFirst="0" w:colLast="0" w:name="_ribs8wha1gev" w:id="21"/>
      <w:bookmarkEnd w:id="21"/>
      <w:r w:rsidDel="00000000" w:rsidR="00000000" w:rsidRPr="00000000">
        <w:rPr>
          <w:rtl w:val="0"/>
        </w:rPr>
        <w:t xml:space="preserve">Checklist: Verzamelen van bewijs (Documenten en Instrumenten)</w:t>
      </w:r>
    </w:p>
    <w:p w:rsidR="00000000" w:rsidDel="00000000" w:rsidP="00000000" w:rsidRDefault="00000000" w:rsidRPr="00000000" w14:paraId="00000043">
      <w:pPr>
        <w:numPr>
          <w:ilvl w:val="0"/>
          <w:numId w:val="10"/>
        </w:numPr>
        <w:ind w:left="720" w:hanging="360"/>
        <w:rPr>
          <w:u w:val="none"/>
        </w:rPr>
      </w:pPr>
      <w:r w:rsidDel="00000000" w:rsidR="00000000" w:rsidRPr="00000000">
        <w:rPr>
          <w:rtl w:val="0"/>
        </w:rPr>
        <w:t xml:space="preserve"> Geldige werkvergunningen (PTW) en bijbehorende TRA.</w:t>
      </w:r>
    </w:p>
    <w:p w:rsidR="00000000" w:rsidDel="00000000" w:rsidP="00000000" w:rsidRDefault="00000000" w:rsidRPr="00000000" w14:paraId="00000044">
      <w:pPr>
        <w:numPr>
          <w:ilvl w:val="0"/>
          <w:numId w:val="10"/>
        </w:numPr>
        <w:ind w:left="720" w:hanging="360"/>
        <w:rPr>
          <w:u w:val="none"/>
        </w:rPr>
      </w:pPr>
      <w:r w:rsidDel="00000000" w:rsidR="00000000" w:rsidRPr="00000000">
        <w:rPr>
          <w:rtl w:val="0"/>
        </w:rPr>
        <w:t xml:space="preserve"> Logboeken van de betreffende shift en onderhoudshistorie van de installatie.</w:t>
      </w:r>
    </w:p>
    <w:p w:rsidR="00000000" w:rsidDel="00000000" w:rsidP="00000000" w:rsidRDefault="00000000" w:rsidRPr="00000000" w14:paraId="00000045">
      <w:pPr>
        <w:numPr>
          <w:ilvl w:val="0"/>
          <w:numId w:val="10"/>
        </w:numPr>
        <w:ind w:left="720" w:hanging="360"/>
        <w:rPr>
          <w:u w:val="none"/>
        </w:rPr>
      </w:pPr>
      <w:r w:rsidDel="00000000" w:rsidR="00000000" w:rsidRPr="00000000">
        <w:rPr>
          <w:rtl w:val="0"/>
        </w:rPr>
        <w:t xml:space="preserve"> Keuringscertificaten van hijsmiddelen en snijgereedschap.</w:t>
      </w:r>
    </w:p>
    <w:p w:rsidR="00000000" w:rsidDel="00000000" w:rsidP="00000000" w:rsidRDefault="00000000" w:rsidRPr="00000000" w14:paraId="00000046">
      <w:pPr>
        <w:numPr>
          <w:ilvl w:val="0"/>
          <w:numId w:val="10"/>
        </w:numPr>
        <w:ind w:left="720" w:hanging="360"/>
        <w:rPr>
          <w:u w:val="none"/>
        </w:rPr>
      </w:pPr>
      <w:r w:rsidDel="00000000" w:rsidR="00000000" w:rsidRPr="00000000">
        <w:rPr>
          <w:rtl w:val="0"/>
        </w:rPr>
        <w:t xml:space="preserve"> Opleidingsmatrix en certificaten van betrokken contractor-personeel.</w:t>
      </w:r>
    </w:p>
    <w:p w:rsidR="00000000" w:rsidDel="00000000" w:rsidP="00000000" w:rsidRDefault="00000000" w:rsidRPr="00000000" w14:paraId="00000047">
      <w:pPr>
        <w:numPr>
          <w:ilvl w:val="0"/>
          <w:numId w:val="10"/>
        </w:numPr>
        <w:ind w:left="720" w:hanging="360"/>
        <w:rPr>
          <w:u w:val="none"/>
        </w:rPr>
      </w:pPr>
      <w:r w:rsidDel="00000000" w:rsidR="00000000" w:rsidRPr="00000000">
        <w:rPr>
          <w:rtl w:val="0"/>
        </w:rPr>
        <w:t xml:space="preserve">  </w:t>
      </w:r>
      <w:r w:rsidDel="00000000" w:rsidR="00000000" w:rsidRPr="00000000">
        <w:rPr>
          <w:b w:val="1"/>
          <w:bCs w:val="1"/>
          <w:rtl w:val="0"/>
        </w:rPr>
        <w:t xml:space="preserve">PID-meter</w:t>
      </w:r>
      <w:r w:rsidDel="00000000" w:rsidR="00000000" w:rsidRPr="00000000">
        <w:rPr>
          <w:rtl w:val="0"/>
        </w:rPr>
        <w:t xml:space="preserve">  metingen voor vluchtige organische stoffen vóór betreding.</w:t>
      </w:r>
    </w:p>
    <w:p w:rsidR="00000000" w:rsidDel="00000000" w:rsidP="00000000" w:rsidRDefault="00000000" w:rsidRPr="00000000" w14:paraId="00000048">
      <w:pPr>
        <w:numPr>
          <w:ilvl w:val="0"/>
          <w:numId w:val="10"/>
        </w:numPr>
        <w:ind w:left="720" w:hanging="360"/>
        <w:rPr>
          <w:u w:val="none"/>
        </w:rPr>
      </w:pPr>
      <w:r w:rsidDel="00000000" w:rsidR="00000000" w:rsidRPr="00000000">
        <w:rPr>
          <w:rtl w:val="0"/>
        </w:rPr>
        <w:t xml:space="preserve"> Monsters van vloeistoffen of vaste stoffen (geleverd in verzegelde containers).</w:t>
      </w:r>
    </w:p>
    <w:p w:rsidR="00000000" w:rsidDel="00000000" w:rsidP="00000000" w:rsidRDefault="00000000" w:rsidRPr="00000000" w14:paraId="00000049">
      <w:pPr>
        <w:pStyle w:val="Heading5"/>
        <w:rPr/>
      </w:pPr>
      <w:bookmarkStart w:colFirst="0" w:colLast="0" w:name="_8we1ftpnvrw9" w:id="22"/>
      <w:bookmarkEnd w:id="22"/>
      <w:r w:rsidDel="00000000" w:rsidR="00000000" w:rsidRPr="00000000">
        <w:rPr>
          <w:rtl w:val="0"/>
        </w:rPr>
        <w:t xml:space="preserve">Checklist: Eerste bezoek plaats ongeval (Technisch)</w:t>
      </w:r>
    </w:p>
    <w:p w:rsidR="00000000" w:rsidDel="00000000" w:rsidP="00000000" w:rsidRDefault="00000000" w:rsidRPr="00000000" w14:paraId="0000004A">
      <w:pPr>
        <w:numPr>
          <w:ilvl w:val="0"/>
          <w:numId w:val="9"/>
        </w:numPr>
        <w:ind w:left="720" w:hanging="360"/>
        <w:rPr>
          <w:u w:val="none"/>
        </w:rPr>
      </w:pPr>
      <w:r w:rsidDel="00000000" w:rsidR="00000000" w:rsidRPr="00000000">
        <w:rPr>
          <w:rtl w:val="0"/>
        </w:rPr>
        <w:t xml:space="preserve">  </w:t>
      </w:r>
      <w:r w:rsidDel="00000000" w:rsidR="00000000" w:rsidRPr="00000000">
        <w:rPr>
          <w:b w:val="1"/>
          <w:bCs w:val="1"/>
          <w:rtl w:val="0"/>
        </w:rPr>
        <w:t xml:space="preserve">Bevriezen situatie:</w:t>
      </w:r>
      <w:r w:rsidDel="00000000" w:rsidR="00000000" w:rsidRPr="00000000">
        <w:rPr>
          <w:rtl w:val="0"/>
        </w:rPr>
        <w:t xml:space="preserve">  Geen verplaatsing van objecten, tenzij noodzakelijk voor hulpverlening.</w:t>
      </w:r>
    </w:p>
    <w:p w:rsidR="00000000" w:rsidDel="00000000" w:rsidP="00000000" w:rsidRDefault="00000000" w:rsidRPr="00000000" w14:paraId="0000004B">
      <w:pPr>
        <w:numPr>
          <w:ilvl w:val="0"/>
          <w:numId w:val="9"/>
        </w:numPr>
        <w:ind w:left="720" w:hanging="360"/>
        <w:rPr>
          <w:u w:val="none"/>
        </w:rPr>
      </w:pPr>
      <w:r w:rsidDel="00000000" w:rsidR="00000000" w:rsidRPr="00000000">
        <w:rPr>
          <w:rtl w:val="0"/>
        </w:rPr>
        <w:t xml:space="preserve">  </w:t>
      </w:r>
      <w:r w:rsidDel="00000000" w:rsidR="00000000" w:rsidRPr="00000000">
        <w:rPr>
          <w:b w:val="1"/>
          <w:bCs w:val="1"/>
          <w:rtl w:val="0"/>
        </w:rPr>
        <w:t xml:space="preserve">Fotografie:</w:t>
      </w:r>
      <w:r w:rsidDel="00000000" w:rsidR="00000000" w:rsidRPr="00000000">
        <w:rPr>
          <w:rtl w:val="0"/>
        </w:rPr>
        <w:t xml:space="preserve">  Maak overzichtsfoto's en detailfoto's.  </w:t>
      </w:r>
      <w:r w:rsidDel="00000000" w:rsidR="00000000" w:rsidRPr="00000000">
        <w:rPr>
          <w:b w:val="1"/>
          <w:bCs w:val="1"/>
          <w:rtl w:val="0"/>
        </w:rPr>
        <w:t xml:space="preserve">Check en lock exposure/focus</w:t>
      </w:r>
      <w:r w:rsidDel="00000000" w:rsidR="00000000" w:rsidRPr="00000000">
        <w:rPr>
          <w:rtl w:val="0"/>
        </w:rPr>
        <w:t xml:space="preserve">  en verifieer direct of de  </w:t>
      </w:r>
      <w:r w:rsidDel="00000000" w:rsidR="00000000" w:rsidRPr="00000000">
        <w:rPr>
          <w:b w:val="1"/>
          <w:bCs w:val="1"/>
          <w:rtl w:val="0"/>
        </w:rPr>
        <w:t xml:space="preserve">timestamps</w:t>
      </w:r>
      <w:r w:rsidDel="00000000" w:rsidR="00000000" w:rsidRPr="00000000">
        <w:rPr>
          <w:rtl w:val="0"/>
        </w:rPr>
        <w:t xml:space="preserve">  correct zijn ingesteld.</w:t>
      </w:r>
    </w:p>
    <w:p w:rsidR="00000000" w:rsidDel="00000000" w:rsidP="00000000" w:rsidRDefault="00000000" w:rsidRPr="00000000" w14:paraId="0000004C">
      <w:pPr>
        <w:numPr>
          <w:ilvl w:val="0"/>
          <w:numId w:val="9"/>
        </w:numPr>
        <w:ind w:left="720" w:hanging="360"/>
        <w:rPr>
          <w:u w:val="none"/>
        </w:rPr>
      </w:pPr>
      <w:r w:rsidDel="00000000" w:rsidR="00000000" w:rsidRPr="00000000">
        <w:rPr>
          <w:rtl w:val="0"/>
        </w:rPr>
        <w:t xml:space="preserve">  </w:t>
      </w:r>
      <w:r w:rsidDel="00000000" w:rsidR="00000000" w:rsidRPr="00000000">
        <w:rPr>
          <w:b w:val="1"/>
          <w:bCs w:val="1"/>
          <w:rtl w:val="0"/>
        </w:rPr>
        <w:t xml:space="preserve">Markering:</w:t>
      </w:r>
      <w:r w:rsidDel="00000000" w:rsidR="00000000" w:rsidRPr="00000000">
        <w:rPr>
          <w:rtl w:val="0"/>
        </w:rPr>
        <w:t xml:space="preserve">  Markeer de posities van slachtoffers en kritische brokstukken op de vloer.</w:t>
      </w:r>
    </w:p>
    <w:p w:rsidR="00000000" w:rsidDel="00000000" w:rsidP="00000000" w:rsidRDefault="00000000" w:rsidRPr="00000000" w14:paraId="0000004D">
      <w:pPr>
        <w:numPr>
          <w:ilvl w:val="0"/>
          <w:numId w:val="9"/>
        </w:numPr>
        <w:ind w:left="720" w:hanging="360"/>
        <w:rPr>
          <w:u w:val="none"/>
        </w:rPr>
      </w:pPr>
      <w:r w:rsidDel="00000000" w:rsidR="00000000" w:rsidRPr="00000000">
        <w:rPr>
          <w:rtl w:val="0"/>
        </w:rPr>
        <w:t xml:space="preserve">  </w:t>
      </w:r>
      <w:r w:rsidDel="00000000" w:rsidR="00000000" w:rsidRPr="00000000">
        <w:rPr>
          <w:b w:val="1"/>
          <w:bCs w:val="1"/>
          <w:rtl w:val="0"/>
        </w:rPr>
        <w:t xml:space="preserve">Brandindicatie:</w:t>
      </w:r>
      <w:r w:rsidDel="00000000" w:rsidR="00000000" w:rsidRPr="00000000">
        <w:rPr>
          <w:rtl w:val="0"/>
        </w:rPr>
        <w:t xml:space="preserve">  Zoek naar V-patronen en temperatuurindicatoren (smeltpunten).</w:t>
      </w:r>
    </w:p>
    <w:p w:rsidR="00000000" w:rsidDel="00000000" w:rsidP="00000000" w:rsidRDefault="00000000" w:rsidRPr="00000000" w14:paraId="0000004E">
      <w:pPr>
        <w:numPr>
          <w:ilvl w:val="0"/>
          <w:numId w:val="9"/>
        </w:numPr>
        <w:ind w:left="720" w:hanging="360"/>
        <w:rPr>
          <w:u w:val="none"/>
        </w:rPr>
      </w:pPr>
      <w:r w:rsidDel="00000000" w:rsidR="00000000" w:rsidRPr="00000000">
        <w:rPr>
          <w:rtl w:val="0"/>
        </w:rPr>
        <w:t xml:space="preserve">  </w:t>
      </w:r>
      <w:r w:rsidDel="00000000" w:rsidR="00000000" w:rsidRPr="00000000">
        <w:rPr>
          <w:b w:val="1"/>
          <w:bCs w:val="1"/>
          <w:rtl w:val="0"/>
        </w:rPr>
        <w:t xml:space="preserve">Cordon:</w:t>
      </w:r>
      <w:r w:rsidDel="00000000" w:rsidR="00000000" w:rsidRPr="00000000">
        <w:rPr>
          <w:rtl w:val="0"/>
        </w:rPr>
        <w:t xml:space="preserve">  Plaats fysieke afzetting om onbevoegden (en verstoring van feiten) te weren.</w:t>
      </w:r>
    </w:p>
    <w:p w:rsidR="00000000" w:rsidDel="00000000" w:rsidP="00000000" w:rsidRDefault="00000000" w:rsidRPr="00000000" w14:paraId="0000004F">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