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t>v1.2</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(bij &gt;= 100 ton/jaar): EUR 150.000 - EUR 500.000+; bij &gt;= 1.000 ton/jaar: EUR 500.000 - EUR 2.000.000+.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Stoffen &lt; 1 ton/jaar vallen buiten de REACH-registratieplicht, maar zijn wel onderworpen aan SDS-plicht bij gevaarlijke stoffen en de CLP-verordening. REACH kent vijf tonnagebands met oplopende informatie-eisen:</w:t>
      </w:r>
    </w:p>
    <w:tbl>
      <w:tblPr>
        <w:tblStyle w:val="LightGrid-Accent1"/>
        <w:tblW w:type="auto" w:w="0"/>
        <w:jc w:val="center"/>
        <w:tblLook w:firstColumn="1" w:firstRow="1" w:lastColumn="0" w:lastRow="0" w:noHBand="0" w:noVBand="1" w:val="04A0"/>
      </w:tblPr>
      <w:tblGrid>
        <w:gridCol w:w="2000"/>
        <w:gridCol w:w="2000"/>
        <w:gridCol w:w="2000"/>
        <w:gridCol w:w="2000"/>
        <w:gridCol w:w="2000"/>
      </w:tblGrid>
      <w:tr>
        <w:tc>
          <w:p>
            <w:r>
              <w:rPr>
                <w:b/>
                <w:sz w:val="20"/>
                <w:szCs w:val="20"/>
              </w:rPr>
              <w:t xml:space="preserve">Tonnageband</w:t>
            </w:r>
          </w:p>
        </w:tc>
        <w:tc>
          <w:p>
            <w:r>
              <w:rPr>
                <w:b/>
                <w:sz w:val="20"/>
                <w:szCs w:val="20"/>
              </w:rPr>
              <w:t xml:space="preserve">Registratie</w:t>
            </w:r>
          </w:p>
        </w:tc>
        <w:tc>
          <w:p>
            <w:r>
              <w:rPr>
                <w:b/>
                <w:sz w:val="20"/>
                <w:szCs w:val="20"/>
              </w:rPr>
              <w:t xml:space="preserve">Annex / Tests</w:t>
            </w:r>
          </w:p>
        </w:tc>
        <w:tc>
          <w:p>
            <w:r>
              <w:rPr>
                <w:b/>
                <w:sz w:val="20"/>
                <w:szCs w:val="20"/>
              </w:rPr>
              <w:t xml:space="preserve">Kosten</w:t>
            </w:r>
          </w:p>
        </w:tc>
        <w:tc>
          <w:p>
            <w:r>
              <w:rPr>
                <w:b/>
                <w:sz w:val="20"/>
                <w:szCs w:val="20"/>
              </w:rPr>
              <w:t xml:space="preserve">Doorlooptijd</w:t>
            </w:r>
          </w:p>
        </w:tc>
      </w:tr>
      <w:tr>
        <w:tc>
          <w:p>
            <w:r>
              <w:t xml:space="preserve">&lt; 1 ton/jaar (&lt; 1.000 kg)</w:t>
            </w:r>
          </w:p>
        </w:tc>
        <w:tc>
          <w:p>
            <w:r>
              <w:t xml:space="preserve">NEE</w:t>
            </w:r>
          </w:p>
        </w:tc>
        <w:tc>
          <w:p>
            <w:r>
              <w:t xml:space="preserve">Geen registratie verplicht</w:t>
            </w:r>
          </w:p>
        </w:tc>
        <w:tc>
          <w:p>
            <w:r>
              <w:t xml:space="preserve">Geen kosten</w:t>
            </w:r>
          </w:p>
        </w:tc>
        <w:tc>
          <w:p>
            <w:r>
              <w:t xml:space="preserve">Niet van toepassing</w:t>
            </w:r>
          </w:p>
        </w:tc>
      </w:tr>
      <w:tr>
        <w:tc>
          <w:p>
            <w:r>
              <w:t xml:space="preserve">1-10 ton/jaar (1.000-10.000 kg)</w:t>
            </w:r>
          </w:p>
        </w:tc>
        <w:tc>
          <w:p>
            <w:r>
              <w:t xml:space="preserve">JA</w:t>
            </w:r>
          </w:p>
        </w:tc>
        <w:tc>
          <w:p>
            <w:r>
              <w:t xml:space="preserve">Annex VII (basisgegevens)</w:t>
            </w:r>
          </w:p>
        </w:tc>
        <w:tc>
          <w:p>
            <w:r>
              <w:t xml:space="preserve">EUR 15.000 - EUR 50.000</w:t>
            </w:r>
          </w:p>
        </w:tc>
        <w:tc>
          <w:p>
            <w:r>
              <w:t xml:space="preserve">6-12 maanden</w:t>
            </w:r>
          </w:p>
        </w:tc>
      </w:tr>
      <w:tr>
        <w:tc>
          <w:p>
            <w:r>
              <w:t xml:space="preserve">10-100 ton/jaar (10.000-100.000 kg)</w:t>
            </w:r>
          </w:p>
        </w:tc>
        <w:tc>
          <w:p>
            <w:r>
              <w:t xml:space="preserve">JA</w:t>
            </w:r>
          </w:p>
        </w:tc>
        <w:tc>
          <w:p>
            <w:r>
              <w:t xml:space="preserve">Annex VII + VIII</w:t>
            </w:r>
          </w:p>
        </w:tc>
        <w:tc>
          <w:p>
            <w:r>
              <w:t xml:space="preserve">EUR 50.000 - EUR 150.000</w:t>
            </w:r>
          </w:p>
        </w:tc>
        <w:tc>
          <w:p>
            <w:r>
              <w:t xml:space="preserve">12-18 maanden</w:t>
            </w:r>
          </w:p>
        </w:tc>
      </w:tr>
      <w:tr>
        <w:tc>
          <w:p>
            <w:r>
              <w:t xml:space="preserve">100-1.000 ton/jaar</w:t>
            </w:r>
          </w:p>
        </w:tc>
        <w:tc>
          <w:p>
            <w:r>
              <w:t xml:space="preserve">JA</w:t>
            </w:r>
          </w:p>
        </w:tc>
        <w:tc>
          <w:p>
            <w:r>
              <w:t xml:space="preserve">Annex VII + VIII + IX</w:t>
            </w:r>
          </w:p>
        </w:tc>
        <w:tc>
          <w:p>
            <w:r>
              <w:t xml:space="preserve">EUR 150.000 - EUR 500.000</w:t>
            </w:r>
          </w:p>
        </w:tc>
        <w:tc>
          <w:p>
            <w:r>
              <w:t xml:space="preserve">18-36 maanden</w:t>
            </w:r>
          </w:p>
        </w:tc>
      </w:tr>
      <w:tr>
        <w:tc>
          <w:p>
            <w:r>
              <w:t xml:space="preserve">&gt; 1.000 ton/jaar</w:t>
            </w:r>
          </w:p>
        </w:tc>
        <w:tc>
          <w:p>
            <w:r>
              <w:t xml:space="preserve">JA</w:t>
            </w:r>
          </w:p>
        </w:tc>
        <w:tc>
          <w:p>
            <w:r>
              <w:t xml:space="preserve">Annex VII + VIII + IX + X</w:t>
            </w:r>
          </w:p>
        </w:tc>
        <w:tc>
          <w:p>
            <w:r>
              <w:t xml:space="preserve">EUR 500.000 - EUR 2.000.000+</w:t>
            </w:r>
          </w:p>
        </w:tc>
        <w:tc>
          <w:p>
            <w:r>
              <w:t xml:space="preserve">24-48 maanden</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Code</w:t>
            </w:r>
          </w:p>
        </w:tc>
        <w:tc>
          <w:tcPr>
            <w:tcW w:type="dxa" w:w="2256"/>
            <w:shd w:fill="003366"/>
          </w:tcPr>
          <w:p>
            <w:r>
              <w:rPr>
                <w:b/>
                <w:color w:val="FFFFFF"/>
                <w:sz w:val="20"/>
              </w:rPr>
            </w:r>
            <w:r>
              <w:rPr>
                <w:b/>
                <w:color w:val="FFFFFF"/>
                <w:sz w:val="20"/>
              </w:rPr>
              <w:t>Symbool</w:t>
            </w:r>
          </w:p>
        </w:tc>
        <w:tc>
          <w:tcPr>
            <w:tcW w:type="dxa" w:w="2256"/>
            <w:shd w:fill="003366"/>
          </w:tcPr>
          <w:p>
            <w:r>
              <w:rPr>
                <w:b/>
                <w:color w:val="FFFFFF"/>
                <w:sz w:val="20"/>
              </w:rPr>
            </w:r>
            <w:r>
              <w:rPr>
                <w:b/>
                <w:color w:val="FFFFFF"/>
                <w:sz w:val="20"/>
              </w:rPr>
              <w:t>Pictogram</w:t>
            </w:r>
          </w:p>
        </w:tc>
        <w:tc>
          <w:tcPr>
            <w:tcW w:type="dxa" w:w="2256"/>
            <w:shd w:fill="003366"/>
          </w:tcPr>
          <w:p>
            <w:r>
              <w:rPr>
                <w:b/>
                <w:color w:val="FFFFFF"/>
                <w:sz w:val="20"/>
              </w:rPr>
            </w:r>
            <w:r>
              <w:rPr>
                <w:b/>
                <w:color w:val="FFFFFF"/>
                <w:sz w:val="20"/>
              </w:rPr>
              <w:t>Toepassing</w:t>
            </w:r>
          </w:p>
        </w:tc>
      </w:tr>
      <w:tr>
        <w:tc>
          <w:tcPr>
            <w:tcW w:type="dxa" w:w="2256"/>
          </w:tcPr>
          <w:p>
            <w:r/>
            <w:r>
              <w:rPr>
                <w:sz w:val="20"/>
              </w:rPr>
              <w:t>GHS01</w:t>
            </w:r>
          </w:p>
        </w:tc>
        <w:tc>
          <w:tcPr>
            <w:tcW w:type="dxa" w:w="2256"/>
          </w:tcPr>
          <w:p>
            <w:r>
              <w:drawing>
                <wp:inline xmlns:a="http://schemas.openxmlformats.org/drawingml/2006/main" xmlns:pic="http://schemas.openxmlformats.org/drawingml/2006/picture">
                  <wp:extent cx="540000" cy="540000"/>
                  <wp:docPr id="2" name="Picture 2"/>
                  <wp:cNvGraphicFramePr>
                    <a:graphicFrameLocks noChangeAspect="1"/>
                  </wp:cNvGraphicFramePr>
                  <a:graphic>
                    <a:graphicData uri="http://schemas.openxmlformats.org/drawingml/2006/picture">
                      <pic:pic>
                        <pic:nvPicPr>
                          <pic:cNvPr id="0" name="ghs01.png"/>
                          <pic:cNvPicPr/>
                        </pic:nvPicPr>
                        <pic:blipFill>
                          <a:blip r:embed="rId12"/>
                          <a:stretch>
                            <a:fillRect/>
                          </a:stretch>
                        </pic:blipFill>
                        <pic:spPr>
                          <a:xfrm>
                            <a:off x="0" y="0"/>
                            <a:ext cx="540000" cy="540000"/>
                          </a:xfrm>
                          <a:prstGeom prst="rect"/>
                        </pic:spPr>
                      </pic:pic>
                    </a:graphicData>
                  </a:graphic>
                </wp:inline>
              </w:drawing>
            </w:r>
          </w:p>
        </w:tc>
        <w:tc>
          <w:tcPr>
            <w:tcW w:type="dxa" w:w="2256"/>
          </w:tcPr>
          <w:p>
            <w:r>
              <w:t>Ontplofbaar</w:t>
            </w:r>
            <w:r>
              <w:rPr>
                <w:sz w:val="20"/>
              </w:rPr>
              <w:t>Ontplofbaar</w:t>
            </w:r>
          </w:p>
        </w:tc>
        <w:tc>
          <w:tcPr>
            <w:tcW w:type="dxa" w:w="2256"/>
          </w:tcPr>
          <w:p>
            <w:r/>
            <w:r>
              <w:rPr>
                <w:sz w:val="20"/>
              </w:rPr>
              <w:t>Explosieven, zelfreactieve stoffen, organische peroxiden</w:t>
            </w:r>
          </w:p>
        </w:tc>
      </w:tr>
      <w:tr>
        <w:tc>
          <w:tcPr>
            <w:tcW w:type="dxa" w:w="2256"/>
            <w:shd w:fill="F8F9FA"/>
          </w:tcPr>
          <w:p>
            <w:r/>
            <w:r>
              <w:rPr>
                <w:sz w:val="20"/>
              </w:rPr>
              <w:t>GHS02</w:t>
            </w:r>
          </w:p>
        </w:tc>
        <w:tc>
          <w:tcPr>
            <w:tcW w:type="dxa" w:w="2256"/>
            <w:shd w:fill="F8F9FA"/>
          </w:tcPr>
          <w:p>
            <w:r>
              <w:drawing>
                <wp:inline xmlns:a="http://schemas.openxmlformats.org/drawingml/2006/main" xmlns:pic="http://schemas.openxmlformats.org/drawingml/2006/picture">
                  <wp:extent cx="540000" cy="540000"/>
                  <wp:docPr id="3" name="Picture 3"/>
                  <wp:cNvGraphicFramePr>
                    <a:graphicFrameLocks noChangeAspect="1"/>
                  </wp:cNvGraphicFramePr>
                  <a:graphic>
                    <a:graphicData uri="http://schemas.openxmlformats.org/drawingml/2006/picture">
                      <pic:pic>
                        <pic:nvPicPr>
                          <pic:cNvPr id="0" name="ghs02.png"/>
                          <pic:cNvPicPr/>
                        </pic:nvPicPr>
                        <pic:blipFill>
                          <a:blip r:embed="rId13"/>
                          <a:stretch>
                            <a:fillRect/>
                          </a:stretch>
                        </pic:blipFill>
                        <pic:spPr>
                          <a:xfrm>
                            <a:off x="0" y="0"/>
                            <a:ext cx="540000" cy="540000"/>
                          </a:xfrm>
                          <a:prstGeom prst="rect"/>
                        </pic:spPr>
                      </pic:pic>
                    </a:graphicData>
                  </a:graphic>
                </wp:inline>
              </w:drawing>
            </w:r>
          </w:p>
        </w:tc>
        <w:tc>
          <w:tcPr>
            <w:tcW w:type="dxa" w:w="2256"/>
            <w:shd w:fill="F8F9FA"/>
          </w:tcPr>
          <w:p>
            <w:r>
              <w:t>Ontvlambaar</w:t>
            </w:r>
            <w:r>
              <w:rPr>
                <w:sz w:val="20"/>
              </w:rPr>
              <w:t>Ontvlambaar</w:t>
            </w:r>
          </w:p>
        </w:tc>
        <w:tc>
          <w:tcPr>
            <w:tcW w:type="dxa" w:w="2256"/>
            <w:shd w:fill="F8F9FA"/>
          </w:tcPr>
          <w:p>
            <w:r/>
            <w:r>
              <w:rPr>
                <w:sz w:val="20"/>
              </w:rPr>
              <w:t>Ontvlambare gassen, vloeistoffen, vaste stoffen, aerosols, zelfverwarmende stoffen, pyrofore stoffen</w:t>
            </w:r>
          </w:p>
        </w:tc>
      </w:tr>
      <w:tr>
        <w:tc>
          <w:tcPr>
            <w:tcW w:type="dxa" w:w="2256"/>
          </w:tcPr>
          <w:p>
            <w:r/>
            <w:r>
              <w:rPr>
                <w:sz w:val="20"/>
              </w:rPr>
              <w:t>GHS03</w:t>
            </w:r>
          </w:p>
        </w:tc>
        <w:tc>
          <w:tcPr>
            <w:tcW w:type="dxa" w:w="2256"/>
          </w:tcPr>
          <w:p>
            <w:r>
              <w:drawing>
                <wp:inline xmlns:a="http://schemas.openxmlformats.org/drawingml/2006/main" xmlns:pic="http://schemas.openxmlformats.org/drawingml/2006/picture">
                  <wp:extent cx="540000" cy="540000"/>
                  <wp:docPr id="4" name="Picture 4"/>
                  <wp:cNvGraphicFramePr>
                    <a:graphicFrameLocks noChangeAspect="1"/>
                  </wp:cNvGraphicFramePr>
                  <a:graphic>
                    <a:graphicData uri="http://schemas.openxmlformats.org/drawingml/2006/picture">
                      <pic:pic>
                        <pic:nvPicPr>
                          <pic:cNvPr id="0" name="ghs03.png"/>
                          <pic:cNvPicPr/>
                        </pic:nvPicPr>
                        <pic:blipFill>
                          <a:blip r:embed="rId14"/>
                          <a:stretch>
                            <a:fillRect/>
                          </a:stretch>
                        </pic:blipFill>
                        <pic:spPr>
                          <a:xfrm>
                            <a:off x="0" y="0"/>
                            <a:ext cx="540000" cy="540000"/>
                          </a:xfrm>
                          <a:prstGeom prst="rect"/>
                        </pic:spPr>
                      </pic:pic>
                    </a:graphicData>
                  </a:graphic>
                </wp:inline>
              </w:drawing>
            </w:r>
          </w:p>
        </w:tc>
        <w:tc>
          <w:tcPr>
            <w:tcW w:type="dxa" w:w="2256"/>
          </w:tcPr>
          <w:p>
            <w:r>
              <w:t>Oxiderend</w:t>
            </w:r>
            <w:r>
              <w:rPr>
                <w:sz w:val="20"/>
              </w:rPr>
              <w:t>Oxiderend</w:t>
            </w:r>
          </w:p>
        </w:tc>
        <w:tc>
          <w:tcPr>
            <w:tcW w:type="dxa" w:w="2256"/>
          </w:tcPr>
          <w:p>
            <w:r/>
            <w:r>
              <w:rPr>
                <w:sz w:val="20"/>
              </w:rPr>
              <w:t>Oxiderende gassen, vloeistoffen en vaste stoffen</w:t>
            </w:r>
          </w:p>
        </w:tc>
      </w:tr>
      <w:tr>
        <w:tc>
          <w:tcPr>
            <w:tcW w:type="dxa" w:w="2256"/>
            <w:shd w:fill="F8F9FA"/>
          </w:tcPr>
          <w:p>
            <w:r/>
            <w:r>
              <w:rPr>
                <w:sz w:val="20"/>
              </w:rPr>
              <w:t>GHS04</w:t>
            </w:r>
          </w:p>
        </w:tc>
        <w:tc>
          <w:tcPr>
            <w:tcW w:type="dxa" w:w="2256"/>
            <w:shd w:fill="F8F9FA"/>
          </w:tcPr>
          <w:p>
            <w:r>
              <w:drawing>
                <wp:inline xmlns:a="http://schemas.openxmlformats.org/drawingml/2006/main" xmlns:pic="http://schemas.openxmlformats.org/drawingml/2006/picture">
                  <wp:extent cx="540000" cy="540000"/>
                  <wp:docPr id="5" name="Picture 5"/>
                  <wp:cNvGraphicFramePr>
                    <a:graphicFrameLocks noChangeAspect="1"/>
                  </wp:cNvGraphicFramePr>
                  <a:graphic>
                    <a:graphicData uri="http://schemas.openxmlformats.org/drawingml/2006/picture">
                      <pic:pic>
                        <pic:nvPicPr>
                          <pic:cNvPr id="0" name="ghs04.png"/>
                          <pic:cNvPicPr/>
                        </pic:nvPicPr>
                        <pic:blipFill>
                          <a:blip r:embed="rId15"/>
                          <a:stretch>
                            <a:fillRect/>
                          </a:stretch>
                        </pic:blipFill>
                        <pic:spPr>
                          <a:xfrm>
                            <a:off x="0" y="0"/>
                            <a:ext cx="540000" cy="540000"/>
                          </a:xfrm>
                          <a:prstGeom prst="rect"/>
                        </pic:spPr>
                      </pic:pic>
                    </a:graphicData>
                  </a:graphic>
                </wp:inline>
              </w:drawing>
            </w:r>
          </w:p>
        </w:tc>
        <w:tc>
          <w:tcPr>
            <w:tcW w:type="dxa" w:w="2256"/>
            <w:shd w:fill="F8F9FA"/>
          </w:tcPr>
          <w:p>
            <w:r>
              <w:t>Gassen onder druk</w:t>
            </w:r>
            <w:r>
              <w:rPr>
                <w:sz w:val="20"/>
              </w:rPr>
              <w:t>Gassen onder druk</w:t>
            </w:r>
          </w:p>
        </w:tc>
        <w:tc>
          <w:tcPr>
            <w:tcW w:type="dxa" w:w="2256"/>
            <w:shd w:fill="F8F9FA"/>
          </w:tcPr>
          <w:p>
            <w:r/>
            <w:r>
              <w:rPr>
                <w:sz w:val="20"/>
              </w:rPr>
              <w:t>Gassen onder druk, vloeibaar gemaakte gassen, opgeloste gassen</w:t>
            </w:r>
          </w:p>
        </w:tc>
      </w:tr>
      <w:tr>
        <w:tc>
          <w:tcPr>
            <w:tcW w:type="dxa" w:w="2256"/>
          </w:tcPr>
          <w:p>
            <w:r/>
            <w:r>
              <w:rPr>
                <w:sz w:val="20"/>
              </w:rPr>
              <w:t>GHS05</w:t>
            </w:r>
          </w:p>
        </w:tc>
        <w:tc>
          <w:tcPr>
            <w:tcW w:type="dxa" w:w="2256"/>
          </w:tcPr>
          <w:p>
            <w:r>
              <w:drawing>
                <wp:inline xmlns:a="http://schemas.openxmlformats.org/drawingml/2006/main" xmlns:pic="http://schemas.openxmlformats.org/drawingml/2006/picture">
                  <wp:extent cx="540000" cy="540000"/>
                  <wp:docPr id="6" name="Picture 6"/>
                  <wp:cNvGraphicFramePr>
                    <a:graphicFrameLocks noChangeAspect="1"/>
                  </wp:cNvGraphicFramePr>
                  <a:graphic>
                    <a:graphicData uri="http://schemas.openxmlformats.org/drawingml/2006/picture">
                      <pic:pic>
                        <pic:nvPicPr>
                          <pic:cNvPr id="0" name="ghs05.png"/>
                          <pic:cNvPicPr/>
                        </pic:nvPicPr>
                        <pic:blipFill>
                          <a:blip r:embed="rId16"/>
                          <a:stretch>
                            <a:fillRect/>
                          </a:stretch>
                        </pic:blipFill>
                        <pic:spPr>
                          <a:xfrm>
                            <a:off x="0" y="0"/>
                            <a:ext cx="540000" cy="540000"/>
                          </a:xfrm>
                          <a:prstGeom prst="rect"/>
                        </pic:spPr>
                      </pic:pic>
                    </a:graphicData>
                  </a:graphic>
                </wp:inline>
              </w:drawing>
            </w:r>
          </w:p>
        </w:tc>
        <w:tc>
          <w:tcPr>
            <w:tcW w:type="dxa" w:w="2256"/>
          </w:tcPr>
          <w:p>
            <w:r>
              <w:t>Bijtend</w:t>
            </w:r>
            <w:r>
              <w:rPr>
                <w:sz w:val="20"/>
              </w:rPr>
              <w:t>Bijtend</w:t>
            </w:r>
          </w:p>
        </w:tc>
        <w:tc>
          <w:tcPr>
            <w:tcW w:type="dxa" w:w="2256"/>
          </w:tcPr>
          <w:p>
            <w:r/>
            <w:r>
              <w:rPr>
                <w:sz w:val="20"/>
              </w:rPr>
              <w:t>Huidcorrosie, metaalcorrosie, ernstig oogletsel</w:t>
            </w:r>
          </w:p>
        </w:tc>
      </w:tr>
      <w:tr>
        <w:tc>
          <w:tcPr>
            <w:tcW w:type="dxa" w:w="2256"/>
            <w:shd w:fill="F8F9FA"/>
          </w:tcPr>
          <w:p>
            <w:r/>
            <w:r>
              <w:rPr>
                <w:sz w:val="20"/>
              </w:rPr>
              <w:t>GHS06</w:t>
            </w:r>
          </w:p>
        </w:tc>
        <w:tc>
          <w:tcPr>
            <w:tcW w:type="dxa" w:w="2256"/>
            <w:shd w:fill="F8F9FA"/>
          </w:tcPr>
          <w:p>
            <w:r>
              <w:drawing>
                <wp:inline xmlns:a="http://schemas.openxmlformats.org/drawingml/2006/main" xmlns:pic="http://schemas.openxmlformats.org/drawingml/2006/picture">
                  <wp:extent cx="540000" cy="540000"/>
                  <wp:docPr id="7" name="Picture 7"/>
                  <wp:cNvGraphicFramePr>
                    <a:graphicFrameLocks noChangeAspect="1"/>
                  </wp:cNvGraphicFramePr>
                  <a:graphic>
                    <a:graphicData uri="http://schemas.openxmlformats.org/drawingml/2006/picture">
                      <pic:pic>
                        <pic:nvPicPr>
                          <pic:cNvPr id="0" name="ghs06.png"/>
                          <pic:cNvPicPr/>
                        </pic:nvPicPr>
                        <pic:blipFill>
                          <a:blip r:embed="rId17"/>
                          <a:stretch>
                            <a:fillRect/>
                          </a:stretch>
                        </pic:blipFill>
                        <pic:spPr>
                          <a:xfrm>
                            <a:off x="0" y="0"/>
                            <a:ext cx="540000" cy="540000"/>
                          </a:xfrm>
                          <a:prstGeom prst="rect"/>
                        </pic:spPr>
                      </pic:pic>
                    </a:graphicData>
                  </a:graphic>
                </wp:inline>
              </w:drawing>
            </w:r>
          </w:p>
        </w:tc>
        <w:tc>
          <w:tcPr>
            <w:tcW w:type="dxa" w:w="2256"/>
            <w:shd w:fill="F8F9FA"/>
          </w:tcPr>
          <w:p>
            <w:r>
              <w:t>Giftig</w:t>
            </w:r>
            <w:r>
              <w:rPr>
                <w:sz w:val="20"/>
              </w:rPr>
              <w:t>Giftig</w:t>
            </w:r>
          </w:p>
        </w:tc>
        <w:tc>
          <w:tcPr>
            <w:tcW w:type="dxa" w:w="2256"/>
            <w:shd w:fill="F8F9FA"/>
          </w:tcPr>
          <w:p>
            <w:r/>
            <w:r>
              <w:rPr>
                <w:sz w:val="20"/>
              </w:rPr>
              <w:t>Acute toxiciteit (categorieën 1-3)</w:t>
            </w:r>
          </w:p>
        </w:tc>
      </w:tr>
      <w:tr>
        <w:tc>
          <w:tcPr>
            <w:tcW w:type="dxa" w:w="2256"/>
          </w:tcPr>
          <w:p>
            <w:r/>
            <w:r>
              <w:rPr>
                <w:sz w:val="20"/>
              </w:rPr>
              <w:t>GHS07</w:t>
            </w:r>
          </w:p>
        </w:tc>
        <w:tc>
          <w:tcPr>
            <w:tcW w:type="dxa" w:w="2256"/>
          </w:tcPr>
          <w:p>
            <w:r>
              <w:drawing>
                <wp:inline xmlns:a="http://schemas.openxmlformats.org/drawingml/2006/main" xmlns:pic="http://schemas.openxmlformats.org/drawingml/2006/picture">
                  <wp:extent cx="540000" cy="540000"/>
                  <wp:docPr id="8" name="Picture 8"/>
                  <wp:cNvGraphicFramePr>
                    <a:graphicFrameLocks noChangeAspect="1"/>
                  </wp:cNvGraphicFramePr>
                  <a:graphic>
                    <a:graphicData uri="http://schemas.openxmlformats.org/drawingml/2006/picture">
                      <pic:pic>
                        <pic:nvPicPr>
                          <pic:cNvPr id="0" name="ghs07.png"/>
                          <pic:cNvPicPr/>
                        </pic:nvPicPr>
                        <pic:blipFill>
                          <a:blip r:embed="rId18"/>
                          <a:stretch>
                            <a:fillRect/>
                          </a:stretch>
                        </pic:blipFill>
                        <pic:spPr>
                          <a:xfrm>
                            <a:off x="0" y="0"/>
                            <a:ext cx="540000" cy="540000"/>
                          </a:xfrm>
                          <a:prstGeom prst="rect"/>
                        </pic:spPr>
                      </pic:pic>
                    </a:graphicData>
                  </a:graphic>
                </wp:inline>
              </w:drawing>
            </w:r>
          </w:p>
        </w:tc>
        <w:tc>
          <w:tcPr>
            <w:tcW w:type="dxa" w:w="2256"/>
          </w:tcPr>
          <w:p>
            <w:r>
              <w:t>Acute gezondheidseffecten</w:t>
            </w:r>
            <w:r>
              <w:rPr>
                <w:sz w:val="20"/>
              </w:rPr>
              <w:t>Acute gezondheidseffecten</w:t>
            </w:r>
          </w:p>
        </w:tc>
        <w:tc>
          <w:tcPr>
            <w:tcW w:type="dxa" w:w="2256"/>
          </w:tcPr>
          <w:p>
            <w:r/>
            <w:r>
              <w:rPr>
                <w:sz w:val="20"/>
              </w:rPr>
              <w:t>Irriterend, sensibiliserend, acute toxiciteit cat. 4, STOT, aspiratiegevaar</w:t>
            </w:r>
          </w:p>
        </w:tc>
      </w:tr>
      <w:tr>
        <w:tc>
          <w:tcPr>
            <w:tcW w:type="dxa" w:w="2256"/>
            <w:shd w:fill="F8F9FA"/>
          </w:tcPr>
          <w:p>
            <w:r/>
            <w:r>
              <w:rPr>
                <w:sz w:val="20"/>
              </w:rPr>
              <w:t>GHS08</w:t>
            </w:r>
          </w:p>
        </w:tc>
        <w:tc>
          <w:tcPr>
            <w:tcW w:type="dxa" w:w="2256"/>
            <w:shd w:fill="F8F9FA"/>
          </w:tcPr>
          <w:p>
            <w:r>
              <w:drawing>
                <wp:inline xmlns:a="http://schemas.openxmlformats.org/drawingml/2006/main" xmlns:pic="http://schemas.openxmlformats.org/drawingml/2006/picture">
                  <wp:extent cx="540000" cy="540000"/>
                  <wp:docPr id="9" name="Picture 9"/>
                  <wp:cNvGraphicFramePr>
                    <a:graphicFrameLocks noChangeAspect="1"/>
                  </wp:cNvGraphicFramePr>
                  <a:graphic>
                    <a:graphicData uri="http://schemas.openxmlformats.org/drawingml/2006/picture">
                      <pic:pic>
                        <pic:nvPicPr>
                          <pic:cNvPr id="0" name="ghs08.png"/>
                          <pic:cNvPicPr/>
                        </pic:nvPicPr>
                        <pic:blipFill>
                          <a:blip r:embed="rId19"/>
                          <a:stretch>
                            <a:fillRect/>
                          </a:stretch>
                        </pic:blipFill>
                        <pic:spPr>
                          <a:xfrm>
                            <a:off x="0" y="0"/>
                            <a:ext cx="540000" cy="540000"/>
                          </a:xfrm>
                          <a:prstGeom prst="rect"/>
                        </pic:spPr>
                      </pic:pic>
                    </a:graphicData>
                  </a:graphic>
                </wp:inline>
              </w:drawing>
            </w:r>
          </w:p>
        </w:tc>
        <w:tc>
          <w:tcPr>
            <w:tcW w:type="dxa" w:w="2256"/>
            <w:shd w:fill="F8F9FA"/>
          </w:tcPr>
          <w:p>
            <w:r>
              <w:t>Milieugevaarlijk</w:t>
            </w:r>
            <w:r>
              <w:rPr>
                <w:sz w:val="20"/>
              </w:rPr>
              <w:t>Milieugevaarlijk</w:t>
            </w:r>
          </w:p>
        </w:tc>
        <w:tc>
          <w:tcPr>
            <w:tcW w:type="dxa" w:w="2256"/>
            <w:shd w:fill="F8F9FA"/>
          </w:tcPr>
          <w:p>
            <w:r/>
            <w:r>
              <w:rPr>
                <w:sz w:val="20"/>
              </w:rPr>
              <w:t>Gevaarlijk voor het aquatische milieu (acuut/chronisch), ozonlaag</w:t>
            </w:r>
          </w:p>
        </w:tc>
      </w:tr>
      <w:tr>
        <w:tc>
          <w:tcPr>
            <w:tcW w:type="dxa" w:w="2256"/>
          </w:tcPr>
          <w:p>
            <w:r/>
            <w:r>
              <w:rPr>
                <w:sz w:val="20"/>
              </w:rPr>
              <w:t>GHS09</w:t>
            </w:r>
          </w:p>
        </w:tc>
        <w:tc>
          <w:tcPr>
            <w:tcW w:type="dxa" w:w="2256"/>
          </w:tcPr>
          <w:p>
            <w:r>
              <w:drawing>
                <wp:inline xmlns:a="http://schemas.openxmlformats.org/drawingml/2006/main" xmlns:pic="http://schemas.openxmlformats.org/drawingml/2006/picture">
                  <wp:extent cx="540000" cy="540000"/>
                  <wp:docPr id="10" name="Picture 10"/>
                  <wp:cNvGraphicFramePr>
                    <a:graphicFrameLocks noChangeAspect="1"/>
                  </wp:cNvGraphicFramePr>
                  <a:graphic>
                    <a:graphicData uri="http://schemas.openxmlformats.org/drawingml/2006/picture">
                      <pic:pic>
                        <pic:nvPicPr>
                          <pic:cNvPr id="0" name="ghs09.png"/>
                          <pic:cNvPicPr/>
                        </pic:nvPicPr>
                        <pic:blipFill>
                          <a:blip r:embed="rId20"/>
                          <a:stretch>
                            <a:fillRect/>
                          </a:stretch>
                        </pic:blipFill>
                        <pic:spPr>
                          <a:xfrm>
                            <a:off x="0" y="0"/>
                            <a:ext cx="540000" cy="540000"/>
                          </a:xfrm>
                          <a:prstGeom prst="rect"/>
                        </pic:spPr>
                      </pic:pic>
                    </a:graphicData>
                  </a:graphic>
                </wp:inline>
              </w:drawing>
            </w:r>
          </w:p>
        </w:tc>
        <w:tc>
          <w:tcPr>
            <w:tcW w:type="dxa" w:w="2256"/>
          </w:tcPr>
          <w:p>
            <w:r>
              <w:t>Ernstig gezondheidsgevaar</w:t>
            </w:r>
            <w:r>
              <w:rPr>
                <w:sz w:val="20"/>
              </w:rPr>
              <w:t>Ernstig gezondheidsgevaar</w:t>
            </w:r>
          </w:p>
        </w:tc>
        <w:tc>
          <w:tcPr>
            <w:tcW w:type="dxa" w:w="2256"/>
          </w:tcPr>
          <w:p>
            <w:r/>
            <w:r>
              <w:rPr>
                <w:sz w:val="20"/>
              </w:rPr>
              <w:t>Carcinogeniciteit, mutageniciteit, reproductietoxiciteit, STOT RE, respiratoire sensibilisatie</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p>
      <w:pPr>
        <w:pStyle w:val="Heading2"/>
      </w:pPr>
      <w:r>
        <w:t>Changelog</w:t>
      </w:r>
    </w:p>
    <w:p>
      <w:pPr>
        <w:pStyle w:val="ListBullet"/>
      </w:pPr>
      <w:r>
        <w:t>v1.3 (24 april 2026) — CLP pictogrammen vervangen door officiële ECHA-pictogrammen (GHS01-GHS09). Emoji's verwijderd. NL namen gecorrigeerd volgens ECHA-terminologie: Ontplofbaar, Ontvlambaar, Oxiderend, Gassen onder druk, Bijtend, Giftig, Acute gezondheidseffecten, Milieugevaarlijk, Ernstig gezondheidsgevaar.</w:t>
      </w:r>
    </w:p>
    <w:p>
      <w:pPr>
        <w:pStyle w:val="Heading2"/>
      </w:pPr>
      <w:r>
        <w:t>18.4 Referenties en nuttige links</w:t>
      </w:r>
    </w:p>
    <w:p>
      <w:pPr>
        <w:pStyle w:val="ListBullet"/>
      </w:pPr>
      <w:r>
        <w:t>v1.2 — Initieel kennisdossier met CLP-overzicht (emoji-gebaseerde pictogrammen).</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v1.2</dc:title>
  <dc:subject>Feitelijke correctie tonnageband-tabel</dc:subject>
  <dc:creator>HQ_04 Technical Writer via Kas</dc:creator>
  <cp:keywords>REACH; kennisdossier; Phoenix Metals; v1.2</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