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t>v1.2</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(bij &gt;= 100 ton/jaar): EUR 150.000 - EUR 500.000+; bij &gt;= 1.000 ton/jaar: EUR 500.000 - EUR 2.000.000+.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Stoffen &lt; 1 ton/jaar vallen buiten de REACH-registratieplicht, maar zijn wel onderworpen aan SDS-plicht bij gevaarlijke stoffen en de CLP-verordening. REACH kent vijf tonnagebands met oplopende informatie-eisen:</w:t>
      </w:r>
    </w:p>
    <w:tbl>
      <w:tblPr>
        <w:tblStyle w:val="LightGrid-Accent1"/>
        <w:tblW w:type="auto" w:w="0"/>
        <w:jc w:val="center"/>
        <w:tblLook w:firstColumn="1" w:firstRow="1" w:lastColumn="0" w:lastRow="0" w:noHBand="0" w:noVBand="1" w:val="04A0"/>
      </w:tblPr>
      <w:tblGrid>
        <w:gridCol w:w="2000"/>
        <w:gridCol w:w="2000"/>
        <w:gridCol w:w="2000"/>
        <w:gridCol w:w="2000"/>
        <w:gridCol w:w="2000"/>
      </w:tblGrid>
      <w:tr>
        <w:tc>
          <w:p>
            <w:r>
              <w:rPr>
                <w:b/>
                <w:sz w:val="20"/>
                <w:szCs w:val="20"/>
              </w:rPr>
              <w:t xml:space="preserve">Tonnageband</w:t>
            </w:r>
          </w:p>
        </w:tc>
        <w:tc>
          <w:p>
            <w:r>
              <w:rPr>
                <w:b/>
                <w:sz w:val="20"/>
                <w:szCs w:val="20"/>
              </w:rPr>
              <w:t xml:space="preserve">Registratie</w:t>
            </w:r>
          </w:p>
        </w:tc>
        <w:tc>
          <w:p>
            <w:r>
              <w:rPr>
                <w:b/>
                <w:sz w:val="20"/>
                <w:szCs w:val="20"/>
              </w:rPr>
              <w:t xml:space="preserve">Annex / Tests</w:t>
            </w:r>
          </w:p>
        </w:tc>
        <w:tc>
          <w:p>
            <w:r>
              <w:rPr>
                <w:b/>
                <w:sz w:val="20"/>
                <w:szCs w:val="20"/>
              </w:rPr>
              <w:t xml:space="preserve">Kosten</w:t>
            </w:r>
          </w:p>
        </w:tc>
        <w:tc>
          <w:p>
            <w:r>
              <w:rPr>
                <w:b/>
                <w:sz w:val="20"/>
                <w:szCs w:val="20"/>
              </w:rPr>
              <w:t xml:space="preserve">Doorlooptijd</w:t>
            </w:r>
          </w:p>
        </w:tc>
      </w:tr>
      <w:tr>
        <w:tc>
          <w:p>
            <w:r>
              <w:t xml:space="preserve">&lt; 1 ton/jaar (&lt; 1.000 kg)</w:t>
            </w:r>
          </w:p>
        </w:tc>
        <w:tc>
          <w:p>
            <w:r>
              <w:t xml:space="preserve">NEE</w:t>
            </w:r>
          </w:p>
        </w:tc>
        <w:tc>
          <w:p>
            <w:r>
              <w:t xml:space="preserve">Geen registratie verplicht</w:t>
            </w:r>
          </w:p>
        </w:tc>
        <w:tc>
          <w:p>
            <w:r>
              <w:t xml:space="preserve">Geen kosten</w:t>
            </w:r>
          </w:p>
        </w:tc>
        <w:tc>
          <w:p>
            <w:r>
              <w:t xml:space="preserve">Niet van toepassing</w:t>
            </w:r>
          </w:p>
        </w:tc>
      </w:tr>
      <w:tr>
        <w:tc>
          <w:p>
            <w:r>
              <w:t xml:space="preserve">1-10 ton/jaar (1.000-10.000 kg)</w:t>
            </w:r>
          </w:p>
        </w:tc>
        <w:tc>
          <w:p>
            <w:r>
              <w:t xml:space="preserve">JA</w:t>
            </w:r>
          </w:p>
        </w:tc>
        <w:tc>
          <w:p>
            <w:r>
              <w:t xml:space="preserve">Annex VII (basisgegevens)</w:t>
            </w:r>
          </w:p>
        </w:tc>
        <w:tc>
          <w:p>
            <w:r>
              <w:t xml:space="preserve">EUR 15.000 - EUR 50.000</w:t>
            </w:r>
          </w:p>
        </w:tc>
        <w:tc>
          <w:p>
            <w:r>
              <w:t xml:space="preserve">6-12 maanden</w:t>
            </w:r>
          </w:p>
        </w:tc>
      </w:tr>
      <w:tr>
        <w:tc>
          <w:p>
            <w:r>
              <w:t xml:space="preserve">10-100 ton/jaar (10.000-100.000 kg)</w:t>
            </w:r>
          </w:p>
        </w:tc>
        <w:tc>
          <w:p>
            <w:r>
              <w:t xml:space="preserve">JA</w:t>
            </w:r>
          </w:p>
        </w:tc>
        <w:tc>
          <w:p>
            <w:r>
              <w:t xml:space="preserve">Annex VII + VIII</w:t>
            </w:r>
          </w:p>
        </w:tc>
        <w:tc>
          <w:p>
            <w:r>
              <w:t xml:space="preserve">EUR 50.000 - EUR 150.000</w:t>
            </w:r>
          </w:p>
        </w:tc>
        <w:tc>
          <w:p>
            <w:r>
              <w:t xml:space="preserve">12-18 maanden</w:t>
            </w:r>
          </w:p>
        </w:tc>
      </w:tr>
      <w:tr>
        <w:tc>
          <w:p>
            <w:r>
              <w:t xml:space="preserve">100-1.000 ton/jaar</w:t>
            </w:r>
          </w:p>
        </w:tc>
        <w:tc>
          <w:p>
            <w:r>
              <w:t xml:space="preserve">JA</w:t>
            </w:r>
          </w:p>
        </w:tc>
        <w:tc>
          <w:p>
            <w:r>
              <w:t xml:space="preserve">Annex VII + VIII + IX</w:t>
            </w:r>
          </w:p>
        </w:tc>
        <w:tc>
          <w:p>
            <w:r>
              <w:t xml:space="preserve">EUR 150.000 - EUR 500.000</w:t>
            </w:r>
          </w:p>
        </w:tc>
        <w:tc>
          <w:p>
            <w:r>
              <w:t xml:space="preserve">18-36 maanden</w:t>
            </w:r>
          </w:p>
        </w:tc>
      </w:tr>
      <w:tr>
        <w:tc>
          <w:p>
            <w:r>
              <w:t xml:space="preserve">&gt; 1.000 ton/jaar</w:t>
            </w:r>
          </w:p>
        </w:tc>
        <w:tc>
          <w:p>
            <w:r>
              <w:t xml:space="preserve">JA</w:t>
            </w:r>
          </w:p>
        </w:tc>
        <w:tc>
          <w:p>
            <w:r>
              <w:t xml:space="preserve">Annex VII + VIII + IX + X</w:t>
            </w:r>
          </w:p>
        </w:tc>
        <w:tc>
          <w:p>
            <w:r>
              <w:t xml:space="preserve">EUR 500.000 - EUR 2.000.000+</w:t>
            </w:r>
          </w:p>
        </w:tc>
        <w:tc>
          <w:p>
            <w:r>
              <w:t xml:space="preserve">24-48 maanden</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r>
        <w:rPr>
          <w:color w:val="1F2937"/>
          <w:sz w:val="22"/>
        </w:rP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(stoffen) en 1999/45/EC (preparaten).</w:t>
      </w:r>
    </w:p>
    <w:p>
      <w:pPr>
        <w:pStyle w:val="Heading2"/>
      </w:pPr>
      <w:r>
        <w:t>5.3 Gevaarsklassen en -categorieën</w:t>
      </w:r>
    </w:p>
    <w:p>
      <w:pPr/>
      <w:r>
        <w:t>CLP onderscheidt de volgende gevaarsklassen:</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Categorie</w:t>
            </w:r>
          </w:p>
        </w:tc>
        <w:tc>
          <w:tcPr>
            <w:tcW w:type="dxa" w:w="2256"/>
            <w:shd w:fill="003366"/>
          </w:tcPr>
          <w:p>
            <w:r>
              <w:rPr>
                <w:b/>
                <w:color w:val="FFFFFF"/>
                <w:sz w:val="20"/>
              </w:rPr>
            </w:r>
            <w:r>
              <w:rPr>
                <w:b/>
                <w:color w:val="FFFFFF"/>
                <w:sz w:val="20"/>
              </w:rPr>
              <w:t>Gevaarsklassen</w:t>
            </w:r>
          </w:p>
        </w:tc>
        <w:tc>
          <w:tcPr>
            <w:tcW w:type="dxa" w:w="2256"/>
            <w:shd w:fill="003366"/>
          </w:tcPr>
          <w:p>
            <w:r>
              <w:rPr>
                <w:b/>
                <w:color w:val="FFFFFF"/>
                <w:sz w:val="20"/>
              </w:rPr>
            </w:r>
            <w:r>
              <w:rPr>
                <w:b/>
                <w:color w:val="FFFFFF"/>
                <w:sz w:val="20"/>
              </w:rPr>
              <w:t>Aantal</w:t>
            </w:r>
          </w:p>
        </w:tc>
        <w:tc>
          <w:tcPr>
            <w:tcW w:type="dxa" w:w="2256"/>
            <w:shd w:fill="003366"/>
          </w:tcPr>
          <w:p>
            <w:r>
              <w:rPr>
                <w:b/>
                <w:color w:val="FFFFFF"/>
                <w:sz w:val="20"/>
              </w:rPr>
            </w:r>
            <w:r>
              <w:rPr>
                <w:b/>
                <w:color w:val="FFFFFF"/>
                <w:sz w:val="20"/>
              </w:rPr>
              <w:t>Signalwoord</w:t>
            </w:r>
          </w:p>
        </w:tc>
      </w:tr>
      <w:tr>
        <w:tc>
          <w:tcPr>
            <w:tcW w:type="dxa" w:w="2256"/>
          </w:tcPr>
          <w:p>
            <w:r/>
            <w:r>
              <w:rPr>
                <w:sz w:val="18"/>
              </w:rPr>
              <w:t>Fysieke gevaren</w:t>
            </w:r>
          </w:p>
        </w:tc>
        <w:tc>
          <w:tcPr>
            <w:tcW w:type="dxa" w:w="2256"/>
          </w:tcPr>
          <w:p>
            <w:r/>
            <w:r>
              <w:rPr>
                <w:sz w:val="18"/>
              </w:rPr>
              <w:t>1. Explosieven</w:t>
              <w:br/>
              <w:t>2. Ontvlambare gassen</w:t>
              <w:br/>
              <w:t>3. Spuitbussen (aerosols)</w:t>
              <w:br/>
              <w:t>4. Oxiderende gassen</w:t>
              <w:br/>
              <w:t>5. Gassen onder druk</w:t>
              <w:br/>
              <w:t>6. Ontvlambare vloeistoffen</w:t>
              <w:br/>
              <w:t>7. Ontvlambare vaste stoffen</w:t>
              <w:br/>
              <w:t>8. Zelfreactieve stoffen</w:t>
              <w:br/>
              <w:t>9. Pyrofore vloeistoffen</w:t>
              <w:br/>
              <w:t>10. Pyrofore stoffen</w:t>
              <w:br/>
              <w:t>11. Zelfverwarmende stoffen</w:t>
              <w:br/>
              <w:t>12. Stoffen → ontvlambare gassen bij contact met water</w:t>
              <w:br/>
              <w:t>13. Oxiderende vloeistoffen</w:t>
              <w:br/>
              <w:t>14. Oxiderende vaste stoffen</w:t>
              <w:br/>
              <w:t>15. Organische peroxiden</w:t>
              <w:br/>
              <w:t>16. Metaalcorrosief</w:t>
              <w:br/>
              <w:t>17. Gedesensibiliseerde explosieven (2019)</w:t>
            </w:r>
          </w:p>
        </w:tc>
        <w:tc>
          <w:tcPr>
            <w:tcW w:type="dxa" w:w="2256"/>
          </w:tcPr>
          <w:p>
            <w:r/>
            <w:r>
              <w:rPr>
                <w:sz w:val="18"/>
              </w:rPr>
              <w:t>17</w:t>
            </w:r>
          </w:p>
        </w:tc>
        <w:tc>
          <w:tcPr>
            <w:tcW w:type="dxa" w:w="2256"/>
          </w:tcPr>
          <w:p>
            <w:r/>
            <w:r>
              <w:rPr>
                <w:sz w:val="18"/>
              </w:rPr>
              <w:t>GEVAAR / WAARSCHUWING</w:t>
            </w:r>
          </w:p>
        </w:tc>
      </w:tr>
      <w:tr>
        <w:tc>
          <w:tcPr>
            <w:tcW w:type="dxa" w:w="2256"/>
            <w:shd w:fill="F8F9FA"/>
          </w:tcPr>
          <w:p>
            <w:r/>
            <w:r>
              <w:rPr>
                <w:sz w:val="18"/>
              </w:rPr>
              <w:t>Gezondheidsgevaren</w:t>
            </w:r>
          </w:p>
        </w:tc>
        <w:tc>
          <w:tcPr>
            <w:tcW w:type="dxa" w:w="2256"/>
            <w:shd w:fill="F8F9FA"/>
          </w:tcPr>
          <w:p>
            <w:r/>
            <w:r>
              <w:rPr>
                <w:sz w:val="18"/>
              </w:rPr>
              <w:t>1. Acute toxiciteit</w:t>
              <w:br/>
              <w:t>2. Huidcorrosie/-irritatie</w:t>
              <w:br/>
              <w:t>3. Ernstig oogletsel/oogirritatie</w:t>
              <w:br/>
              <w:t>4. Respiratoire of huidgevoeligheid</w:t>
              <w:br/>
              <w:t>5. Erfelijke mutageniciteit</w:t>
              <w:br/>
              <w:t>6. Carcinogeniciteit</w:t>
              <w:br/>
              <w:t>7. Reproductietoxiciteit</w:t>
              <w:br/>
              <w:t>8. STOT — eenmalige blootstelling</w:t>
              <w:br/>
              <w:t>9. STOT — herhaalde blootstelling</w:t>
              <w:br/>
              <w:t>10. Aspiratiegevaar</w:t>
              <w:br/>
              <w:t>11. Endocriene disruptie — mens (2023)</w:t>
            </w:r>
          </w:p>
        </w:tc>
        <w:tc>
          <w:tcPr>
            <w:tcW w:type="dxa" w:w="2256"/>
            <w:shd w:fill="F8F9FA"/>
          </w:tcPr>
          <w:p>
            <w:r/>
            <w:r>
              <w:rPr>
                <w:sz w:val="18"/>
              </w:rPr>
              <w:t>11</w:t>
            </w:r>
          </w:p>
        </w:tc>
        <w:tc>
          <w:tcPr>
            <w:tcW w:type="dxa" w:w="2256"/>
            <w:shd w:fill="F8F9FA"/>
          </w:tcPr>
          <w:p>
            <w:r/>
            <w:r>
              <w:rPr>
                <w:sz w:val="18"/>
              </w:rPr>
              <w:t>GEVAAR / WAARSCHUWING</w:t>
            </w:r>
          </w:p>
        </w:tc>
      </w:tr>
      <w:tr>
        <w:tc>
          <w:tcPr>
            <w:tcW w:type="dxa" w:w="2256"/>
          </w:tcPr>
          <w:p>
            <w:r/>
            <w:r>
              <w:rPr>
                <w:sz w:val="18"/>
              </w:rPr>
              <w:t>Milieugevaren</w:t>
            </w:r>
          </w:p>
        </w:tc>
        <w:tc>
          <w:tcPr>
            <w:tcW w:type="dxa" w:w="2256"/>
          </w:tcPr>
          <w:p>
            <w:r/>
            <w:r>
              <w:rPr>
                <w:sz w:val="18"/>
              </w:rPr>
              <w:t>1. Gevaarlijk voor het aquatische milieu</w:t>
              <w:br/>
              <w:t>2. Endocriene disruptie — milieu (2023)</w:t>
              <w:br/>
              <w:t>3. PBT / vPvB (2023)</w:t>
              <w:br/>
              <w:t>4. PMT / vPvM (2023)</w:t>
            </w:r>
          </w:p>
        </w:tc>
        <w:tc>
          <w:tcPr>
            <w:tcW w:type="dxa" w:w="2256"/>
          </w:tcPr>
          <w:p>
            <w:r/>
            <w:r>
              <w:rPr>
                <w:sz w:val="18"/>
              </w:rPr>
              <w:t>4</w:t>
            </w:r>
          </w:p>
        </w:tc>
        <w:tc>
          <w:tcPr>
            <w:tcW w:type="dxa" w:w="2256"/>
          </w:tcPr>
          <w:p>
            <w:r/>
            <w:r>
              <w:rPr>
                <w:sz w:val="18"/>
              </w:rPr>
              <w:t>WAARSCHUWING</w:t>
            </w:r>
          </w:p>
        </w:tc>
      </w:tr>
      <w:tr>
        <w:tc>
          <w:tcPr>
            <w:tcW w:type="dxa" w:w="2256"/>
            <w:shd w:fill="F8F9FA"/>
          </w:tcPr>
          <w:p>
            <w:r/>
            <w:r>
              <w:rPr>
                <w:sz w:val="18"/>
              </w:rPr>
              <w:t>Aanvullend</w:t>
            </w:r>
          </w:p>
        </w:tc>
        <w:tc>
          <w:tcPr>
            <w:tcW w:type="dxa" w:w="2256"/>
            <w:shd w:fill="F8F9FA"/>
          </w:tcPr>
          <w:p>
            <w:r/>
            <w:r>
              <w:rPr>
                <w:sz w:val="18"/>
              </w:rPr>
              <w:t>Gevaarlijk voor de ozonlaag</w:t>
            </w:r>
          </w:p>
        </w:tc>
        <w:tc>
          <w:tcPr>
            <w:tcW w:type="dxa" w:w="2256"/>
            <w:shd w:fill="F8F9FA"/>
          </w:tcPr>
          <w:p>
            <w:r/>
            <w:r>
              <w:rPr>
                <w:sz w:val="18"/>
              </w:rPr>
              <w:t>1</w:t>
            </w:r>
          </w:p>
        </w:tc>
        <w:tc>
          <w:tcPr>
            <w:tcW w:type="dxa" w:w="2256"/>
            <w:shd w:fill="F8F9FA"/>
          </w:tcPr>
          <w:p>
            <w:r/>
            <w:r>
              <w:rPr>
                <w:sz w:val="18"/>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brandwonden en oogletsel</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r>
        <w:rPr>
          <w:color w:val="1F2937"/>
          <w:sz w:val="22"/>
        </w:rPr>
        <w:t>De negen GHS-pictogrammen zijn ruitvormig (diamant) met een witte achtergrond en rode rand, conform CLP-verordening (EG) nr. 1272/2008. Elk pictogram vertegenwoordigt een specifiek type gevaar. De pictogrammen zijn gebaseerd op het VN GHS-systeem en vormen de wettelijke standaard voor etikettering van gevaarlijke stoffen en mengsels op de EU-markt.</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Code</w:t>
            </w:r>
          </w:p>
        </w:tc>
        <w:tc>
          <w:tcPr>
            <w:tcW w:type="dxa" w:w="2256"/>
            <w:shd w:fill="003366"/>
          </w:tcPr>
          <w:p>
            <w:r>
              <w:rPr>
                <w:b/>
                <w:color w:val="FFFFFF"/>
                <w:sz w:val="20"/>
              </w:rPr>
            </w:r>
            <w:r>
              <w:rPr>
                <w:b/>
                <w:color w:val="FFFFFF"/>
                <w:sz w:val="20"/>
              </w:rPr>
              <w:t>Symbool</w:t>
            </w:r>
          </w:p>
        </w:tc>
        <w:tc>
          <w:tcPr>
            <w:tcW w:type="dxa" w:w="2256"/>
            <w:shd w:fill="003366"/>
          </w:tcPr>
          <w:p>
            <w:r>
              <w:rPr>
                <w:b/>
                <w:color w:val="FFFFFF"/>
                <w:sz w:val="20"/>
              </w:rPr>
            </w:r>
            <w:r>
              <w:rPr>
                <w:b/>
                <w:color w:val="FFFFFF"/>
                <w:sz w:val="20"/>
              </w:rPr>
              <w:t>Pictogram</w:t>
            </w:r>
          </w:p>
        </w:tc>
        <w:tc>
          <w:tcPr>
            <w:tcW w:type="dxa" w:w="2256"/>
            <w:shd w:fill="003366"/>
          </w:tcPr>
          <w:p>
            <w:r>
              <w:rPr>
                <w:b/>
                <w:color w:val="FFFFFF"/>
                <w:sz w:val="20"/>
              </w:rPr>
            </w:r>
            <w:r>
              <w:rPr>
                <w:b/>
                <w:color w:val="FFFFFF"/>
                <w:sz w:val="20"/>
              </w:rPr>
              <w:t>Toepassing</w:t>
            </w:r>
          </w:p>
        </w:tc>
      </w:tr>
      <w:tr>
        <w:tc>
          <w:tcPr>
            <w:tcW w:type="dxa" w:w="2256"/>
          </w:tcPr>
          <w:p>
            <w:r/>
            <w:r>
              <w:rPr>
                <w:sz w:val="20"/>
              </w:rPr>
              <w:t>GHS01</w:t>
            </w:r>
          </w:p>
        </w:tc>
        <w:tc>
          <w:tcPr>
            <w:tcW w:type="dxa" w:w="2256"/>
          </w:tcPr>
          <w:p>
            <w:r/>
            <w:r>
              <w:rPr>
                <w:sz w:val="20"/>
              </w:rPr>
              <w:t>💣</w:t>
            </w:r>
          </w:p>
        </w:tc>
        <w:tc>
          <w:tcPr>
            <w:tcW w:type="dxa" w:w="2256"/>
          </w:tcPr>
          <w:p>
            <w:r/>
            <w:r>
              <w:rPr>
                <w:sz w:val="20"/>
              </w:rPr>
              <w:t>Explosief</w:t>
            </w:r>
          </w:p>
        </w:tc>
        <w:tc>
          <w:tcPr>
            <w:tcW w:type="dxa" w:w="2256"/>
          </w:tcPr>
          <w:p>
            <w:r/>
            <w:r>
              <w:rPr>
                <w:sz w:val="20"/>
              </w:rPr>
              <w:t>Explosieven, zelfreactieve stoffen, organische peroxiden</w:t>
            </w:r>
          </w:p>
        </w:tc>
      </w:tr>
      <w:tr>
        <w:tc>
          <w:tcPr>
            <w:tcW w:type="dxa" w:w="2256"/>
            <w:shd w:fill="F8F9FA"/>
          </w:tcPr>
          <w:p>
            <w:r/>
            <w:r>
              <w:rPr>
                <w:sz w:val="20"/>
              </w:rPr>
              <w:t>GHS02</w:t>
            </w:r>
          </w:p>
        </w:tc>
        <w:tc>
          <w:tcPr>
            <w:tcW w:type="dxa" w:w="2256"/>
            <w:shd w:fill="F8F9FA"/>
          </w:tcPr>
          <w:p>
            <w:r/>
            <w:r>
              <w:rPr>
                <w:sz w:val="20"/>
              </w:rPr>
              <w:t>🔥</w:t>
            </w:r>
          </w:p>
        </w:tc>
        <w:tc>
          <w:tcPr>
            <w:tcW w:type="dxa" w:w="2256"/>
            <w:shd w:fill="F8F9FA"/>
          </w:tcPr>
          <w:p>
            <w:r/>
            <w:r>
              <w:rPr>
                <w:sz w:val="20"/>
              </w:rPr>
              <w:t>Ontvlambaar</w:t>
            </w:r>
          </w:p>
        </w:tc>
        <w:tc>
          <w:tcPr>
            <w:tcW w:type="dxa" w:w="2256"/>
            <w:shd w:fill="F8F9FA"/>
          </w:tcPr>
          <w:p>
            <w:r/>
            <w:r>
              <w:rPr>
                <w:sz w:val="20"/>
              </w:rPr>
              <w:t>Ontvlambare gassen, vloeistoffen, vaste stoffen, aerosols, zelfverwarmende stoffen, pyrofore stoffen</w:t>
            </w:r>
          </w:p>
        </w:tc>
      </w:tr>
      <w:tr>
        <w:tc>
          <w:tcPr>
            <w:tcW w:type="dxa" w:w="2256"/>
          </w:tcPr>
          <w:p>
            <w:r/>
            <w:r>
              <w:rPr>
                <w:sz w:val="20"/>
              </w:rPr>
              <w:t>GHS03</w:t>
            </w:r>
          </w:p>
        </w:tc>
        <w:tc>
          <w:tcPr>
            <w:tcW w:type="dxa" w:w="2256"/>
          </w:tcPr>
          <w:p>
            <w:r/>
            <w:r>
              <w:rPr>
                <w:sz w:val="20"/>
              </w:rPr>
              <w:t>🔺</w:t>
            </w:r>
          </w:p>
        </w:tc>
        <w:tc>
          <w:tcPr>
            <w:tcW w:type="dxa" w:w="2256"/>
          </w:tcPr>
          <w:p>
            <w:r/>
            <w:r>
              <w:rPr>
                <w:sz w:val="20"/>
              </w:rPr>
              <w:t>Oxiderend</w:t>
            </w:r>
          </w:p>
        </w:tc>
        <w:tc>
          <w:tcPr>
            <w:tcW w:type="dxa" w:w="2256"/>
          </w:tcPr>
          <w:p>
            <w:r/>
            <w:r>
              <w:rPr>
                <w:sz w:val="20"/>
              </w:rPr>
              <w:t>Oxiderende gassen, vloeistoffen en vaste stoffen</w:t>
            </w:r>
          </w:p>
        </w:tc>
      </w:tr>
      <w:tr>
        <w:tc>
          <w:tcPr>
            <w:tcW w:type="dxa" w:w="2256"/>
            <w:shd w:fill="F8F9FA"/>
          </w:tcPr>
          <w:p>
            <w:r/>
            <w:r>
              <w:rPr>
                <w:sz w:val="20"/>
              </w:rPr>
              <w:t>GHS04</w:t>
            </w:r>
          </w:p>
        </w:tc>
        <w:tc>
          <w:tcPr>
            <w:tcW w:type="dxa" w:w="2256"/>
            <w:shd w:fill="F8F9FA"/>
          </w:tcPr>
          <w:p>
            <w:r/>
            <w:r>
              <w:rPr>
                <w:sz w:val="20"/>
              </w:rPr>
              <w:t>⚠️</w:t>
            </w:r>
          </w:p>
        </w:tc>
        <w:tc>
          <w:tcPr>
            <w:tcW w:type="dxa" w:w="2256"/>
            <w:shd w:fill="F8F9FA"/>
          </w:tcPr>
          <w:p>
            <w:r/>
            <w:r>
              <w:rPr>
                <w:sz w:val="20"/>
              </w:rPr>
              <w:t>Gas onder druk</w:t>
            </w:r>
          </w:p>
        </w:tc>
        <w:tc>
          <w:tcPr>
            <w:tcW w:type="dxa" w:w="2256"/>
            <w:shd w:fill="F8F9FA"/>
          </w:tcPr>
          <w:p>
            <w:r/>
            <w:r>
              <w:rPr>
                <w:sz w:val="20"/>
              </w:rPr>
              <w:t>Gassen onder druk, vloeibaar gemaakte gassen, opgeloste gassen</w:t>
            </w:r>
          </w:p>
        </w:tc>
      </w:tr>
      <w:tr>
        <w:tc>
          <w:tcPr>
            <w:tcW w:type="dxa" w:w="2256"/>
          </w:tcPr>
          <w:p>
            <w:r/>
            <w:r>
              <w:rPr>
                <w:sz w:val="20"/>
              </w:rPr>
              <w:t>GHS05</w:t>
            </w:r>
          </w:p>
        </w:tc>
        <w:tc>
          <w:tcPr>
            <w:tcW w:type="dxa" w:w="2256"/>
          </w:tcPr>
          <w:p>
            <w:r/>
            <w:r>
              <w:rPr>
                <w:sz w:val="20"/>
              </w:rPr>
              <w:t>🧪</w:t>
            </w:r>
          </w:p>
        </w:tc>
        <w:tc>
          <w:tcPr>
            <w:tcW w:type="dxa" w:w="2256"/>
          </w:tcPr>
          <w:p>
            <w:r/>
            <w:r>
              <w:rPr>
                <w:sz w:val="20"/>
              </w:rPr>
              <w:t>Corrosief</w:t>
            </w:r>
          </w:p>
        </w:tc>
        <w:tc>
          <w:tcPr>
            <w:tcW w:type="dxa" w:w="2256"/>
          </w:tcPr>
          <w:p>
            <w:r/>
            <w:r>
              <w:rPr>
                <w:sz w:val="20"/>
              </w:rPr>
              <w:t>Huidcorrosie, metaalcorrosie, ernstig oogletsel</w:t>
            </w:r>
          </w:p>
        </w:tc>
      </w:tr>
      <w:tr>
        <w:tc>
          <w:tcPr>
            <w:tcW w:type="dxa" w:w="2256"/>
            <w:shd w:fill="F8F9FA"/>
          </w:tcPr>
          <w:p>
            <w:r/>
            <w:r>
              <w:rPr>
                <w:sz w:val="20"/>
              </w:rPr>
              <w:t>GHS06</w:t>
            </w:r>
          </w:p>
        </w:tc>
        <w:tc>
          <w:tcPr>
            <w:tcW w:type="dxa" w:w="2256"/>
            <w:shd w:fill="F8F9FA"/>
          </w:tcPr>
          <w:p>
            <w:r/>
            <w:r>
              <w:rPr>
                <w:sz w:val="20"/>
              </w:rPr>
              <w:t>💀</w:t>
            </w:r>
          </w:p>
        </w:tc>
        <w:tc>
          <w:tcPr>
            <w:tcW w:type="dxa" w:w="2256"/>
            <w:shd w:fill="F8F9FA"/>
          </w:tcPr>
          <w:p>
            <w:r/>
            <w:r>
              <w:rPr>
                <w:sz w:val="20"/>
              </w:rPr>
              <w:t>Giftig</w:t>
            </w:r>
          </w:p>
        </w:tc>
        <w:tc>
          <w:tcPr>
            <w:tcW w:type="dxa" w:w="2256"/>
            <w:shd w:fill="F8F9FA"/>
          </w:tcPr>
          <w:p>
            <w:r/>
            <w:r>
              <w:rPr>
                <w:sz w:val="20"/>
              </w:rPr>
              <w:t>Acute toxiciteit (categorieën 1-3)</w:t>
            </w:r>
          </w:p>
        </w:tc>
      </w:tr>
      <w:tr>
        <w:tc>
          <w:tcPr>
            <w:tcW w:type="dxa" w:w="2256"/>
          </w:tcPr>
          <w:p>
            <w:r/>
            <w:r>
              <w:rPr>
                <w:sz w:val="20"/>
              </w:rPr>
              <w:t>GHS07</w:t>
            </w:r>
          </w:p>
        </w:tc>
        <w:tc>
          <w:tcPr>
            <w:tcW w:type="dxa" w:w="2256"/>
          </w:tcPr>
          <w:p>
            <w:r/>
            <w:r>
              <w:rPr>
                <w:sz w:val="20"/>
              </w:rPr>
              <w:t>❗</w:t>
            </w:r>
          </w:p>
        </w:tc>
        <w:tc>
          <w:tcPr>
            <w:tcW w:type="dxa" w:w="2256"/>
          </w:tcPr>
          <w:p>
            <w:r/>
            <w:r>
              <w:rPr>
                <w:sz w:val="20"/>
              </w:rPr>
              <w:t>Gezondheidsgevaar</w:t>
            </w:r>
          </w:p>
        </w:tc>
        <w:tc>
          <w:tcPr>
            <w:tcW w:type="dxa" w:w="2256"/>
          </w:tcPr>
          <w:p>
            <w:r/>
            <w:r>
              <w:rPr>
                <w:sz w:val="20"/>
              </w:rPr>
              <w:t>Irriterend, sensibiliserend, acute toxiciteit cat. 4, STOT, aspiratiegevaar</w:t>
            </w:r>
          </w:p>
        </w:tc>
      </w:tr>
      <w:tr>
        <w:tc>
          <w:tcPr>
            <w:tcW w:type="dxa" w:w="2256"/>
            <w:shd w:fill="F8F9FA"/>
          </w:tcPr>
          <w:p>
            <w:r/>
            <w:r>
              <w:rPr>
                <w:sz w:val="20"/>
              </w:rPr>
              <w:t>GHS08</w:t>
            </w:r>
          </w:p>
        </w:tc>
        <w:tc>
          <w:tcPr>
            <w:tcW w:type="dxa" w:w="2256"/>
            <w:shd w:fill="F8F9FA"/>
          </w:tcPr>
          <w:p>
            <w:r/>
            <w:r>
              <w:rPr>
                <w:sz w:val="20"/>
              </w:rPr>
              <w:t>🌳</w:t>
            </w:r>
          </w:p>
        </w:tc>
        <w:tc>
          <w:tcPr>
            <w:tcW w:type="dxa" w:w="2256"/>
            <w:shd w:fill="F8F9FA"/>
          </w:tcPr>
          <w:p>
            <w:r/>
            <w:r>
              <w:rPr>
                <w:sz w:val="20"/>
              </w:rPr>
              <w:t>Milieugevaar</w:t>
            </w:r>
          </w:p>
        </w:tc>
        <w:tc>
          <w:tcPr>
            <w:tcW w:type="dxa" w:w="2256"/>
            <w:shd w:fill="F8F9FA"/>
          </w:tcPr>
          <w:p>
            <w:r/>
            <w:r>
              <w:rPr>
                <w:sz w:val="20"/>
              </w:rPr>
              <w:t>Gevaarlijk voor het aquatische milieu (acuut/chronisch), ozonlaag</w:t>
            </w:r>
          </w:p>
        </w:tc>
      </w:tr>
      <w:tr>
        <w:tc>
          <w:tcPr>
            <w:tcW w:type="dxa" w:w="2256"/>
          </w:tcPr>
          <w:p>
            <w:r/>
            <w:r>
              <w:rPr>
                <w:sz w:val="20"/>
              </w:rPr>
              <w:t>GHS09</w:t>
            </w:r>
          </w:p>
        </w:tc>
        <w:tc>
          <w:tcPr>
            <w:tcW w:type="dxa" w:w="2256"/>
          </w:tcPr>
          <w:p>
            <w:r/>
            <w:r>
              <w:rPr>
                <w:sz w:val="20"/>
              </w:rPr>
              <w:t>👤</w:t>
            </w:r>
          </w:p>
        </w:tc>
        <w:tc>
          <w:tcPr>
            <w:tcW w:type="dxa" w:w="2256"/>
          </w:tcPr>
          <w:p>
            <w:r/>
            <w:r>
              <w:rPr>
                <w:sz w:val="20"/>
              </w:rPr>
              <w:t>Ernstig gezondheidsgevaar</w:t>
            </w:r>
          </w:p>
        </w:tc>
        <w:tc>
          <w:tcPr>
            <w:tcW w:type="dxa" w:w="2256"/>
          </w:tcPr>
          <w:p>
            <w:r/>
            <w:r>
              <w:rPr>
                <w:sz w:val="20"/>
              </w:rPr>
              <w:t>Carcinogeniciteit, mutageniciteit, reproductietoxiciteit, STOT RE, respiratoire sensibilisatie</w:t>
            </w:r>
          </w:p>
        </w:tc>
      </w:tr>
    </w:tbl>
    <w:p/>
    <w:p>
      <w:r>
        <w:br w:type="page"/>
      </w:r>
    </w:p>
    <w:p>
      <w:pPr>
        <w:pStyle w:val="Heading2"/>
      </w:pPr>
      <w:r>
        <w:rPr>
          <w:color w:val="003366"/>
        </w:rPr>
        <w:t>5.6 Overgang: Oud Europees systeem naar CLP</w:t>
      </w:r>
    </w:p>
    <w:p>
      <w:r>
        <w:rPr>
          <w:b w:val="0"/>
          <w:i w:val="0"/>
          <w:color w:val="1F2937"/>
          <w:sz w:val="22"/>
        </w:rPr>
        <w:t>CLP verving het oude Europese classificatiesysteem. Het is essentieel het verschil te kennen, aangezien oudere veiligheidsinformatiebladen en documentatie nog R/S-zinnen en oranje symbolen kunnen bevatten:</w:t>
      </w:r>
    </w:p>
    <w:tbl>
      <w:tblPr>
        <w:tblStyle w:val="TableGrid"/>
        <w:tblW w:type="auto" w:w="0"/>
        <w:jc w:val="center"/>
        <w:tblLook w:firstColumn="1" w:firstRow="1" w:lastColumn="0" w:lastRow="0" w:noHBand="0" w:noVBand="1" w:val="04A0"/>
      </w:tblPr>
      <w:tblGrid>
        <w:gridCol w:w="3009"/>
        <w:gridCol w:w="3009"/>
        <w:gridCol w:w="3009"/>
      </w:tblGrid>
      <w:tr>
        <w:tc>
          <w:tcPr>
            <w:tcW w:type="dxa" w:w="3009"/>
            <w:shd w:fill="003366"/>
          </w:tcPr>
          <w:p>
            <w:r>
              <w:rPr>
                <w:b/>
                <w:color w:val="FFFFFF"/>
                <w:sz w:val="20"/>
              </w:rPr>
            </w:r>
            <w:r>
              <w:rPr>
                <w:b/>
                <w:color w:val="FFFFFF"/>
                <w:sz w:val="20"/>
              </w:rPr>
              <w:t>Aspect</w:t>
            </w:r>
          </w:p>
        </w:tc>
        <w:tc>
          <w:tcPr>
            <w:tcW w:type="dxa" w:w="3009"/>
            <w:shd w:fill="003366"/>
          </w:tcPr>
          <w:p>
            <w:r>
              <w:rPr>
                <w:b/>
                <w:color w:val="FFFFFF"/>
                <w:sz w:val="20"/>
              </w:rPr>
            </w:r>
            <w:r>
              <w:rPr>
                <w:b/>
                <w:color w:val="FFFFFF"/>
                <w:sz w:val="20"/>
              </w:rPr>
              <w:t>Oud systeem (67/548/EEG)</w:t>
            </w:r>
          </w:p>
        </w:tc>
        <w:tc>
          <w:tcPr>
            <w:tcW w:type="dxa" w:w="3009"/>
            <w:shd w:fill="003366"/>
          </w:tcPr>
          <w:p>
            <w:r>
              <w:rPr>
                <w:b/>
                <w:color w:val="FFFFFF"/>
                <w:sz w:val="20"/>
              </w:rPr>
            </w:r>
            <w:r>
              <w:rPr>
                <w:b/>
                <w:color w:val="FFFFFF"/>
                <w:sz w:val="20"/>
              </w:rPr>
              <w:t>CLP (EG 1272/2008)</w:t>
            </w:r>
          </w:p>
        </w:tc>
      </w:tr>
      <w:tr>
        <w:tc>
          <w:tcPr>
            <w:tcW w:type="dxa" w:w="3009"/>
          </w:tcPr>
          <w:p>
            <w:r/>
            <w:r>
              <w:rPr>
                <w:sz w:val="20"/>
              </w:rPr>
              <w:t>Symbolen</w:t>
            </w:r>
          </w:p>
        </w:tc>
        <w:tc>
          <w:tcPr>
            <w:tcW w:type="dxa" w:w="3009"/>
          </w:tcPr>
          <w:p>
            <w:r/>
            <w:r>
              <w:rPr>
                <w:sz w:val="20"/>
              </w:rPr>
              <w:t>Oranje vierkanten (rond/driehoek/schedel)</w:t>
            </w:r>
          </w:p>
        </w:tc>
        <w:tc>
          <w:tcPr>
            <w:tcW w:type="dxa" w:w="3009"/>
          </w:tcPr>
          <w:p>
            <w:r/>
            <w:r>
              <w:rPr>
                <w:sz w:val="20"/>
              </w:rPr>
              <w:t>Ruitvormige diamanten (wit, rode rand)</w:t>
            </w:r>
          </w:p>
        </w:tc>
      </w:tr>
      <w:tr>
        <w:tc>
          <w:tcPr>
            <w:tcW w:type="dxa" w:w="3009"/>
            <w:shd w:fill="F8F9FA"/>
          </w:tcPr>
          <w:p>
            <w:r/>
            <w:r>
              <w:rPr>
                <w:sz w:val="20"/>
              </w:rPr>
              <w:t>Gevaarsaanduiding</w:t>
            </w:r>
          </w:p>
        </w:tc>
        <w:tc>
          <w:tcPr>
            <w:tcW w:type="dxa" w:w="3009"/>
            <w:shd w:fill="F8F9FA"/>
          </w:tcPr>
          <w:p>
            <w:r/>
            <w:r>
              <w:rPr>
                <w:sz w:val="20"/>
              </w:rPr>
              <w:t>R-zinnen (Risico-zinnen), bijv. R34, R45</w:t>
            </w:r>
          </w:p>
        </w:tc>
        <w:tc>
          <w:tcPr>
            <w:tcW w:type="dxa" w:w="3009"/>
            <w:shd w:fill="F8F9FA"/>
          </w:tcPr>
          <w:p>
            <w:r/>
            <w:r>
              <w:rPr>
                <w:sz w:val="20"/>
              </w:rPr>
              <w:t>H-zinnen (Hazard statements), bijv. H314, H350</w:t>
            </w:r>
          </w:p>
        </w:tc>
      </w:tr>
      <w:tr>
        <w:tc>
          <w:tcPr>
            <w:tcW w:type="dxa" w:w="3009"/>
          </w:tcPr>
          <w:p>
            <w:r/>
            <w:r>
              <w:rPr>
                <w:sz w:val="20"/>
              </w:rPr>
              <w:t>Veiligheidsaanbevelingen</w:t>
            </w:r>
          </w:p>
        </w:tc>
        <w:tc>
          <w:tcPr>
            <w:tcW w:type="dxa" w:w="3009"/>
          </w:tcPr>
          <w:p>
            <w:r/>
            <w:r>
              <w:rPr>
                <w:sz w:val="20"/>
              </w:rPr>
              <w:t>S-zinnen (Veiligheids-zinnen), bijv. S26, S36</w:t>
            </w:r>
          </w:p>
        </w:tc>
        <w:tc>
          <w:tcPr>
            <w:tcW w:type="dxa" w:w="3009"/>
          </w:tcPr>
          <w:p>
            <w:r/>
            <w:r>
              <w:rPr>
                <w:sz w:val="20"/>
              </w:rPr>
              <w:t>P-zinnen (Precautionary statements), bijv. P260, P280</w:t>
            </w:r>
          </w:p>
        </w:tc>
      </w:tr>
      <w:tr>
        <w:tc>
          <w:tcPr>
            <w:tcW w:type="dxa" w:w="3009"/>
            <w:shd w:fill="F8F9FA"/>
          </w:tcPr>
          <w:p>
            <w:r/>
            <w:r>
              <w:rPr>
                <w:sz w:val="20"/>
              </w:rPr>
              <w:t>Indeling</w:t>
            </w:r>
          </w:p>
        </w:tc>
        <w:tc>
          <w:tcPr>
            <w:tcW w:type="dxa" w:w="3009"/>
            <w:shd w:fill="F8F9FA"/>
          </w:tcPr>
          <w:p>
            <w:r/>
            <w:r>
              <w:rPr>
                <w:sz w:val="20"/>
              </w:rPr>
              <w:t>R-indeling, categorieën (1-3)</w:t>
            </w:r>
          </w:p>
        </w:tc>
        <w:tc>
          <w:tcPr>
            <w:tcW w:type="dxa" w:w="3009"/>
            <w:shd w:fill="F8F9FA"/>
          </w:tcPr>
          <w:p>
            <w:r/>
            <w:r>
              <w:rPr>
                <w:sz w:val="20"/>
              </w:rPr>
              <w:t>Gevaarsklassen en -categorieën, cat. 1A, 1B, 2, 3</w:t>
            </w:r>
          </w:p>
        </w:tc>
      </w:tr>
      <w:tr>
        <w:tc>
          <w:tcPr>
            <w:tcW w:type="dxa" w:w="3009"/>
          </w:tcPr>
          <w:p>
            <w:r/>
            <w:r>
              <w:rPr>
                <w:sz w:val="20"/>
              </w:rPr>
              <w:t>Signalwoorden</w:t>
            </w:r>
          </w:p>
        </w:tc>
        <w:tc>
          <w:tcPr>
            <w:tcW w:type="dxa" w:w="3009"/>
          </w:tcPr>
          <w:p>
            <w:r/>
            <w:r>
              <w:rPr>
                <w:sz w:val="20"/>
              </w:rPr>
              <w:t>Geen standaard signalwoorden</w:t>
            </w:r>
          </w:p>
        </w:tc>
        <w:tc>
          <w:tcPr>
            <w:tcW w:type="dxa" w:w="3009"/>
          </w:tcPr>
          <w:p>
            <w:r/>
            <w:r>
              <w:rPr>
                <w:sz w:val="20"/>
              </w:rPr>
              <w:t>GEVAAR (ernstig) / WAARSCHUWING (minder ernstig)</w:t>
            </w:r>
          </w:p>
        </w:tc>
      </w:tr>
      <w:tr>
        <w:tc>
          <w:tcPr>
            <w:tcW w:type="dxa" w:w="3009"/>
            <w:shd w:fill="F8F9FA"/>
          </w:tcPr>
          <w:p>
            <w:r/>
            <w:r>
              <w:rPr>
                <w:sz w:val="20"/>
              </w:rPr>
              <w:t>Toepassing</w:t>
            </w:r>
          </w:p>
        </w:tc>
        <w:tc>
          <w:tcPr>
            <w:tcW w:type="dxa" w:w="3009"/>
            <w:shd w:fill="F8F9FA"/>
          </w:tcPr>
          <w:p>
            <w:r/>
            <w:r>
              <w:rPr>
                <w:sz w:val="20"/>
              </w:rPr>
              <w:t>Vervangen per 1 juni 2015</w:t>
            </w:r>
          </w:p>
        </w:tc>
        <w:tc>
          <w:tcPr>
            <w:tcW w:type="dxa" w:w="3009"/>
            <w:shd w:fill="F8F9FA"/>
          </w:tcPr>
          <w:p>
            <w:r/>
            <w:r>
              <w:rPr>
                <w:sz w:val="20"/>
              </w:rPr>
              <w:t>Wettelijk verplicht sinds 1 juni 2015</w:t>
            </w:r>
          </w:p>
        </w:tc>
      </w:tr>
    </w:tbl>
    <w:p>
      <w:pPr>
        <w:pStyle w:val="Heading2"/>
      </w:pPr>
      <w:r>
        <w:rPr>
          <w:color w:val="003366"/>
        </w:rPr>
        <w:t>5.7 Classificatiesystemen: CLP vs ADR vs ADN vs IMDG</w:t>
      </w:r>
    </w:p>
    <w:p>
      <w:r>
        <w:rPr>
          <w:b w:val="0"/>
          <w:i w:val="0"/>
          <w:color w:val="1F2937"/>
          <w:sz w:val="22"/>
        </w:rPr>
        <w:t>Gevaarlijke stoffen worden geclassificeerd onder verschillende systemen, afhankelijk van de context. Het is essentieel het juiste systeem toe te passen: CLP voor de werkplek en consumentenverpakkingen, ADR/ADN/IMDG voor transport.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Systeem</w:t>
            </w:r>
          </w:p>
        </w:tc>
        <w:tc>
          <w:tcPr>
            <w:tcW w:type="dxa" w:w="1805"/>
            <w:shd w:fill="003366"/>
          </w:tcPr>
          <w:p>
            <w:r>
              <w:rPr>
                <w:b/>
                <w:color w:val="FFFFFF"/>
                <w:sz w:val="20"/>
              </w:rPr>
            </w:r>
            <w:r>
              <w:rPr>
                <w:b/>
                <w:color w:val="FFFFFF"/>
                <w:sz w:val="20"/>
              </w:rPr>
              <w:t>Scope</w:t>
            </w:r>
          </w:p>
        </w:tc>
        <w:tc>
          <w:tcPr>
            <w:tcW w:type="dxa" w:w="1805"/>
            <w:shd w:fill="003366"/>
          </w:tcPr>
          <w:p>
            <w:r>
              <w:rPr>
                <w:b/>
                <w:color w:val="FFFFFF"/>
                <w:sz w:val="20"/>
              </w:rPr>
            </w:r>
            <w:r>
              <w:rPr>
                <w:b/>
                <w:color w:val="FFFFFF"/>
                <w:sz w:val="20"/>
              </w:rPr>
              <w:t>Pictogramvorm</w:t>
            </w:r>
          </w:p>
        </w:tc>
        <w:tc>
          <w:tcPr>
            <w:tcW w:type="dxa" w:w="1805"/>
            <w:shd w:fill="003366"/>
          </w:tcPr>
          <w:p>
            <w:r>
              <w:rPr>
                <w:b/>
                <w:color w:val="FFFFFF"/>
                <w:sz w:val="20"/>
              </w:rPr>
            </w:r>
            <w:r>
              <w:rPr>
                <w:b/>
                <w:color w:val="FFFFFF"/>
                <w:sz w:val="20"/>
              </w:rPr>
              <w:t>Codering</w:t>
            </w:r>
          </w:p>
        </w:tc>
        <w:tc>
          <w:tcPr>
            <w:tcW w:type="dxa" w:w="1805"/>
            <w:shd w:fill="003366"/>
          </w:tcPr>
          <w:p>
            <w:r>
              <w:rPr>
                <w:b/>
                <w:color w:val="FFFFFF"/>
                <w:sz w:val="20"/>
              </w:rPr>
            </w:r>
            <w:r>
              <w:rPr>
                <w:b/>
                <w:color w:val="FFFFFF"/>
                <w:sz w:val="20"/>
              </w:rPr>
              <w:t>Regelgeving</w:t>
            </w:r>
          </w:p>
        </w:tc>
      </w:tr>
      <w:tr>
        <w:tc>
          <w:tcPr>
            <w:tcW w:type="dxa" w:w="1805"/>
          </w:tcPr>
          <w:p>
            <w:r/>
            <w:r>
              <w:rPr>
                <w:sz w:val="18"/>
              </w:rPr>
              <w:t>CLP</w:t>
              <w:br/>
              <w:t>(EC 1272/2008)</w:t>
            </w:r>
          </w:p>
        </w:tc>
        <w:tc>
          <w:tcPr>
            <w:tcW w:type="dxa" w:w="1805"/>
          </w:tcPr>
          <w:p>
            <w:r/>
            <w:r>
              <w:rPr>
                <w:sz w:val="18"/>
              </w:rPr>
              <w:t>Werkplek &amp;</w:t>
              <w:br/>
              <w:t>consument</w:t>
            </w:r>
          </w:p>
        </w:tc>
        <w:tc>
          <w:tcPr>
            <w:tcW w:type="dxa" w:w="1805"/>
          </w:tcPr>
          <w:p>
            <w:r/>
            <w:r>
              <w:rPr>
                <w:sz w:val="18"/>
              </w:rPr>
              <w:t>Ruitvormig (diamant)</w:t>
              <w:br/>
              <w:t>wit + rode rand</w:t>
            </w:r>
          </w:p>
        </w:tc>
        <w:tc>
          <w:tcPr>
            <w:tcW w:type="dxa" w:w="1805"/>
          </w:tcPr>
          <w:p>
            <w:r/>
            <w:r>
              <w:rPr>
                <w:sz w:val="18"/>
              </w:rPr>
              <w:t>GHS01–GHS09</w:t>
              <w:br/>
              <w:t>H-zinnen / P-zinnen</w:t>
            </w:r>
          </w:p>
        </w:tc>
        <w:tc>
          <w:tcPr>
            <w:tcW w:type="dxa" w:w="1805"/>
          </w:tcPr>
          <w:p>
            <w:r/>
            <w:r>
              <w:rPr>
                <w:sz w:val="18"/>
              </w:rPr>
              <w:t>EU-verordening</w:t>
              <w:br/>
              <w:t>rechtstreeks werkend</w:t>
            </w:r>
          </w:p>
        </w:tc>
      </w:tr>
      <w:tr>
        <w:tc>
          <w:tcPr>
            <w:tcW w:type="dxa" w:w="1805"/>
            <w:shd w:fill="F8F9FA"/>
          </w:tcPr>
          <w:p>
            <w:r/>
            <w:r>
              <w:rPr>
                <w:sz w:val="18"/>
              </w:rPr>
              <w:t>ADR</w:t>
            </w:r>
          </w:p>
        </w:tc>
        <w:tc>
          <w:tcPr>
            <w:tcW w:type="dxa" w:w="1805"/>
            <w:shd w:fill="F8F9FA"/>
          </w:tcPr>
          <w:p>
            <w:r/>
            <w:r>
              <w:rPr>
                <w:sz w:val="18"/>
              </w:rPr>
              <w:t>Wegvervoer</w:t>
              <w:br/>
              <w:t>(internationaal)</w:t>
            </w:r>
          </w:p>
        </w:tc>
        <w:tc>
          <w:tcPr>
            <w:tcW w:type="dxa" w:w="1805"/>
            <w:shd w:fill="F8F9FA"/>
          </w:tcPr>
          <w:p>
            <w:r/>
            <w:r>
              <w:rPr>
                <w:sz w:val="18"/>
              </w:rPr>
              <w:t>Rechthoekig</w:t>
              <w:br/>
              <w:t>oranje achtergrond</w:t>
            </w:r>
          </w:p>
        </w:tc>
        <w:tc>
          <w:tcPr>
            <w:tcW w:type="dxa" w:w="1805"/>
            <w:shd w:fill="F8F9FA"/>
          </w:tcPr>
          <w:p>
            <w:r/>
            <w:r>
              <w:rPr>
                <w:sz w:val="18"/>
              </w:rPr>
              <w:t>ADR-klasse 1–9</w:t>
              <w:br/>
              <w:t>UN-nummers</w:t>
              <w:br/>
              <w:t>Kemler-code</w:t>
            </w:r>
          </w:p>
        </w:tc>
        <w:tc>
          <w:tcPr>
            <w:tcW w:type="dxa" w:w="1805"/>
            <w:shd w:fill="F8F9FA"/>
          </w:tcPr>
          <w:p>
            <w:r/>
            <w:r>
              <w:rPr>
                <w:sz w:val="18"/>
              </w:rPr>
              <w:t>Europees verdrag</w:t>
              <w:br/>
              <w:t>in nationale wet</w:t>
            </w:r>
          </w:p>
        </w:tc>
      </w:tr>
      <w:tr>
        <w:tc>
          <w:tcPr>
            <w:tcW w:type="dxa" w:w="1805"/>
          </w:tcPr>
          <w:p>
            <w:r/>
            <w:r>
              <w:rPr>
                <w:sz w:val="18"/>
              </w:rPr>
              <w:t>ADN</w:t>
            </w:r>
          </w:p>
        </w:tc>
        <w:tc>
          <w:tcPr>
            <w:tcW w:type="dxa" w:w="1805"/>
          </w:tcPr>
          <w:p>
            <w:r/>
            <w:r>
              <w:rPr>
                <w:sz w:val="18"/>
              </w:rPr>
              <w:t>Binnenvaart</w:t>
            </w:r>
          </w:p>
        </w:tc>
        <w:tc>
          <w:tcPr>
            <w:tcW w:type="dxa" w:w="1805"/>
          </w:tcPr>
          <w:p>
            <w:r/>
            <w:r>
              <w:rPr>
                <w:sz w:val="18"/>
              </w:rPr>
              <w:t>Oranje borden</w:t>
              <w:br/>
              <w:t>blauwe milieuborden</w:t>
            </w:r>
          </w:p>
        </w:tc>
        <w:tc>
          <w:tcPr>
            <w:tcW w:type="dxa" w:w="1805"/>
          </w:tcPr>
          <w:p>
            <w:r/>
            <w:r>
              <w:rPr>
                <w:sz w:val="18"/>
              </w:rPr>
              <w:t>ADR-klasse 1–9</w:t>
              <w:br/>
              <w:t>UN-nummers</w:t>
              <w:br/>
              <w:t>ADN-specifieke voorschriften</w:t>
            </w:r>
          </w:p>
        </w:tc>
        <w:tc>
          <w:tcPr>
            <w:tcW w:type="dxa" w:w="1805"/>
          </w:tcPr>
          <w:p>
            <w:r/>
            <w:r>
              <w:rPr>
                <w:sz w:val="18"/>
              </w:rPr>
              <w:t>Europees verdrag</w:t>
              <w:br/>
              <w:t>in nationale wet</w:t>
            </w:r>
          </w:p>
        </w:tc>
      </w:tr>
      <w:tr>
        <w:tc>
          <w:tcPr>
            <w:tcW w:type="dxa" w:w="1805"/>
            <w:shd w:fill="F8F9FA"/>
          </w:tcPr>
          <w:p>
            <w:r/>
            <w:r>
              <w:rPr>
                <w:sz w:val="18"/>
              </w:rPr>
              <w:t>IMDG Code</w:t>
            </w:r>
          </w:p>
        </w:tc>
        <w:tc>
          <w:tcPr>
            <w:tcW w:type="dxa" w:w="1805"/>
            <w:shd w:fill="F8F9FA"/>
          </w:tcPr>
          <w:p>
            <w:r/>
            <w:r>
              <w:rPr>
                <w:sz w:val="18"/>
              </w:rPr>
              <w:t>Zeevaart</w:t>
            </w:r>
          </w:p>
        </w:tc>
        <w:tc>
          <w:tcPr>
            <w:tcW w:type="dxa" w:w="1805"/>
            <w:shd w:fill="F8F9FA"/>
          </w:tcPr>
          <w:p>
            <w:r/>
            <w:r>
              <w:rPr>
                <w:sz w:val="18"/>
              </w:rPr>
              <w:t>Rechthoekig</w:t>
              <w:br/>
              <w:t>(kleur per klasse)</w:t>
            </w:r>
          </w:p>
        </w:tc>
        <w:tc>
          <w:tcPr>
            <w:tcW w:type="dxa" w:w="1805"/>
            <w:shd w:fill="F8F9FA"/>
          </w:tcPr>
          <w:p>
            <w:r/>
            <w:r>
              <w:rPr>
                <w:sz w:val="18"/>
              </w:rPr>
              <w:t>IMDG-klasse 1–9</w:t>
              <w:br/>
              <w:t>UN-nummers</w:t>
              <w:br/>
              <w:t>Marine pollutant</w:t>
            </w:r>
          </w:p>
        </w:tc>
        <w:tc>
          <w:tcPr>
            <w:tcW w:type="dxa" w:w="1805"/>
            <w:shd w:fill="F8F9FA"/>
          </w:tcPr>
          <w:p>
            <w:r/>
            <w:r>
              <w:rPr>
                <w:sz w:val="18"/>
              </w:rPr>
              <w:t>IMO-resolutie</w:t>
              <w:br/>
              <w:t>via nationaal recht</w:t>
            </w:r>
          </w:p>
        </w:tc>
      </w:tr>
      <w:tr>
        <w:tc>
          <w:tcPr>
            <w:tcW w:type="dxa" w:w="1805"/>
          </w:tcPr>
          <w:p>
            <w:r/>
            <w:r>
              <w:rPr>
                <w:sz w:val="18"/>
              </w:rPr>
              <w:t>IATA-DGR</w:t>
            </w:r>
          </w:p>
        </w:tc>
        <w:tc>
          <w:tcPr>
            <w:tcW w:type="dxa" w:w="1805"/>
          </w:tcPr>
          <w:p>
            <w:r/>
            <w:r>
              <w:rPr>
                <w:sz w:val="18"/>
              </w:rPr>
              <w:t>Luchtvaart</w:t>
            </w:r>
          </w:p>
        </w:tc>
        <w:tc>
          <w:tcPr>
            <w:tcW w:type="dxa" w:w="1805"/>
          </w:tcPr>
          <w:p>
            <w:r/>
            <w:r>
              <w:rPr>
                <w:sz w:val="18"/>
              </w:rPr>
              <w:t>Rechthoekig</w:t>
              <w:br/>
              <w:t>(kleur per klasse)</w:t>
            </w:r>
          </w:p>
        </w:tc>
        <w:tc>
          <w:tcPr>
            <w:tcW w:type="dxa" w:w="1805"/>
          </w:tcPr>
          <w:p>
            <w:r/>
            <w:r>
              <w:rPr>
                <w:sz w:val="18"/>
              </w:rPr>
              <w:t>IATA/ICAO-klasse</w:t>
              <w:br/>
              <w:t>UN-nummers</w:t>
              <w:br/>
              <w:t>PG I/II/III</w:t>
            </w:r>
          </w:p>
        </w:tc>
        <w:tc>
          <w:tcPr>
            <w:tcW w:type="dxa" w:w="1805"/>
          </w:tcPr>
          <w:p>
            <w:r/>
            <w:r>
              <w:rPr>
                <w:sz w:val="18"/>
              </w:rPr>
              <w:t>IATA-resolutie</w:t>
              <w:br/>
              <w:t>nationale wetgeving</w:t>
            </w:r>
          </w:p>
        </w:tc>
      </w:tr>
    </w:tbl>
    <w:p>
      <w:pPr>
        <w:pStyle w:val="Heading3"/>
      </w:pPr>
      <w:r>
        <w:rPr>
          <w:color w:val="003366"/>
        </w:rPr>
        <w:t>5.7.1 Voorbeeld: Phoenix Metals chemicaliënregister</w:t>
      </w:r>
    </w:p>
    <w:p>
      <w:r>
        <w:rPr>
          <w:b w:val="0"/>
          <w:i w:val="0"/>
          <w:color w:val="1F2937"/>
          <w:sz w:val="22"/>
        </w:rPr>
        <w:t>De chemicaliën in het Phoenix Metals register moeten onder zowel CLP als ADR worden geclassificeerd:</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Stof</w:t>
            </w:r>
          </w:p>
        </w:tc>
        <w:tc>
          <w:tcPr>
            <w:tcW w:type="dxa" w:w="1805"/>
            <w:shd w:fill="003366"/>
          </w:tcPr>
          <w:p>
            <w:r>
              <w:rPr>
                <w:b/>
                <w:color w:val="FFFFFF"/>
                <w:sz w:val="20"/>
              </w:rPr>
            </w:r>
            <w:r>
              <w:rPr>
                <w:b/>
                <w:color w:val="FFFFFF"/>
                <w:sz w:val="20"/>
              </w:rPr>
              <w:t>CLP Pictogram</w:t>
            </w:r>
          </w:p>
        </w:tc>
        <w:tc>
          <w:tcPr>
            <w:tcW w:type="dxa" w:w="1805"/>
            <w:shd w:fill="003366"/>
          </w:tcPr>
          <w:p>
            <w:r>
              <w:rPr>
                <w:b/>
                <w:color w:val="FFFFFF"/>
                <w:sz w:val="20"/>
              </w:rPr>
            </w:r>
            <w:r>
              <w:rPr>
                <w:b/>
                <w:color w:val="FFFFFF"/>
                <w:sz w:val="20"/>
              </w:rPr>
              <w:t>CLP H-zinnen</w:t>
            </w:r>
          </w:p>
        </w:tc>
        <w:tc>
          <w:tcPr>
            <w:tcW w:type="dxa" w:w="1805"/>
            <w:shd w:fill="003366"/>
          </w:tcPr>
          <w:p>
            <w:r>
              <w:rPr>
                <w:b/>
                <w:color w:val="FFFFFF"/>
                <w:sz w:val="20"/>
              </w:rPr>
            </w:r>
            <w:r>
              <w:rPr>
                <w:b/>
                <w:color w:val="FFFFFF"/>
                <w:sz w:val="20"/>
              </w:rPr>
              <w:t>ADR Klasse</w:t>
            </w:r>
          </w:p>
        </w:tc>
        <w:tc>
          <w:tcPr>
            <w:tcW w:type="dxa" w:w="1805"/>
            <w:shd w:fill="003366"/>
          </w:tcPr>
          <w:p>
            <w:r>
              <w:rPr>
                <w:b/>
                <w:color w:val="FFFFFF"/>
                <w:sz w:val="20"/>
              </w:rPr>
            </w:r>
            <w:r>
              <w:rPr>
                <w:b/>
                <w:color w:val="FFFFFF"/>
                <w:sz w:val="20"/>
              </w:rPr>
              <w:t>ADR PG</w:t>
            </w:r>
          </w:p>
        </w:tc>
      </w:tr>
      <w:tr>
        <w:tc>
          <w:tcPr>
            <w:tcW w:type="dxa" w:w="1805"/>
          </w:tcPr>
          <w:p>
            <w:r/>
            <w:r>
              <w:rPr>
                <w:sz w:val="18"/>
              </w:rPr>
              <w:t>NaOH 50%</w:t>
              <w:br/>
              <w:t>(Natriumhydroxide)</w:t>
            </w:r>
          </w:p>
        </w:tc>
        <w:tc>
          <w:tcPr>
            <w:tcW w:type="dxa" w:w="1805"/>
          </w:tcPr>
          <w:p>
            <w:r/>
            <w:r>
              <w:rPr>
                <w:sz w:val="18"/>
              </w:rPr>
              <w:t>GHS05</w:t>
              <w:br/>
              <w:t>(Corrosief)</w:t>
            </w:r>
          </w:p>
        </w:tc>
        <w:tc>
          <w:tcPr>
            <w:tcW w:type="dxa" w:w="1805"/>
          </w:tcPr>
          <w:p>
            <w:r/>
            <w:r>
              <w:rPr>
                <w:sz w:val="18"/>
              </w:rPr>
              <w:t>H314: Veroorzaakt ernstige</w:t>
              <w:br/>
              <w:t>brandwonden en oogletsel</w:t>
            </w:r>
          </w:p>
        </w:tc>
        <w:tc>
          <w:tcPr>
            <w:tcW w:type="dxa" w:w="1805"/>
          </w:tcPr>
          <w:p>
            <w:r/>
            <w:r>
              <w:rPr>
                <w:sz w:val="18"/>
              </w:rPr>
              <w:t>Klasse 8</w:t>
              <w:br/>
              <w:t>(Corrosief)</w:t>
            </w:r>
          </w:p>
        </w:tc>
        <w:tc>
          <w:tcPr>
            <w:tcW w:type="dxa" w:w="1805"/>
          </w:tcPr>
          <w:p>
            <w:r/>
            <w:r>
              <w:rPr>
                <w:sz w:val="18"/>
              </w:rPr>
              <w:t>II</w:t>
            </w:r>
          </w:p>
        </w:tc>
      </w:tr>
      <w:tr>
        <w:tc>
          <w:tcPr>
            <w:tcW w:type="dxa" w:w="1805"/>
            <w:shd w:fill="F8F9FA"/>
          </w:tcPr>
          <w:p>
            <w:r/>
            <w:r>
              <w:rPr>
                <w:sz w:val="18"/>
              </w:rPr>
              <w:t>H₂SO₄ 25/50/75%</w:t>
              <w:br/>
              <w:t>(Zwavelzuur)</w:t>
            </w:r>
          </w:p>
        </w:tc>
        <w:tc>
          <w:tcPr>
            <w:tcW w:type="dxa" w:w="1805"/>
            <w:shd w:fill="F8F9FA"/>
          </w:tcPr>
          <w:p>
            <w:r/>
            <w:r>
              <w:rPr>
                <w:sz w:val="18"/>
              </w:rPr>
              <w:t>GHS05</w:t>
              <w:br/>
              <w:t>(Corrosief)</w:t>
            </w:r>
          </w:p>
        </w:tc>
        <w:tc>
          <w:tcPr>
            <w:tcW w:type="dxa" w:w="1805"/>
            <w:shd w:fill="F8F9FA"/>
          </w:tcPr>
          <w:p>
            <w:r/>
            <w:r>
              <w:rPr>
                <w:sz w:val="18"/>
              </w:rPr>
              <w:t>H314: Veroorzaakt ernstige</w:t>
              <w:br/>
              <w:t>brandwonden en oogletsel</w:t>
              <w:br/>
              <w:t>H290: Kan corrosief zijn</w:t>
              <w:br/>
              <w:t>voor metalen</w:t>
            </w:r>
          </w:p>
        </w:tc>
        <w:tc>
          <w:tcPr>
            <w:tcW w:type="dxa" w:w="1805"/>
            <w:shd w:fill="F8F9FA"/>
          </w:tcPr>
          <w:p>
            <w:r/>
            <w:r>
              <w:rPr>
                <w:sz w:val="18"/>
              </w:rPr>
              <w:t>Klasse 8</w:t>
              <w:br/>
              <w:t>(Corrosief)</w:t>
            </w:r>
          </w:p>
        </w:tc>
        <w:tc>
          <w:tcPr>
            <w:tcW w:type="dxa" w:w="1805"/>
            <w:shd w:fill="F8F9FA"/>
          </w:tcPr>
          <w:p>
            <w:r/>
            <w:r>
              <w:rPr>
                <w:sz w:val="18"/>
              </w:rPr>
              <w:t>II</w:t>
            </w:r>
          </w:p>
        </w:tc>
      </w:tr>
      <w:tr>
        <w:tc>
          <w:tcPr>
            <w:tcW w:type="dxa" w:w="1805"/>
          </w:tcPr>
          <w:p>
            <w:r/>
            <w:r>
              <w:rPr>
                <w:sz w:val="18"/>
              </w:rPr>
              <w:t>Aceton</w:t>
              <w:br/>
              <w:t>(Industrieel)</w:t>
            </w:r>
          </w:p>
        </w:tc>
        <w:tc>
          <w:tcPr>
            <w:tcW w:type="dxa" w:w="1805"/>
          </w:tcPr>
          <w:p>
            <w:r/>
            <w:r>
              <w:rPr>
                <w:sz w:val="18"/>
              </w:rPr>
              <w:t>GHS02 + GHS07</w:t>
              <w:br/>
              <w:t>(Ontvlambaam +</w:t>
              <w:br/>
              <w:t>Gezondheidsgevaar)</w:t>
            </w:r>
          </w:p>
        </w:tc>
        <w:tc>
          <w:tcPr>
            <w:tcW w:type="dxa" w:w="1805"/>
          </w:tcPr>
          <w:p>
            <w:r/>
            <w:r>
              <w:rPr>
                <w:sz w:val="18"/>
              </w:rPr>
              <w:t>H225: Zeer ontvlambare</w:t>
              <w:br/>
              <w:t>vloeistof en damp</w:t>
              <w:br/>
              <w:t>H319: Ernstige oogirritatie</w:t>
              <w:br/>
              <w:t>H336: Kan slaperigheid of</w:t>
              <w:br/>
              <w:t>duizeligheid veroorzaken</w:t>
            </w:r>
          </w:p>
        </w:tc>
        <w:tc>
          <w:tcPr>
            <w:tcW w:type="dxa" w:w="1805"/>
          </w:tcPr>
          <w:p>
            <w:r/>
            <w:r>
              <w:rPr>
                <w:sz w:val="18"/>
              </w:rPr>
              <w:t>Klasse 3</w:t>
              <w:br/>
              <w:t>(Ontvlambare</w:t>
              <w:br/>
              <w:t>vloeistof)</w:t>
            </w:r>
          </w:p>
        </w:tc>
        <w:tc>
          <w:tcPr>
            <w:tcW w:type="dxa" w:w="1805"/>
          </w:tcPr>
          <w:p>
            <w:r/>
            <w:r>
              <w:rPr>
                <w:sz w:val="18"/>
              </w:rPr>
              <w:t>II</w:t>
            </w:r>
          </w:p>
        </w:tc>
      </w:tr>
      <w:tr>
        <w:tc>
          <w:tcPr>
            <w:tcW w:type="dxa" w:w="1805"/>
            <w:shd w:fill="F8F9FA"/>
          </w:tcPr>
          <w:p>
            <w:r/>
            <w:r>
              <w:rPr>
                <w:sz w:val="18"/>
              </w:rPr>
              <w:t>Diesel</w:t>
              <w:br/>
              <w:t>(Brandstof)</w:t>
            </w:r>
          </w:p>
        </w:tc>
        <w:tc>
          <w:tcPr>
            <w:tcW w:type="dxa" w:w="1805"/>
            <w:shd w:fill="F8F9FA"/>
          </w:tcPr>
          <w:p>
            <w:r/>
            <w:r>
              <w:rPr>
                <w:sz w:val="18"/>
              </w:rPr>
              <w:t>GHS02 + GHS07</w:t>
              <w:br/>
              <w:t>+ GHS08</w:t>
            </w:r>
          </w:p>
        </w:tc>
        <w:tc>
          <w:tcPr>
            <w:tcW w:type="dxa" w:w="1805"/>
            <w:shd w:fill="F8F9FA"/>
          </w:tcPr>
          <w:p>
            <w:r/>
            <w:r>
              <w:rPr>
                <w:sz w:val="18"/>
              </w:rPr>
              <w:t>H226: Ontvlambare vloeistof</w:t>
              <w:br/>
              <w:t>en damp</w:t>
              <w:br/>
              <w:t>H304: Kan bij inslikken en</w:t>
              <w:br/>
              <w:t>toedringing in luchtwegen</w:t>
              <w:br/>
              <w:t>lethaal zijn</w:t>
              <w:br/>
              <w:t>H411: Giftig voor in het water</w:t>
              <w:br/>
              <w:t>levende organismen</w:t>
            </w:r>
          </w:p>
        </w:tc>
        <w:tc>
          <w:tcPr>
            <w:tcW w:type="dxa" w:w="1805"/>
            <w:shd w:fill="F8F9FA"/>
          </w:tcPr>
          <w:p>
            <w:r/>
            <w:r>
              <w:rPr>
                <w:sz w:val="18"/>
              </w:rPr>
              <w:t>Klasse 3</w:t>
              <w:br/>
              <w:t>(Ontvlambare</w:t>
              <w:br/>
              <w:t>vloeistof)</w:t>
            </w:r>
          </w:p>
        </w:tc>
        <w:tc>
          <w:tcPr>
            <w:tcW w:type="dxa" w:w="1805"/>
            <w:shd w:fill="F8F9FA"/>
          </w:tcPr>
          <w:p>
            <w:r/>
            <w:r>
              <w:rPr>
                <w:sz w:val="18"/>
              </w:rPr>
              <w:t>III</w:t>
            </w:r>
          </w:p>
        </w:tc>
      </w:tr>
    </w:tbl>
    <w:p>
      <w:r>
        <w:rPr>
          <w:b w:val="0"/>
          <w:i w:val="0"/>
          <w:color w:val="1F2937"/>
          <w:sz w:val="22"/>
        </w:rPr>
        <w:t>Belangrijk: een stof kan onder CLP en onder ADR een andere classificatie krijgen. Bijvoorbeeld: een stof die onder CLP als "ontvlambaar" (GHS02) is geclassificeerd, valt mogelijk niet onder ADR-klasse 3 bij transport in kleine hoeveelheden (&lt; 1000 ml voor verpakking in groep III). Omgekeerd kan een stof onder ADR een specifieke transportklasse hebben zonder dat deze onder CLP als gevaarlijk wordt geclassificeerd voor werkplekgebruik.</w:t>
      </w:r>
    </w:p>
    <w:p>
      <w:r>
        <w:rPr>
          <w:b w:val="0"/>
          <w:i/>
          <w:color w:val="1F2937"/>
          <w:sz w:val="22"/>
        </w:rPr>
        <w:t>Let op: bij revisie van veiligheidsinformatiebladen (SDS) moet worden gecontroleerd of deze het CLP-systeem hanteren. SDS'en met R/S-zinnen zijn verouderd en niet conform de huidige wetgeving.</w:t>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pPr>
      <w:r>
        <w:rPr>
          <w:color w:val="1F2937"/>
          <w:sz w:val="22"/>
        </w:rPr>
        <w:t>Persistent, mobiel en toxisch (PMT) en zeer persistent en zeer mobiel (vPvM): nieuwe gevaarsklassen met categorie 1 — stoffen die zich via waterwegen kunnen verspreiden en persistent zijn in het milieu.</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Bijlage VII + aanvullend; geen CSR verplicht, wel richtlijnen voor veilig gebruik</w:t>
            </w:r>
          </w:p>
        </w:tc>
      </w:tr>
      <w:tr>
        <w:tc>
          <w:tcPr>
            <w:tcW w:type="dxa" w:w="4513"/>
          </w:tcPr>
          <w:p>
            <w:r>
              <w:rPr>
                <w:sz w:val="20"/>
              </w:rPr>
              <w:t>Kostenindicatie</w:t>
            </w:r>
          </w:p>
        </w:tc>
        <w:tc>
          <w:tcPr>
            <w:tcW w:type="dxa" w:w="4513"/>
          </w:tcPr>
          <w:p>
            <w:r>
              <w:rPr>
                <w:sz w:val="20"/>
              </w:rPr>
              <w:t>€25.000 — €80.000 per stof (afhankelijk van bestaande data)</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met volledige CSA en CSR</w:t>
            </w:r>
          </w:p>
        </w:tc>
      </w:tr>
      <w:tr>
        <w:tc>
          <w:tcPr>
            <w:tcW w:type="dxa" w:w="4513"/>
          </w:tcPr>
          <w:p>
            <w:r>
              <w:rPr>
                <w:sz w:val="20"/>
              </w:rPr>
              <w:t>Informatie-eisen</w:t>
            </w:r>
          </w:p>
        </w:tc>
        <w:tc>
          <w:tcPr>
            <w:tcW w:type="dxa" w:w="4513"/>
          </w:tcPr>
          <w:p>
            <w:r>
              <w:rPr>
                <w:sz w:val="20"/>
              </w:rPr>
              <w:t>Bijlage VII + VIII + IX (+ X bij ≥ 100 ton); CSR met blootstellingsscenario's verplicht</w:t>
            </w:r>
          </w:p>
        </w:tc>
      </w:tr>
      <w:tr>
        <w:tc>
          <w:tcPr>
            <w:tcW w:type="dxa" w:w="4513"/>
          </w:tcPr>
          <w:p>
            <w:r>
              <w:rPr>
                <w:sz w:val="20"/>
              </w:rPr>
              <w:t>Kostenindicatie</w:t>
            </w:r>
          </w:p>
        </w:tc>
        <w:tc>
          <w:tcPr>
            <w:tcW w:type="dxa" w:w="4513"/>
          </w:tcPr>
          <w:p>
            <w:r>
              <w:rPr>
                <w:sz w:val="20"/>
              </w:rPr>
              <w:t>€80.000 — €250.000+ per stof</w:t>
            </w:r>
          </w:p>
        </w:tc>
      </w:tr>
      <w:tr>
        <w:tc>
          <w:tcPr>
            <w:tcW w:type="dxa" w:w="4513"/>
          </w:tcPr>
          <w:p>
            <w:r>
              <w:rPr>
                <w:sz w:val="20"/>
              </w:rPr>
              <w:t>Stappen</w:t>
            </w:r>
          </w:p>
        </w:tc>
        <w:tc>
          <w:tcPr>
            <w:tcW w:type="dxa" w:w="4513"/>
          </w:tcPr>
          <w:p>
            <w:r>
              <w:rPr>
                <w:sz w:val="20"/>
              </w:rPr>
              <w:t>Volledig traject inclusief toxicologische studies, risicobeoordeling, eSDS</w:t>
            </w:r>
          </w:p>
        </w:tc>
      </w:tr>
      <w:tr>
        <w:tc>
          <w:tcPr>
            <w:tcW w:type="dxa" w:w="4513"/>
          </w:tcPr>
          <w:p>
            <w:r>
              <w:rPr>
                <w:sz w:val="20"/>
              </w:rPr>
              <w:t>Risico's</w:t>
            </w:r>
          </w:p>
        </w:tc>
        <w:tc>
          <w:tcPr>
            <w:tcW w:type="dxa" w:w="4513"/>
          </w:tcPr>
          <w:p>
            <w:r>
              <w:rPr>
                <w:sz w:val="20"/>
              </w:rPr>
              <w:t>Hoog — complex dossier, mogelijk aanvullende tests nodig, lange doorlooptijd</w:t>
            </w:r>
          </w:p>
        </w:tc>
      </w:tr>
      <w:tr>
        <w:tc>
          <w:tcPr>
            <w:tcW w:type="dxa" w:w="4513"/>
          </w:tcPr>
          <w:p>
            <w:r>
              <w:rPr>
                <w:sz w:val="20"/>
              </w:rPr>
              <w:t>Aanbeveling</w:t>
            </w:r>
          </w:p>
        </w:tc>
        <w:tc>
          <w:tcPr>
            <w:tcW w:type="dxa" w:w="4513"/>
          </w:tcPr>
          <w:p>
            <w:r>
              <w:rPr>
                <w:sz w:val="20"/>
              </w:rPr>
              <w:t>Consortium is essentieel; overweeg OR voor niet-EU-leveranciers; externe expertise inschakelen</w:t>
            </w:r>
          </w:p>
        </w:tc>
      </w:tr>
    </w:tbl>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r>
        <w:rPr>
          <w:color w:val="1F2937"/>
          <w:sz w:val="22"/>
        </w:rPr>
        <w:t>De 15e aanpassing aan de technische vooruitgang (ATP 15) van CLP introduceert nieuwe gevaarsklassen en wijzigt bestaande criteria. Deze wijzigingen zijn in werking getreden via Verordening (EU) 2023/707:</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p>
      <w:pPr>
        <w:pStyle w:val="Heading2"/>
      </w:pPr>
      <w:r>
        <w:t>18.4 Referenties en nuttige links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v1.2</dc:title>
  <dc:subject>Feitelijke correctie tonnageband-tabel</dc:subject>
  <dc:creator>HQ_04 Technical Writer via Kas</dc:creator>
  <cp:keywords>REACH; kennisdossier; Phoenix Metals; v1.2</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