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t>Project Audit Rapport — REACH Kennisdossier</w:t>
      </w:r>
    </w:p>
    <w:p>
      <w:r>
        <w:rPr>
          <w:b/>
          <w:sz w:val="22"/>
        </w:rPr>
        <w:t>Datum:</w:t>
      </w:r>
      <w:r>
        <w:t xml:space="preserve"> 2026-04-24</w:t>
      </w:r>
    </w:p>
    <w:p>
      <w:r>
        <w:rPr>
          <w:b/>
          <w:sz w:val="22"/>
        </w:rPr>
        <w:t>Auditor:</w:t>
      </w:r>
      <w:r>
        <w:t xml:space="preserve"> Kas (Director of Operations)</w:t>
      </w:r>
    </w:p>
    <w:p>
      <w:r>
        <w:rPr>
          <w:b/>
          <w:sz w:val="22"/>
        </w:rPr>
        <w:t>Project:</w:t>
      </w:r>
      <w:r>
        <w:t xml:space="preserve"> /root/projects/jg/2026-consult-REACH-kennisdossier/</w:t>
      </w:r>
    </w:p>
    <w:p>
      <w:r>
        <w:rPr>
          <w:b/>
          <w:sz w:val="22"/>
        </w:rPr>
        <w:t>Deliverables getoetst:</w:t>
      </w:r>
      <w:r>
        <w:t xml:space="preserve"> 5 bestanden (v2.1)</w:t>
      </w:r>
    </w:p>
    <w:p>
      <w:r>
        <w:rPr>
          <w:b/>
          <w:sz w:val="22"/>
        </w:rPr>
        <w:t>Audit-versie:</w:t>
      </w:r>
      <w:r>
        <w:t xml:space="preserve"> v1.0</w:t>
      </w:r>
    </w:p>
    <w:p/>
    <w:p>
      <w:pPr>
        <w:pStyle w:val="Heading2"/>
      </w:pPr>
      <w:r>
        <w:t>A. SOP Compliance (MASTER_SOP §18.2A)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  <w:shd w:fill="003366"/>
          </w:tcPr>
          <w:p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5669"/>
            <w:shd w:fill="003366"/>
          </w:tcPr>
          <w:p>
            <w:r>
              <w:rPr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Fase 0-4 gevolgd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Alle fases doorlopen: briefing, research, productie, QC, iteratie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Bron-injectie (/research/)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53 bestanden in /research/, sources.md aangemaakt met controleset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Feiten-regel (§11.10-11)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Sub-agents gewerkt uitsluitend met brondocumenten uit /research/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TierVerify (§17)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⚠️ WARNING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TierVerify uit deliverables verwijderd, MAAR restanten gevonden in DOCX (1x) en PPTX (2x slides) — zie details hieronder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Versienummering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v1.0 → v2.0 → v2.1, correct gearchiveerd</w:t>
            </w:r>
          </w:p>
        </w:tc>
      </w:tr>
    </w:tbl>
    <w:p/>
    <w:p>
      <w:pPr>
        <w:pStyle w:val="Heading2"/>
      </w:pPr>
      <w:r>
        <w:t>B. Styleguide Compliance (MASTER_STYLEGUIDE §18.2B)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  <w:shd w:fill="003366"/>
          </w:tcPr>
          <w:p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5669"/>
            <w:shd w:fill="003366"/>
          </w:tcPr>
          <w:p>
            <w:r>
              <w:rPr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Branding (JvG)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DOCX: #003366 (24x), Calibri (412x) · PPTX: #003366 in slide1 · HTML: CSS vars --primary:#003366, JvG logo inline base64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Bronverwijzingen (§1.8)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DOCX: [1]-[14] · HTML eLearning: [1]-[14] · Quiz: [1]-[14] · PPTX: bronverwijzingen op slides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Format correct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DOCX (257KB), PPTX (382KB), HTML eLearning (224KB), HTML Quiz (68KB), Quiz JSON (9KB)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Geen AI-clichés (§4.3)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Geen "Great question!", "In conclusion", "It is important to note" of soortgelijke clichés aangetroffen</w:t>
            </w:r>
          </w:p>
        </w:tc>
      </w:tr>
    </w:tbl>
    <w:p/>
    <w:p>
      <w:pPr>
        <w:pStyle w:val="Heading2"/>
      </w:pPr>
      <w:r>
        <w:t>C. Bron-Consistentie (MASTER_SOP §18.2C)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  <w:shd w:fill="003366"/>
          </w:tcPr>
          <w:p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5669"/>
            <w:shd w:fill="003366"/>
          </w:tcPr>
          <w:p>
            <w:r>
              <w:rPr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Controleset feiten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DOCX: 5/5 ✅ (Annex VII: 26x, VIII: 2x, IX: 2x, X: 4x, CSR: 19x) · HTML eLearning: 5/5 ✅ · HTML Quiz: 5/5 ✅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Cross-deliverable consistentie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Tonnagebands consistent: &lt;1t, 1-10t (Annex VII), 10-100t (Annex VII+VIII), 100-1000t (Annex VII-IX), &gt;1000t (Annex VII-X)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Kosten/drempels consistent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Kosten consistent met reach_scanner_data.json: €15K-€50K (1-10t), €50K-€150K (10-100t), €150K-€500K (100-1000t), €500K+ (&gt;1000t)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PPTX Controleset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⚠️ WARNING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PPTX: Annex refs aanwezig in slides 4,7-11,15,17,19-22 — QC-script kon XML niet parsen maar inhoud bevestigd via grep</w:t>
            </w:r>
          </w:p>
        </w:tc>
      </w:tr>
    </w:tbl>
    <w:p/>
    <w:p>
      <w:pPr>
        <w:pStyle w:val="Heading2"/>
      </w:pPr>
      <w:r>
        <w:t>D. Compleetheid (MASTER_SOP §18.2D)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  <w:shd w:fill="003366"/>
          </w:tcPr>
          <w:p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5669"/>
            <w:shd w:fill="003366"/>
          </w:tcPr>
          <w:p>
            <w:r>
              <w:rPr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Deliverables Matrix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5/5 bestanden: DOCX, PPTX, HTML eLearning, HTML Quiz, Quiz JSON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Fysiek op disk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Alle bestanden geverifieerd: docx/257KB, pptx/382KB, html/224KB+68KB+9KB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Changelog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logs/changelog.md bijgewerkt met v2.0 en v2.1 entries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b/>
                <w:sz w:val="20"/>
              </w:rPr>
              <w:t>Archivering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sz w:val="20"/>
              </w:rPr>
              <w:t>v2.0 bestanden bewaard naast v2.1 in deliverables/</w:t>
            </w:r>
          </w:p>
        </w:tc>
      </w:tr>
    </w:tbl>
    <w:p/>
    <w:p>
      <w:pPr>
        <w:pStyle w:val="Heading2"/>
      </w:pPr>
      <w:r>
        <w:t>E. TierVerify Detailrapport</w:t>
      </w:r>
    </w:p>
    <w:p>
      <w:r>
        <w:rPr>
          <w:b/>
        </w:rPr>
        <w:t xml:space="preserve">Bevinding: </w:t>
      </w:r>
      <w:r>
        <w:t>TierVerify materiaal is deels verwijderd uit deliverables maar restanten zijn aangetroffen:</w:t>
      </w:r>
    </w:p>
    <w:p>
      <w:pPr>
        <w:pStyle w:val="ListBullet"/>
      </w:pPr>
      <w:r>
        <w:t>DOCX (REACH_Kennisdossier_v2.1.docx): "TierVerify Log" sectie aanwezig met datum 24 april 2026 — bevat TierVerify header en notatie. Dit materiaal hoort niet in het kennisdossier maar in een apart audit rapport.</w:t>
      </w:r>
    </w:p>
    <w:p>
      <w:pPr>
        <w:pStyle w:val="ListBullet"/>
      </w:pPr>
      <w:r>
        <w:t>PPTX (REACH_Presentatie_v2.1.pptx): Slide 2 bevat "11. TierVerify — Bronverificatie" als inhoudsopgave-item. Mogelijk is de bijbehorende slide verwijderd maar de inhoudsopgave niet bijgewerkt. Slide 25 bevat eveneens een TierVerify referentie.</w:t>
      </w:r>
    </w:p>
    <w:p>
      <w:pPr>
        <w:pStyle w:val="ListBullet"/>
      </w:pPr>
      <w:r>
        <w:t>HTML (eLearning + Quiz): Geen TierVerify restanten aangetroffen ✅</w:t>
      </w:r>
    </w:p>
    <w:p/>
    <w:p>
      <w:pPr>
        <w:pStyle w:val="Heading2"/>
      </w:pPr>
      <w:r>
        <w:t>Eindbeoordeling</w:t>
      </w:r>
    </w:p>
    <w:p>
      <w:r>
        <w:rPr>
          <w:b/>
        </w:rPr>
        <w:t xml:space="preserve">Status: </w:t>
      </w:r>
      <w:r>
        <w:rPr>
          <w:b/>
          <w:color w:val="F59E0B"/>
          <w:sz w:val="28"/>
        </w:rPr>
        <w:t>⚠️ WARNING</w:t>
      </w:r>
    </w:p>
    <w:p/>
    <w:p>
      <w:r>
        <w:rPr>
          <w:b/>
        </w:rPr>
        <w:t xml:space="preserve">Samenvatting: </w:t>
      </w:r>
      <w:r>
        <w:t>Het REACH Kennisdossier v2.1 is inhoudelijk correct, feitelijk accuraat en visueel conform de MASTER_STYLEGUIDE. Alle 5 controleset-feiten zijn aanwezig in DOCX en HTML. Kosten en tonnagebands zijn consistent met reach_scanner_data.json. Branding (JvG Consultancy, #003366, Calibri/Segoe UI) is correct toegepast over alle deliverables.</w:t>
      </w:r>
    </w:p>
    <w:p/>
    <w:p>
      <w:r>
        <w:rPr>
          <w:b/>
        </w:rPr>
        <w:t>Actiepunten voor PASS-status:</w:t>
      </w:r>
    </w:p>
    <w:p>
      <w:pPr>
        <w:pStyle w:val="ListNumber"/>
      </w:pPr>
      <w:r>
        <w:t>1. Verwijder de "TierVerify Log" sectie uit de DOCX — dit is een intern QC-instrument, geen onderdeel van het klant-kennisdossier.</w:t>
      </w:r>
    </w:p>
    <w:p>
      <w:pPr>
        <w:pStyle w:val="ListNumber"/>
      </w:pPr>
      <w:r>
        <w:t>2. Verwijder "11. TierVerify — Bronverificatie" uit de inhoudsopgave van de PPTX en verwijder/verberg slide 25 als deze TierVerify content bevat.</w:t>
      </w:r>
    </w:p>
    <w:p>
      <w:pPr>
        <w:pStyle w:val="ListNumber"/>
      </w:pPr>
      <w:r>
        <w:t>3. Optioneel: Actualiseer bron-injectie teller (taakbeschrijving vermeldt 42 bestanden, werkelijk 53 bestanden in /research/).</w:t>
      </w:r>
    </w:p>
    <w:p/>
    <w:p>
      <w:pPr>
        <w:pStyle w:val="Heading2"/>
      </w:pPr>
      <w:r>
        <w:t>Bijlage: Controleset Detail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1728"/>
            <w:shd w:fill="003366"/>
          </w:tcPr>
          <w:p>
            <w:r>
              <w:rPr>
                <w:b/>
                <w:color w:val="FFFFFF"/>
                <w:sz w:val="20"/>
              </w:rPr>
              <w:t>Feit</w:t>
            </w:r>
          </w:p>
        </w:tc>
        <w:tc>
          <w:tcPr>
            <w:tcW w:type="dxa" w:w="1728"/>
            <w:shd w:fill="003366"/>
          </w:tcPr>
          <w:p>
            <w:r>
              <w:rPr>
                <w:b/>
                <w:color w:val="FFFFFF"/>
                <w:sz w:val="20"/>
              </w:rPr>
              <w:t>DOCX</w:t>
            </w:r>
          </w:p>
        </w:tc>
        <w:tc>
          <w:tcPr>
            <w:tcW w:type="dxa" w:w="1728"/>
            <w:shd w:fill="003366"/>
          </w:tcPr>
          <w:p>
            <w:r>
              <w:rPr>
                <w:b/>
                <w:color w:val="FFFFFF"/>
                <w:sz w:val="20"/>
              </w:rPr>
              <w:t>HTML</w:t>
            </w:r>
          </w:p>
        </w:tc>
        <w:tc>
          <w:tcPr>
            <w:tcW w:type="dxa" w:w="1728"/>
            <w:shd w:fill="003366"/>
          </w:tcPr>
          <w:p>
            <w:r>
              <w:rPr>
                <w:b/>
                <w:color w:val="FFFFFF"/>
                <w:sz w:val="20"/>
              </w:rPr>
              <w:t>PPTX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20"/>
              </w:rPr>
              <w:t>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Annex VII: ≥ 1 ton/jaar (Art. 12(1))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20"/>
              </w:rPr>
              <w:t>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Annex VIII: ≥ 10 ton/jaar (Art. 12(2))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20"/>
              </w:rPr>
              <w:t>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Annex IX: ≥ 100 ton/jaar (Art. 12(3))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20"/>
              </w:rPr>
              <w:t>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Annex X: ≥ 1.000 ton/jaar (Art. 12(4))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20"/>
              </w:rPr>
              <w:t>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CSR verplicht: ≥ 10 ton/jaar (Art. 14(1))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sz w:val="20"/>
              </w:rPr>
              <w:t>✅</w:t>
            </w:r>
          </w:p>
        </w:tc>
      </w:tr>
    </w:tbl>
    <w:p/>
    <w:p>
      <w:r>
        <w:rPr>
          <w:i/>
          <w:color w:val="374151"/>
        </w:rPr>
        <w:t>— Einde Audit Rapport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