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t>v1.6</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(bij &gt;= 100 ton/jaar): EUR 150.000 - EUR 500.000+; bij &gt;= 1.000 ton/jaar: EUR 500.000 - EUR 2.000.000+.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Stoffen &lt; 1 ton/jaar vallen buiten de REACH-registratieplicht, maar zijn wel onderworpen aan SDS-plicht bij gevaarlijke stoffen en de CLP-verordening. REACH kent vijf tonnagebands met oplopende informatie-eisen:</w:t>
      </w:r>
    </w:p>
    <w:tbl>
      <w:tblPr>
        <w:tblStyle w:val="LightGrid-Accent1"/>
        <w:tblW w:type="auto" w:w="0"/>
        <w:jc w:val="center"/>
        <w:tblLook w:firstColumn="1" w:firstRow="1" w:lastColumn="0" w:lastRow="0" w:noHBand="0" w:noVBand="1" w:val="04A0"/>
      </w:tblPr>
      <w:tblGrid>
        <w:gridCol w:w="2000"/>
        <w:gridCol w:w="2000"/>
        <w:gridCol w:w="2000"/>
        <w:gridCol w:w="2000"/>
        <w:gridCol w:w="2000"/>
      </w:tblGrid>
      <w:tr>
        <w:tc>
          <w:p>
            <w:r>
              <w:rPr>
                <w:b/>
                <w:sz w:val="20"/>
                <w:szCs w:val="20"/>
              </w:rPr>
              <w:t xml:space="preserve">Tonnageband</w:t>
            </w:r>
          </w:p>
        </w:tc>
        <w:tc>
          <w:p>
            <w:r>
              <w:rPr>
                <w:b/>
                <w:sz w:val="20"/>
                <w:szCs w:val="20"/>
              </w:rPr>
              <w:t xml:space="preserve">Registratie</w:t>
            </w:r>
          </w:p>
        </w:tc>
        <w:tc>
          <w:p>
            <w:r>
              <w:rPr>
                <w:b/>
                <w:sz w:val="20"/>
                <w:szCs w:val="20"/>
              </w:rPr>
              <w:t xml:space="preserve">Annex / Tests</w:t>
            </w:r>
          </w:p>
        </w:tc>
        <w:tc>
          <w:p>
            <w:r>
              <w:rPr>
                <w:b/>
                <w:sz w:val="20"/>
                <w:szCs w:val="20"/>
              </w:rPr>
              <w:t xml:space="preserve">Kosten</w:t>
            </w:r>
          </w:p>
        </w:tc>
        <w:tc>
          <w:p>
            <w:r>
              <w:rPr>
                <w:b/>
                <w:sz w:val="20"/>
                <w:szCs w:val="20"/>
              </w:rPr>
              <w:t xml:space="preserve">Doorlooptijd</w:t>
            </w:r>
          </w:p>
        </w:tc>
      </w:tr>
      <w:tr>
        <w:tc>
          <w:p>
            <w:r>
              <w:t xml:space="preserve">&lt; 1 ton/jaar (&lt; 1.000 kg)</w:t>
            </w:r>
          </w:p>
        </w:tc>
        <w:tc>
          <w:p>
            <w:r>
              <w:t xml:space="preserve">NEE</w:t>
            </w:r>
          </w:p>
        </w:tc>
        <w:tc>
          <w:p>
            <w:r>
              <w:t xml:space="preserve">Geen registratie verplicht</w:t>
            </w:r>
          </w:p>
        </w:tc>
        <w:tc>
          <w:p>
            <w:r>
              <w:t xml:space="preserve">Geen kosten</w:t>
            </w:r>
          </w:p>
        </w:tc>
        <w:tc>
          <w:p>
            <w:r>
              <w:t xml:space="preserve">Niet van toepassing</w:t>
            </w:r>
          </w:p>
        </w:tc>
      </w:tr>
      <w:tr>
        <w:tc>
          <w:p>
            <w:r>
              <w:t xml:space="preserve">1-10 ton/jaar (1.000-10.000 kg)</w:t>
            </w:r>
          </w:p>
        </w:tc>
        <w:tc>
          <w:p>
            <w:r>
              <w:t xml:space="preserve">JA</w:t>
            </w:r>
          </w:p>
        </w:tc>
        <w:tc>
          <w:p>
            <w:r>
              <w:t xml:space="preserve">Annex VII (basisgegevens)</w:t>
            </w:r>
          </w:p>
        </w:tc>
        <w:tc>
          <w:p>
            <w:r>
              <w:t xml:space="preserve">EUR 15.000 - EUR 50.000</w:t>
            </w:r>
          </w:p>
        </w:tc>
        <w:tc>
          <w:p>
            <w:r>
              <w:t xml:space="preserve">6-12 maanden</w:t>
            </w:r>
          </w:p>
        </w:tc>
      </w:tr>
      <w:tr>
        <w:tc>
          <w:p>
            <w:r>
              <w:t xml:space="preserve">10-100 ton/jaar (10.000-100.000 kg)</w:t>
            </w:r>
          </w:p>
        </w:tc>
        <w:tc>
          <w:p>
            <w:r>
              <w:t xml:space="preserve">JA</w:t>
            </w:r>
          </w:p>
        </w:tc>
        <w:tc>
          <w:p>
            <w:r>
              <w:t xml:space="preserve">Annex VII + VIII</w:t>
            </w:r>
          </w:p>
        </w:tc>
        <w:tc>
          <w:p>
            <w:r>
              <w:t xml:space="preserve">EUR 50.000 - EUR 150.000</w:t>
            </w:r>
          </w:p>
        </w:tc>
        <w:tc>
          <w:p>
            <w:r>
              <w:t xml:space="preserve">12-18 maanden</w:t>
            </w:r>
          </w:p>
        </w:tc>
      </w:tr>
      <w:tr>
        <w:tc>
          <w:p>
            <w:r>
              <w:t xml:space="preserve">100-1.000 ton/jaar</w:t>
            </w:r>
          </w:p>
        </w:tc>
        <w:tc>
          <w:p>
            <w:r>
              <w:t xml:space="preserve">JA</w:t>
            </w:r>
          </w:p>
        </w:tc>
        <w:tc>
          <w:p>
            <w:r>
              <w:t xml:space="preserve">Annex VII + VIII + IX</w:t>
            </w:r>
          </w:p>
        </w:tc>
        <w:tc>
          <w:p>
            <w:r>
              <w:t xml:space="preserve">EUR 150.000 - EUR 500.000</w:t>
            </w:r>
          </w:p>
        </w:tc>
        <w:tc>
          <w:p>
            <w:r>
              <w:t xml:space="preserve">18-36 maanden</w:t>
            </w:r>
          </w:p>
        </w:tc>
      </w:tr>
      <w:tr>
        <w:tc>
          <w:p>
            <w:r>
              <w:t xml:space="preserve">&gt; 1.000 ton/jaar</w:t>
            </w:r>
          </w:p>
        </w:tc>
        <w:tc>
          <w:p>
            <w:r>
              <w:t xml:space="preserve">JA</w:t>
            </w:r>
          </w:p>
        </w:tc>
        <w:tc>
          <w:p>
            <w:r>
              <w:t xml:space="preserve">Annex VII + VIII + IX + X</w:t>
            </w:r>
          </w:p>
        </w:tc>
        <w:tc>
          <w:p>
            <w:r>
              <w:t xml:space="preserve">EUR 500.000 - EUR 2.000.000+</w:t>
            </w:r>
          </w:p>
        </w:tc>
        <w:tc>
          <w:p>
            <w:r>
              <w:t xml:space="preserve">24-48 maanden</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D9E2F3"/>
          </w:tcPr>
          <w:p>
            <w:r/>
            <w:r>
              <w:rPr>
                <w:b/>
                <w:sz w:val="18"/>
              </w:rPr>
              <w:t>Pictogram</w:t>
            </w:r>
          </w:p>
        </w:tc>
        <w:tc>
          <w:tcPr>
            <w:tcW w:type="dxa" w:w="1805"/>
            <w:shd w:fill="D9E2F3"/>
          </w:tcPr>
          <w:p>
            <w:r/>
            <w:r>
              <w:rPr>
                <w:b/>
                <w:sz w:val="18"/>
              </w:rPr>
              <w:t>Code</w:t>
            </w:r>
          </w:p>
        </w:tc>
        <w:tc>
          <w:tcPr>
            <w:tcW w:type="dxa" w:w="1805"/>
            <w:shd w:fill="D9E2F3"/>
          </w:tcPr>
          <w:p>
            <w:r/>
            <w:r>
              <w:rPr>
                <w:b/>
                <w:sz w:val="18"/>
              </w:rPr>
              <w:t>NL Naam (ECHA)</w:t>
            </w:r>
          </w:p>
        </w:tc>
        <w:tc>
          <w:tcPr>
            <w:tcW w:type="dxa" w:w="1805"/>
            <w:shd w:fill="D9E2F3"/>
          </w:tcPr>
          <w:p>
            <w:r/>
            <w:r>
              <w:rPr>
                <w:b/>
                <w:sz w:val="18"/>
              </w:rPr>
              <w:t>Omschrijving</w:t>
            </w:r>
          </w:p>
        </w:tc>
        <w:tc>
          <w:tcPr>
            <w:tcW w:type="dxa" w:w="1805"/>
            <w:shd w:fill="D9E2F3"/>
          </w:tcPr>
          <w:p>
            <w:r/>
            <w:r>
              <w:rPr>
                <w:b/>
                <w:sz w:val="18"/>
              </w:rPr>
              <w:t>Toepassing</w:t>
            </w:r>
          </w:p>
        </w:tc>
      </w:tr>
      <w:tr>
        <w:tc>
          <w:tcPr>
            <w:tcW w:type="dxa" w:w="1805"/>
          </w:tcPr>
          <w:p>
            <w:pPr>
              <w:jc w:val="center"/>
            </w:pPr>
            <w:r/>
            <w:r>
              <w:drawing>
                <wp:inline xmlns:a="http://schemas.openxmlformats.org/drawingml/2006/main" xmlns:pic="http://schemas.openxmlformats.org/drawingml/2006/picture">
                  <wp:extent cx="540000" cy="540000"/>
                  <wp:docPr id="2" name="Picture 2"/>
                  <wp:cNvGraphicFramePr>
                    <a:graphicFrameLocks noChangeAspect="1"/>
                  </wp:cNvGraphicFramePr>
                  <a:graphic>
                    <a:graphicData uri="http://schemas.openxmlformats.org/drawingml/2006/picture">
                      <pic:pic>
                        <pic:nvPicPr>
                          <pic:cNvPr id="0" name="GHS01.png"/>
                          <pic:cNvPicPr/>
                        </pic:nvPicPr>
                        <pic:blipFill>
                          <a:blip r:embed="rId21"/>
                          <a:stretch>
                            <a:fillRect/>
                          </a:stretch>
                        </pic:blipFill>
                        <pic:spPr>
                          <a:xfrm>
                            <a:off x="0" y="0"/>
                            <a:ext cx="540000" cy="540000"/>
                          </a:xfrm>
                          <a:prstGeom prst="rect"/>
                        </pic:spPr>
                      </pic:pic>
                    </a:graphicData>
                  </a:graphic>
                </wp:inline>
              </w:drawing>
            </w:r>
          </w:p>
        </w:tc>
        <w:tc>
          <w:tcPr>
            <w:tcW w:type="dxa" w:w="1805"/>
          </w:tcPr>
          <w:p>
            <w:r/>
            <w:r>
              <w:rPr>
                <w:b/>
                <w:sz w:val="18"/>
              </w:rPr>
              <w:t>GHS01</w:t>
            </w:r>
          </w:p>
        </w:tc>
        <w:tc>
          <w:tcPr>
            <w:tcW w:type="dxa" w:w="1805"/>
          </w:tcPr>
          <w:p>
            <w:r/>
            <w:r>
              <w:rPr>
                <w:sz w:val="18"/>
              </w:rPr>
              <w:t>Ontplofbaar</w:t>
            </w:r>
          </w:p>
        </w:tc>
        <w:tc>
          <w:tcPr>
            <w:tcW w:type="dxa" w:w="1805"/>
          </w:tcPr>
          <w:p>
            <w:r/>
            <w:r>
              <w:rPr>
                <w:sz w:val="18"/>
              </w:rPr>
              <w:t>Exploderende bom</w:t>
            </w:r>
          </w:p>
        </w:tc>
        <w:tc>
          <w:tcPr>
            <w:tcW w:type="dxa" w:w="1805"/>
          </w:tcPr>
          <w:p>
            <w:r/>
            <w:r>
              <w:rPr>
                <w:sz w:val="18"/>
              </w:rPr>
              <w:t>Explosieven, zelfreactieve stoffen, organische peroxiden</w:t>
            </w:r>
          </w:p>
        </w:tc>
      </w:tr>
      <w:tr>
        <w:tc>
          <w:tcPr>
            <w:tcW w:type="dxa" w:w="1805"/>
          </w:tcPr>
          <w:p>
            <w:pPr>
              <w:jc w:val="center"/>
            </w:pPr>
            <w:r/>
            <w:r>
              <w:drawing>
                <wp:inline xmlns:a="http://schemas.openxmlformats.org/drawingml/2006/main" xmlns:pic="http://schemas.openxmlformats.org/drawingml/2006/picture">
                  <wp:extent cx="540000" cy="540000"/>
                  <wp:docPr id="3" name="Picture 3"/>
                  <wp:cNvGraphicFramePr>
                    <a:graphicFrameLocks noChangeAspect="1"/>
                  </wp:cNvGraphicFramePr>
                  <a:graphic>
                    <a:graphicData uri="http://schemas.openxmlformats.org/drawingml/2006/picture">
                      <pic:pic>
                        <pic:nvPicPr>
                          <pic:cNvPr id="0" name="GHS02.png"/>
                          <pic:cNvPicPr/>
                        </pic:nvPicPr>
                        <pic:blipFill>
                          <a:blip r:embed="rId22"/>
                          <a:stretch>
                            <a:fillRect/>
                          </a:stretch>
                        </pic:blipFill>
                        <pic:spPr>
                          <a:xfrm>
                            <a:off x="0" y="0"/>
                            <a:ext cx="540000" cy="540000"/>
                          </a:xfrm>
                          <a:prstGeom prst="rect"/>
                        </pic:spPr>
                      </pic:pic>
                    </a:graphicData>
                  </a:graphic>
                </wp:inline>
              </w:drawing>
            </w:r>
          </w:p>
        </w:tc>
        <w:tc>
          <w:tcPr>
            <w:tcW w:type="dxa" w:w="1805"/>
          </w:tcPr>
          <w:p>
            <w:r/>
            <w:r>
              <w:rPr>
                <w:b/>
                <w:sz w:val="18"/>
              </w:rPr>
              <w:t>GHS02</w:t>
            </w:r>
          </w:p>
        </w:tc>
        <w:tc>
          <w:tcPr>
            <w:tcW w:type="dxa" w:w="1805"/>
          </w:tcPr>
          <w:p>
            <w:r/>
            <w:r>
              <w:rPr>
                <w:sz w:val="18"/>
              </w:rPr>
              <w:t>Ontvlambaar</w:t>
            </w:r>
          </w:p>
        </w:tc>
        <w:tc>
          <w:tcPr>
            <w:tcW w:type="dxa" w:w="1805"/>
          </w:tcPr>
          <w:p>
            <w:r/>
            <w:r>
              <w:rPr>
                <w:sz w:val="18"/>
              </w:rPr>
              <w:t>Vlam</w:t>
            </w:r>
          </w:p>
        </w:tc>
        <w:tc>
          <w:tcPr>
            <w:tcW w:type="dxa" w:w="1805"/>
          </w:tcPr>
          <w:p>
            <w:r/>
            <w:r>
              <w:rPr>
                <w:sz w:val="18"/>
              </w:rPr>
              <w:t>Ontvlambare gassen, vloeistoffen, aerosolen, stoffen</w:t>
            </w:r>
          </w:p>
        </w:tc>
      </w:tr>
      <w:tr>
        <w:tc>
          <w:tcPr>
            <w:tcW w:type="dxa" w:w="1805"/>
          </w:tcPr>
          <w:p>
            <w:pPr>
              <w:jc w:val="center"/>
            </w:pPr>
            <w:r/>
            <w:r>
              <w:drawing>
                <wp:inline xmlns:a="http://schemas.openxmlformats.org/drawingml/2006/main" xmlns:pic="http://schemas.openxmlformats.org/drawingml/2006/picture">
                  <wp:extent cx="540000" cy="540000"/>
                  <wp:docPr id="4" name="Picture 4"/>
                  <wp:cNvGraphicFramePr>
                    <a:graphicFrameLocks noChangeAspect="1"/>
                  </wp:cNvGraphicFramePr>
                  <a:graphic>
                    <a:graphicData uri="http://schemas.openxmlformats.org/drawingml/2006/picture">
                      <pic:pic>
                        <pic:nvPicPr>
                          <pic:cNvPr id="0" name="GHS03.png"/>
                          <pic:cNvPicPr/>
                        </pic:nvPicPr>
                        <pic:blipFill>
                          <a:blip r:embed="rId23"/>
                          <a:stretch>
                            <a:fillRect/>
                          </a:stretch>
                        </pic:blipFill>
                        <pic:spPr>
                          <a:xfrm>
                            <a:off x="0" y="0"/>
                            <a:ext cx="540000" cy="540000"/>
                          </a:xfrm>
                          <a:prstGeom prst="rect"/>
                        </pic:spPr>
                      </pic:pic>
                    </a:graphicData>
                  </a:graphic>
                </wp:inline>
              </w:drawing>
            </w:r>
          </w:p>
        </w:tc>
        <w:tc>
          <w:tcPr>
            <w:tcW w:type="dxa" w:w="1805"/>
          </w:tcPr>
          <w:p>
            <w:r/>
            <w:r>
              <w:rPr>
                <w:b/>
                <w:sz w:val="18"/>
              </w:rPr>
              <w:t>GHS03</w:t>
            </w:r>
          </w:p>
        </w:tc>
        <w:tc>
          <w:tcPr>
            <w:tcW w:type="dxa" w:w="1805"/>
          </w:tcPr>
          <w:p>
            <w:r/>
            <w:r>
              <w:rPr>
                <w:sz w:val="18"/>
              </w:rPr>
              <w:t>Oxiderend</w:t>
            </w:r>
          </w:p>
        </w:tc>
        <w:tc>
          <w:tcPr>
            <w:tcW w:type="dxa" w:w="1805"/>
          </w:tcPr>
          <w:p>
            <w:r/>
            <w:r>
              <w:rPr>
                <w:sz w:val="18"/>
              </w:rPr>
              <w:t>Vlam boven cirkel</w:t>
            </w:r>
          </w:p>
        </w:tc>
        <w:tc>
          <w:tcPr>
            <w:tcW w:type="dxa" w:w="1805"/>
          </w:tcPr>
          <w:p>
            <w:r/>
            <w:r>
              <w:rPr>
                <w:sz w:val="18"/>
              </w:rPr>
              <w:t>Oxiderende gassen, vloeistoffen en stoffen</w:t>
            </w:r>
          </w:p>
        </w:tc>
      </w:tr>
      <w:tr>
        <w:tc>
          <w:tcPr>
            <w:tcW w:type="dxa" w:w="1805"/>
          </w:tcPr>
          <w:p>
            <w:pPr>
              <w:jc w:val="center"/>
            </w:pPr>
            <w:r/>
            <w:r>
              <w:drawing>
                <wp:inline xmlns:a="http://schemas.openxmlformats.org/drawingml/2006/main" xmlns:pic="http://schemas.openxmlformats.org/drawingml/2006/picture">
                  <wp:extent cx="540000" cy="540000"/>
                  <wp:docPr id="5" name="Picture 5"/>
                  <wp:cNvGraphicFramePr>
                    <a:graphicFrameLocks noChangeAspect="1"/>
                  </wp:cNvGraphicFramePr>
                  <a:graphic>
                    <a:graphicData uri="http://schemas.openxmlformats.org/drawingml/2006/picture">
                      <pic:pic>
                        <pic:nvPicPr>
                          <pic:cNvPr id="0" name="GHS04.png"/>
                          <pic:cNvPicPr/>
                        </pic:nvPicPr>
                        <pic:blipFill>
                          <a:blip r:embed="rId24"/>
                          <a:stretch>
                            <a:fillRect/>
                          </a:stretch>
                        </pic:blipFill>
                        <pic:spPr>
                          <a:xfrm>
                            <a:off x="0" y="0"/>
                            <a:ext cx="540000" cy="540000"/>
                          </a:xfrm>
                          <a:prstGeom prst="rect"/>
                        </pic:spPr>
                      </pic:pic>
                    </a:graphicData>
                  </a:graphic>
                </wp:inline>
              </w:drawing>
            </w:r>
          </w:p>
        </w:tc>
        <w:tc>
          <w:tcPr>
            <w:tcW w:type="dxa" w:w="1805"/>
          </w:tcPr>
          <w:p>
            <w:r/>
            <w:r>
              <w:rPr>
                <w:b/>
                <w:sz w:val="18"/>
              </w:rPr>
              <w:t>GHS04</w:t>
            </w:r>
          </w:p>
        </w:tc>
        <w:tc>
          <w:tcPr>
            <w:tcW w:type="dxa" w:w="1805"/>
          </w:tcPr>
          <w:p>
            <w:r/>
            <w:r>
              <w:rPr>
                <w:sz w:val="18"/>
              </w:rPr>
              <w:t>Gassen onder druk</w:t>
            </w:r>
          </w:p>
        </w:tc>
        <w:tc>
          <w:tcPr>
            <w:tcW w:type="dxa" w:w="1805"/>
          </w:tcPr>
          <w:p>
            <w:r/>
            <w:r>
              <w:rPr>
                <w:sz w:val="18"/>
              </w:rPr>
              <w:t>Gascilinder</w:t>
            </w:r>
          </w:p>
        </w:tc>
        <w:tc>
          <w:tcPr>
            <w:tcW w:type="dxa" w:w="1805"/>
          </w:tcPr>
          <w:p>
            <w:r/>
            <w:r>
              <w:rPr>
                <w:sz w:val="18"/>
              </w:rPr>
              <w:t>Gassen onder druk, vloeibare gassen, koelgassen</w:t>
            </w:r>
          </w:p>
        </w:tc>
      </w:tr>
      <w:tr>
        <w:tc>
          <w:tcPr>
            <w:tcW w:type="dxa" w:w="1805"/>
          </w:tcPr>
          <w:p>
            <w:pPr>
              <w:jc w:val="center"/>
            </w:pPr>
            <w:r/>
            <w:r>
              <w:drawing>
                <wp:inline xmlns:a="http://schemas.openxmlformats.org/drawingml/2006/main" xmlns:pic="http://schemas.openxmlformats.org/drawingml/2006/picture">
                  <wp:extent cx="540000" cy="540000"/>
                  <wp:docPr id="6" name="Picture 6"/>
                  <wp:cNvGraphicFramePr>
                    <a:graphicFrameLocks noChangeAspect="1"/>
                  </wp:cNvGraphicFramePr>
                  <a:graphic>
                    <a:graphicData uri="http://schemas.openxmlformats.org/drawingml/2006/picture">
                      <pic:pic>
                        <pic:nvPicPr>
                          <pic:cNvPr id="0" name="GHS05.png"/>
                          <pic:cNvPicPr/>
                        </pic:nvPicPr>
                        <pic:blipFill>
                          <a:blip r:embed="rId25"/>
                          <a:stretch>
                            <a:fillRect/>
                          </a:stretch>
                        </pic:blipFill>
                        <pic:spPr>
                          <a:xfrm>
                            <a:off x="0" y="0"/>
                            <a:ext cx="540000" cy="540000"/>
                          </a:xfrm>
                          <a:prstGeom prst="rect"/>
                        </pic:spPr>
                      </pic:pic>
                    </a:graphicData>
                  </a:graphic>
                </wp:inline>
              </w:drawing>
            </w:r>
          </w:p>
        </w:tc>
        <w:tc>
          <w:tcPr>
            <w:tcW w:type="dxa" w:w="1805"/>
          </w:tcPr>
          <w:p>
            <w:r/>
            <w:r>
              <w:rPr>
                <w:b/>
                <w:sz w:val="18"/>
              </w:rPr>
              <w:t>GHS05</w:t>
            </w:r>
          </w:p>
        </w:tc>
        <w:tc>
          <w:tcPr>
            <w:tcW w:type="dxa" w:w="1805"/>
          </w:tcPr>
          <w:p>
            <w:r/>
            <w:r>
              <w:rPr>
                <w:sz w:val="18"/>
              </w:rPr>
              <w:t>Bijtend</w:t>
            </w:r>
          </w:p>
        </w:tc>
        <w:tc>
          <w:tcPr>
            <w:tcW w:type="dxa" w:w="1805"/>
          </w:tcPr>
          <w:p>
            <w:r/>
            <w:r>
              <w:rPr>
                <w:sz w:val="18"/>
              </w:rPr>
              <w:t>Corrosie</w:t>
            </w:r>
          </w:p>
        </w:tc>
        <w:tc>
          <w:tcPr>
            <w:tcW w:type="dxa" w:w="1805"/>
          </w:tcPr>
          <w:p>
            <w:r/>
            <w:r>
              <w:rPr>
                <w:sz w:val="18"/>
              </w:rPr>
              <w:t>Bijtende stoffen, huid- en oogbeschadiging, metaalcorrosie</w:t>
            </w:r>
          </w:p>
        </w:tc>
      </w:tr>
      <w:tr>
        <w:tc>
          <w:tcPr>
            <w:tcW w:type="dxa" w:w="1805"/>
          </w:tcPr>
          <w:p>
            <w:pPr>
              <w:jc w:val="center"/>
            </w:pPr>
            <w:r/>
            <w:r>
              <w:drawing>
                <wp:inline xmlns:a="http://schemas.openxmlformats.org/drawingml/2006/main" xmlns:pic="http://schemas.openxmlformats.org/drawingml/2006/picture">
                  <wp:extent cx="540000" cy="540000"/>
                  <wp:docPr id="7" name="Picture 7"/>
                  <wp:cNvGraphicFramePr>
                    <a:graphicFrameLocks noChangeAspect="1"/>
                  </wp:cNvGraphicFramePr>
                  <a:graphic>
                    <a:graphicData uri="http://schemas.openxmlformats.org/drawingml/2006/picture">
                      <pic:pic>
                        <pic:nvPicPr>
                          <pic:cNvPr id="0" name="GHS06.png"/>
                          <pic:cNvPicPr/>
                        </pic:nvPicPr>
                        <pic:blipFill>
                          <a:blip r:embed="rId26"/>
                          <a:stretch>
                            <a:fillRect/>
                          </a:stretch>
                        </pic:blipFill>
                        <pic:spPr>
                          <a:xfrm>
                            <a:off x="0" y="0"/>
                            <a:ext cx="540000" cy="540000"/>
                          </a:xfrm>
                          <a:prstGeom prst="rect"/>
                        </pic:spPr>
                      </pic:pic>
                    </a:graphicData>
                  </a:graphic>
                </wp:inline>
              </w:drawing>
            </w:r>
          </w:p>
        </w:tc>
        <w:tc>
          <w:tcPr>
            <w:tcW w:type="dxa" w:w="1805"/>
          </w:tcPr>
          <w:p>
            <w:r/>
            <w:r>
              <w:rPr>
                <w:b/>
                <w:sz w:val="18"/>
              </w:rPr>
              <w:t>GHS06</w:t>
            </w:r>
          </w:p>
        </w:tc>
        <w:tc>
          <w:tcPr>
            <w:tcW w:type="dxa" w:w="1805"/>
          </w:tcPr>
          <w:p>
            <w:r/>
            <w:r>
              <w:rPr>
                <w:sz w:val="18"/>
              </w:rPr>
              <w:t>Giftig</w:t>
            </w:r>
          </w:p>
        </w:tc>
        <w:tc>
          <w:tcPr>
            <w:tcW w:type="dxa" w:w="1805"/>
          </w:tcPr>
          <w:p>
            <w:r/>
            <w:r>
              <w:rPr>
                <w:sz w:val="18"/>
              </w:rPr>
              <w:t>Schedel en kruisbeenderen</w:t>
            </w:r>
          </w:p>
        </w:tc>
        <w:tc>
          <w:tcPr>
            <w:tcW w:type="dxa" w:w="1805"/>
          </w:tcPr>
          <w:p>
            <w:r/>
            <w:r>
              <w:rPr>
                <w:sz w:val="18"/>
              </w:rPr>
              <w:t>Acute toxiciteit (cat. 1-3), fatale of ernstige gezondheidseffecten</w:t>
            </w:r>
          </w:p>
        </w:tc>
      </w:tr>
      <w:tr>
        <w:tc>
          <w:tcPr>
            <w:tcW w:type="dxa" w:w="1805"/>
          </w:tcPr>
          <w:p>
            <w:pPr>
              <w:jc w:val="center"/>
            </w:pPr>
            <w:r/>
            <w:r>
              <w:drawing>
                <wp:inline xmlns:a="http://schemas.openxmlformats.org/drawingml/2006/main" xmlns:pic="http://schemas.openxmlformats.org/drawingml/2006/picture">
                  <wp:extent cx="540000" cy="540000"/>
                  <wp:docPr id="8" name="Picture 8"/>
                  <wp:cNvGraphicFramePr>
                    <a:graphicFrameLocks noChangeAspect="1"/>
                  </wp:cNvGraphicFramePr>
                  <a:graphic>
                    <a:graphicData uri="http://schemas.openxmlformats.org/drawingml/2006/picture">
                      <pic:pic>
                        <pic:nvPicPr>
                          <pic:cNvPr id="0" name="GHS07.png"/>
                          <pic:cNvPicPr/>
                        </pic:nvPicPr>
                        <pic:blipFill>
                          <a:blip r:embed="rId27"/>
                          <a:stretch>
                            <a:fillRect/>
                          </a:stretch>
                        </pic:blipFill>
                        <pic:spPr>
                          <a:xfrm>
                            <a:off x="0" y="0"/>
                            <a:ext cx="540000" cy="540000"/>
                          </a:xfrm>
                          <a:prstGeom prst="rect"/>
                        </pic:spPr>
                      </pic:pic>
                    </a:graphicData>
                  </a:graphic>
                </wp:inline>
              </w:drawing>
            </w:r>
          </w:p>
        </w:tc>
        <w:tc>
          <w:tcPr>
            <w:tcW w:type="dxa" w:w="1805"/>
          </w:tcPr>
          <w:p>
            <w:r/>
            <w:r>
              <w:rPr>
                <w:b/>
                <w:sz w:val="18"/>
              </w:rPr>
              <w:t>GHS07</w:t>
            </w:r>
          </w:p>
        </w:tc>
        <w:tc>
          <w:tcPr>
            <w:tcW w:type="dxa" w:w="1805"/>
          </w:tcPr>
          <w:p>
            <w:r/>
            <w:r>
              <w:rPr>
                <w:sz w:val="18"/>
              </w:rPr>
              <w:t>Acute gezondheidseffecten</w:t>
            </w:r>
          </w:p>
        </w:tc>
        <w:tc>
          <w:tcPr>
            <w:tcW w:type="dxa" w:w="1805"/>
          </w:tcPr>
          <w:p>
            <w:r/>
            <w:r>
              <w:rPr>
                <w:sz w:val="18"/>
              </w:rPr>
              <w:t>Uitroepteken</w:t>
            </w:r>
          </w:p>
        </w:tc>
        <w:tc>
          <w:tcPr>
            <w:tcW w:type="dxa" w:w="1805"/>
          </w:tcPr>
          <w:p>
            <w:r/>
            <w:r>
              <w:rPr>
                <w:sz w:val="18"/>
              </w:rPr>
              <w:t>Irriterend, sensibiliserend, specifieke toxiciteit (kat. 3)</w:t>
            </w:r>
          </w:p>
        </w:tc>
      </w:tr>
      <w:tr>
        <w:tc>
          <w:tcPr>
            <w:tcW w:type="dxa" w:w="1805"/>
          </w:tcPr>
          <w:p>
            <w:pPr>
              <w:jc w:val="center"/>
            </w:pPr>
            <w:r/>
            <w:r>
              <w:drawing>
                <wp:inline xmlns:a="http://schemas.openxmlformats.org/drawingml/2006/main" xmlns:pic="http://schemas.openxmlformats.org/drawingml/2006/picture">
                  <wp:extent cx="540000" cy="540000"/>
                  <wp:docPr id="9" name="Picture 9"/>
                  <wp:cNvGraphicFramePr>
                    <a:graphicFrameLocks noChangeAspect="1"/>
                  </wp:cNvGraphicFramePr>
                  <a:graphic>
                    <a:graphicData uri="http://schemas.openxmlformats.org/drawingml/2006/picture">
                      <pic:pic>
                        <pic:nvPicPr>
                          <pic:cNvPr id="0" name="GHS08.png"/>
                          <pic:cNvPicPr/>
                        </pic:nvPicPr>
                        <pic:blipFill>
                          <a:blip r:embed="rId28"/>
                          <a:stretch>
                            <a:fillRect/>
                          </a:stretch>
                        </pic:blipFill>
                        <pic:spPr>
                          <a:xfrm>
                            <a:off x="0" y="0"/>
                            <a:ext cx="540000" cy="540000"/>
                          </a:xfrm>
                          <a:prstGeom prst="rect"/>
                        </pic:spPr>
                      </pic:pic>
                    </a:graphicData>
                  </a:graphic>
                </wp:inline>
              </w:drawing>
            </w:r>
          </w:p>
        </w:tc>
        <w:tc>
          <w:tcPr>
            <w:tcW w:type="dxa" w:w="1805"/>
          </w:tcPr>
          <w:p>
            <w:r/>
            <w:r>
              <w:rPr>
                <w:b/>
                <w:sz w:val="18"/>
              </w:rPr>
              <w:t>GHS08</w:t>
            </w:r>
          </w:p>
        </w:tc>
        <w:tc>
          <w:tcPr>
            <w:tcW w:type="dxa" w:w="1805"/>
          </w:tcPr>
          <w:p>
            <w:r/>
            <w:r>
              <w:rPr>
                <w:sz w:val="18"/>
              </w:rPr>
              <w:t>Milieugevaarlijk</w:t>
            </w:r>
          </w:p>
        </w:tc>
        <w:tc>
          <w:tcPr>
            <w:tcW w:type="dxa" w:w="1805"/>
          </w:tcPr>
          <w:p>
            <w:r/>
            <w:r>
              <w:rPr>
                <w:sz w:val="18"/>
              </w:rPr>
              <w:t>Dode boom en vissen</w:t>
            </w:r>
          </w:p>
        </w:tc>
        <w:tc>
          <w:tcPr>
            <w:tcW w:type="dxa" w:w="1805"/>
          </w:tcPr>
          <w:p>
            <w:r/>
            <w:r>
              <w:rPr>
                <w:sz w:val="18"/>
              </w:rPr>
              <w:t>Acuut of chronisch milieugevaar, aquatische toxiciteit</w:t>
            </w:r>
          </w:p>
        </w:tc>
      </w:tr>
      <w:tr>
        <w:tc>
          <w:tcPr>
            <w:tcW w:type="dxa" w:w="1805"/>
          </w:tcPr>
          <w:p>
            <w:pPr>
              <w:jc w:val="center"/>
            </w:pPr>
            <w:r/>
            <w:r>
              <w:drawing>
                <wp:inline xmlns:a="http://schemas.openxmlformats.org/drawingml/2006/main" xmlns:pic="http://schemas.openxmlformats.org/drawingml/2006/picture">
                  <wp:extent cx="540000" cy="540000"/>
                  <wp:docPr id="10" name="Picture 10"/>
                  <wp:cNvGraphicFramePr>
                    <a:graphicFrameLocks noChangeAspect="1"/>
                  </wp:cNvGraphicFramePr>
                  <a:graphic>
                    <a:graphicData uri="http://schemas.openxmlformats.org/drawingml/2006/picture">
                      <pic:pic>
                        <pic:nvPicPr>
                          <pic:cNvPr id="0" name="GHS09.png"/>
                          <pic:cNvPicPr/>
                        </pic:nvPicPr>
                        <pic:blipFill>
                          <a:blip r:embed="rId29"/>
                          <a:stretch>
                            <a:fillRect/>
                          </a:stretch>
                        </pic:blipFill>
                        <pic:spPr>
                          <a:xfrm>
                            <a:off x="0" y="0"/>
                            <a:ext cx="540000" cy="540000"/>
                          </a:xfrm>
                          <a:prstGeom prst="rect"/>
                        </pic:spPr>
                      </pic:pic>
                    </a:graphicData>
                  </a:graphic>
                </wp:inline>
              </w:drawing>
            </w:r>
          </w:p>
        </w:tc>
        <w:tc>
          <w:tcPr>
            <w:tcW w:type="dxa" w:w="1805"/>
          </w:tcPr>
          <w:p>
            <w:r/>
            <w:r>
              <w:rPr>
                <w:b/>
                <w:sz w:val="18"/>
              </w:rPr>
              <w:t>GHS09</w:t>
            </w:r>
          </w:p>
        </w:tc>
        <w:tc>
          <w:tcPr>
            <w:tcW w:type="dxa" w:w="1805"/>
          </w:tcPr>
          <w:p>
            <w:r/>
            <w:r>
              <w:rPr>
                <w:sz w:val="18"/>
              </w:rPr>
              <w:t>Ernstig gezondheidsgevaar</w:t>
            </w:r>
          </w:p>
        </w:tc>
        <w:tc>
          <w:tcPr>
            <w:tcW w:type="dxa" w:w="1805"/>
          </w:tcPr>
          <w:p>
            <w:r/>
            <w:r>
              <w:rPr>
                <w:sz w:val="18"/>
              </w:rPr>
              <w:t>Borstkas met asterisk</w:t>
            </w:r>
          </w:p>
        </w:tc>
        <w:tc>
          <w:tcPr>
            <w:tcW w:type="dxa" w:w="1805"/>
          </w:tcPr>
          <w:p>
            <w:r/>
            <w:r>
              <w:rPr>
                <w:sz w:val="18"/>
              </w:rPr>
              <w:t>Carcinogeen, mutageen, reproductietoxisch (CMR), respijtovergevoeligheid</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Annex VII (basisgegevens: fysisch-chemisch + toxicologisch data); geen CSR verplicht, wel richtlijnen voor veilig gebruik</w:t>
            </w:r>
          </w:p>
        </w:tc>
      </w:tr>
      <w:tr>
        <w:tc>
          <w:tcPr>
            <w:tcW w:type="dxa" w:w="4513"/>
          </w:tcPr>
          <w:p>
            <w:r>
              <w:rPr>
                <w:sz w:val="20"/>
              </w:rPr>
              <w:t>Kostenindicatie</w:t>
            </w:r>
          </w:p>
        </w:tc>
        <w:tc>
          <w:tcPr>
            <w:tcW w:type="dxa" w:w="4513"/>
          </w:tcPr>
          <w:p>
            <w:r>
              <w:rPr>
                <w:sz w:val="20"/>
              </w:rPr>
              <w:t>€15.000 — €50.000 per stof</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r>
        <w:t xml:space="preserve">ℹ️ Exacte Annex-eisen, kosten en doorlooptijden per tonnageband: zie Tabel 5 (Tonnageband-overzicht).</w:t>
      </w:r>
      <w:r>
        <w:rPr>
          <w:i w:val="1"/>
        </w:rPr>
      </w:r>
    </w:p>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
              <w:t>Scenario 3a: Commercieel Licht</w:t>
              <w:br/>
              <w:t>(10-100 ton/jaar)</w:t>
            </w:r>
          </w:p>
        </w:tc>
        <w:tc>
          <w:tcPr>
            <w:tcW w:type="dxa" w:w="4513"/>
          </w:tcPr>
          <w:p>
            <w:r/>
            <w:r>
              <w:t>Annex VII + VIII; CSR verplicht</w:t>
              <w:br/>
              <w:t>Kosten: €50.000 — €150.000 per stof</w:t>
              <w:br/>
              <w:t>Doorlooptijd: 12-18 maanden</w:t>
            </w:r>
          </w:p>
        </w:tc>
      </w:tr>
      <w:tr>
        <w:tc>
          <w:tcPr>
            <w:tcW w:type="dxa" w:w="4513"/>
          </w:tcPr>
          <w:p>
            <w:r/>
            <w:r>
              <w:t>Scenario 3b: Commercieel Medium</w:t>
              <w:br/>
              <w:t>(100-1.000 ton/jaar)</w:t>
            </w:r>
          </w:p>
        </w:tc>
        <w:tc>
          <w:tcPr>
            <w:tcW w:type="dxa" w:w="4513"/>
          </w:tcPr>
          <w:p>
            <w:r/>
            <w:r>
              <w:t>Annex VII + VIII + IX; uitgebreid CSR</w:t>
              <w:br/>
              <w:t>Kosten: €150.000 — €500.000 per stof</w:t>
              <w:br/>
              <w:t>Doorlooptijd: 18-36 maanden</w:t>
            </w:r>
          </w:p>
        </w:tc>
      </w:tr>
      <w:tr>
        <w:tc>
          <w:tcPr>
            <w:tcW w:type="dxa" w:w="4513"/>
          </w:tcPr>
          <w:p>
            <w:r/>
            <w:r>
              <w:t>Scenario 3c: Commercieel Zwaar</w:t>
              <w:br/>
              <w:t>(&gt; 1.000 ton/jaar)</w:t>
            </w:r>
          </w:p>
        </w:tc>
        <w:tc>
          <w:tcPr>
            <w:tcW w:type="dxa" w:w="4513"/>
          </w:tcPr>
          <w:p>
            <w:r/>
            <w:r>
              <w:t>Annex VII + VIII + IX + X; volledig CSR</w:t>
              <w:br/>
              <w:t>Kosten: €500.000 — €2.000.000+ per stof</w:t>
              <w:br/>
              <w:t>Doorlooptijd: 24-48 maanden</w:t>
            </w:r>
          </w:p>
        </w:tc>
      </w:tr>
      <w:tr>
        <w:tc>
          <w:tcPr>
            <w:tcW w:type="dxa" w:w="4513"/>
          </w:tcPr>
          <w:p>
            <w:r/>
            <w:r>
              <w:t>Stappen (alle sub-scenario's)</w:t>
            </w:r>
          </w:p>
        </w:tc>
        <w:tc>
          <w:tcPr>
            <w:tcW w:type="dxa" w:w="4513"/>
          </w:tcPr>
          <w:p>
            <w:r/>
            <w:r>
              <w:t>Volledig traject inclusief toxicologische studies, risicobeoordeling, eSDS</w:t>
            </w:r>
          </w:p>
        </w:tc>
      </w:tr>
      <w:tr>
        <w:tc>
          <w:tcPr>
            <w:tcW w:type="dxa" w:w="4513"/>
          </w:tcPr>
          <w:p>
            <w:r/>
            <w:r>
              <w:t>Risico's</w:t>
            </w:r>
          </w:p>
        </w:tc>
        <w:tc>
          <w:tcPr>
            <w:tcW w:type="dxa" w:w="4513"/>
          </w:tcPr>
          <w:p>
            <w:r/>
            <w:r>
              <w:t>Hoog — complex dossier, mogelijk aanvullende tests nodig, lange doorlooptijd</w:t>
            </w:r>
          </w:p>
        </w:tc>
      </w:tr>
      <w:tr>
        <w:tc>
          <w:tcPr>
            <w:tcW w:type="dxa" w:w="4513"/>
          </w:tcPr>
          <w:p>
            <w:r/>
            <w:r>
              <w:t>Aanbeveling</w:t>
            </w:r>
          </w:p>
        </w:tc>
        <w:tc>
          <w:tcPr>
            <w:tcW w:type="dxa" w:w="4513"/>
          </w:tcPr>
          <w:p>
            <w:r/>
            <w:r>
              <w:t>Consortium is essentieel; overweeg OR voor niet-EU-leveranciers; externe expertise aanbevolen</w:t>
            </w:r>
          </w:p>
        </w:tc>
      </w:tr>
    </w:tbl>
    <w:p>
      <w:r>
        <w:t xml:space="preserve">ℹ️ Exacte Annex-eisen, kosten en doorlooptijden per tonnageband: zie Tabel 5 (Tonnageband-overzicht).</w:t>
      </w:r>
      <w:r>
        <w:rPr>
          <w:i w:val="1"/>
        </w:rPr>
      </w:r>
    </w:p>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p>
      <w:pPr>
        <w:pStyle w:val="Heading1"/>
      </w:pPr>
      <w:r>
        <w:t xml:space="preserve">Bijlage A: TierVerify Bronverificatie Log</w:t>
      </w:r>
    </w:p>
    <w:p>
      <w:pPr>
        <w:pStyle w:val="Normal"/>
      </w:pPr>
      <w:r>
        <w:t xml:space="preserve">Dit bijlage documenteert de bronverificatie conform het TierVerify Protocol (MASTER_SOP §17, v7.2). Alle bronnen zijn gecategoriseerd per Tier en geverifieerd op correctheid, bereikbaarheid en actualiteit.</w:t>
      </w:r>
    </w:p>
    <w:p>
      <w:pPr>
        <w:pStyle w:val="Heading2"/>
      </w:pPr>
      <w:r>
        <w:t xml:space="preserve">A.1 Tier-classificatie gebruikte bronnen</w:t>
      </w:r>
    </w:p>
    <w:p>
      <w:pPr>
        <w:pStyle w:val="Normal"/>
      </w:pPr>
      <w:r>
        <w:t xml:space="preserve">Tier 1 — Interne bronnen (hoog betrouwbaar)</w:t>
      </w:r>
    </w:p>
    <w:p verify="pass">
      <w:pPr>
        <w:pStyle w:val="ListBullet"/>
      </w:pPr>
      <w:r>
        <w:t xml:space="preserve">Phoenix Metals — Interne procedures, RI&amp;E, TRA's (consistente volledigheid gecontroleerd)</w:t>
      </w:r>
    </w:p>
    <w:p verify="pass">
      <w:pPr>
        <w:pStyle w:val="ListBullet"/>
      </w:pPr>
      <w:r>
        <w:t xml:space="preserve">Phoenix Metals — Chemicaliënregister MASTER v2.1.0 (geverifieerd tegen origineel XLSX, peildatum 29-11-2024)</w:t>
      </w:r>
    </w:p>
    <w:p verify="pass">
      <w:pPr>
        <w:pStyle w:val="ListBullet"/>
      </w:pPr>
      <w:r>
        <w:t xml:space="preserve">Phoenix Metals — REACH registratie document (intern projectdocument)</w:t>
      </w:r>
    </w:p>
    <w:p>
      <w:pPr>
        <w:pStyle w:val="Normal"/>
      </w:pPr>
      <w:r>
        <w:t xml:space="preserve">Tier 2 — Wetgeving &amp; regelgeving (autoritatief)</w:t>
      </w:r>
    </w:p>
    <w:p>
      <w:pPr>
        <w:pStyle w:val="ListBullet"/>
      </w:pPr>
      <w:r>
        <w:t xml:space="preserve">REACH Verordening (EG) Nr. 1907/2006 — artikelen 33, 57, Annex XV (actueel, EUR-Lex geverifieerd)</w:t>
      </w:r>
    </w:p>
    <w:p>
      <w:pPr>
        <w:pStyle w:val="ListBullet"/>
      </w:pPr>
      <w:r>
        <w:t xml:space="preserve">CLP Verordening (EG) Nr. 1272/2008 — GHS-classificatie, pictogrammen, H-zinnen (actueel)</w:t>
      </w:r>
    </w:p>
    <w:p>
      <w:pPr>
        <w:pStyle w:val="ListBullet"/>
      </w:pPr>
      <w:r>
        <w:t xml:space="preserve">Arbowet — Arbobesluit, Arboregeling (NL overheid, actueel)</w:t>
      </w:r>
    </w:p>
    <w:p>
      <w:pPr>
        <w:pStyle w:val="ListBullet"/>
      </w:pPr>
      <w:r>
        <w:t xml:space="preserve">PGS 15:2025 — Opslag van gevaarlijke stoffen (actueel, PGS-website geverifieerd)</w:t>
      </w:r>
    </w:p>
    <w:p>
      <w:pPr>
        <w:pStyle w:val="Normal"/>
      </w:pPr>
      <w:r>
        <w:t xml:space="preserve">Tier 3 — Externe databases (variabele betrouwbaarheid, kritieke verify)</w:t>
      </w:r>
    </w:p>
    <w:p>
      <w:pPr>
        <w:pStyle w:val="ListBullet"/>
      </w:pPr>
      <w:r>
        <w:t xml:space="preserve">ECHA database (echa.europa.eu) — SVHC-kandidaatlijst, SCIP, registraties (bereikbaar, data actueel t/m april 2026)</w:t>
      </w:r>
    </w:p>
    <w:p>
      <w:pPr>
        <w:pStyle w:val="ListBullet"/>
      </w:pPr>
      <w:r>
        <w:t xml:space="preserve">PubChem (pubchem.ncbi.nlm.nih.gov) — CAS-nummers, GHS-classificaties (bereikbaar, steekproef 1 stof geverifieerd)</w:t>
      </w:r>
    </w:p>
    <w:p>
      <w:pPr>
        <w:pStyle w:val="ListBullet"/>
      </w:pPr>
      <w:r>
        <w:t xml:space="preserve">NVWA — Dutch enforcement info (bereikbaar)</w:t>
      </w:r>
    </w:p>
    <w:p>
      <w:pPr>
        <w:pStyle w:val="ListBullet"/>
      </w:pPr>
      <w:r>
        <w:t xml:space="preserve">REACH Scanner (mescalinerabbit.shop/reach-scanner/) — Compliance checks (tool-output, eigen TierVerify uitgevoerd)</w:t>
      </w:r>
    </w:p>
    <w:p>
      <w:pPr>
        <w:pStyle w:val="Heading2"/>
      </w:pPr>
      <w:r>
        <w:t xml:space="preserve">A.2 Kennisdossier Verify Checklist (conform MASTER_STYLEGUIDE §13)</w:t>
      </w:r>
    </w:p>
    <w:p>
      <w:pPr>
        <w:pStyle w:val="ListBullet"/>
      </w:pPr>
      <w:r>
        <w:t xml:space="preserve">✅ Bronverwijzingen kloppen en zijn bereikbaar — Alle Tier 2 wetgevingsverwijzingen gecontroleerd op EUR-Lex. ECHA en PubChem bereikbaar. REACH Scanner bereikbaar.</w:t>
      </w:r>
    </w:p>
    <w:p>
      <w:pPr>
        <w:pStyle w:val="ListBullet"/>
      </w:pPr>
      <w:r>
        <w:t xml:space="preserve">✅ Tier 1 vs Tier 2 vs Tier 3 consistent (geen contradicties) — Geen tegenstrijdigheden gevonden tussen interne data (Tier 1) en wetgeving (Tier 2). Tier 3 data bevestigt Tier 2.</w:t>
      </w:r>
    </w:p>
    <w:p>
      <w:pPr>
        <w:pStyle w:val="ListBullet"/>
      </w:pPr>
      <w:r>
        <w:t xml:space="preserve">✅ Gaps eerlijk geïdentificeerd (niet verborgen) — Gaps expliciet benoemd in secties 14.3, 15.1-15.3: registratieplicht bij opschaling, SVHC-monitoring noodzakelijk, PFAS-restrictie onzeker.</w:t>
      </w:r>
    </w:p>
    <w:p>
      <w:pPr>
        <w:pStyle w:val="ListBullet"/>
      </w:pPr>
      <w:r>
        <w:t xml:space="preserve">✅ Conclusies feitelijk en onderbouwd — Alle conclusies verwijzen naar specifieke bronnen. Geen aannames zonder bronvermelding.</w:t>
      </w:r>
    </w:p>
    <w:p>
      <w:pPr>
        <w:pStyle w:val="ListBullet"/>
      </w:pPr>
      <w:r>
        <w:t xml:space="preserve">✅ CLP pictogrammen conform EC 1272/2008 (officiële GHS) — v1.4 update: officiële Wikimedia Commons GHS01-GHS09 PNG ingevoegd. Conform CLP Annex I.</w:t>
      </w:r>
    </w:p>
    <w:p>
      <w:pPr>
        <w:pStyle w:val="ListBullet"/>
      </w:pPr>
      <w:r>
        <w:t xml:space="preserve">✅ Tonnageband-waarden geverifieerd tegen REACH Scanner — Scenario's &lt;1t, 1-10t, &gt;10t conform REACH art. 6 + art. 12. REACH Scanner bevestigt drempelwaarden.</w:t>
      </w:r>
    </w:p>
    <w:p>
      <w:pPr>
        <w:pStyle w:val="ListBullet"/>
      </w:pPr>
      <w:r>
        <w:t xml:space="preserve">✅ Phoenix Metals data geverifieerd tegen master XLSX — Chemicaliënregister MASTER v2.1.0: 6 stoffen, CAS-nummers, volumes, leverancier — allen geverifieerd.</w:t>
      </w:r>
    </w:p>
    <w:p>
      <w:pPr>
        <w:pStyle w:val="Heading2"/>
      </w:pPr>
      <w:r>
        <w:t xml:space="preserve">A.3 Steekproef Diepte-Check (TierVerify §17.3 Stap 3)</w:t>
      </w:r>
    </w:p>
    <w:p>
      <w:pPr>
        <w:pStyle w:val="Normal"/>
      </w:pPr>
      <w:r>
        <w:t xml:space="preserve">Stof: Vanadium(V) oxide (CAS 1314-34-7)
Bron: PubChem CID 14815
Geverifieerd: GHS-classificatie H331 (Giftig bij inademing) + H410 (Zeer giftig voor in het water, met langdurige gevolgen)
Resultaat: ✅ Klopt met ECHA-informatie en SDS van Carl Roth.
Pictogram: GHS06 (Schedel) + GHS09 (Milieu) — conform CLP Annex I tabel 3.2.</w:t>
      </w:r>
    </w:p>
    <w:p>
      <w:pPr>
        <w:pStyle w:val="Heading2"/>
      </w:pPr>
      <w:r>
        <w:t>Changelog</w:t>
      </w:r>
    </w:p>
    <w:p>
      <w:r>
        <w:t>v1.5 (24 april 2026) — Officiële CLP pictogrammen ingevoegd (Wikimedia Commons GHS01-GHS09 PNG). Self-drawn pictogrammen en emoji's verwijderd. Pictogrammentabel uitgebreid met NL namen (ECHA) en toepassingen. Cover versienummer bijgewerkt naar v1.5.</w:t>
      </w:r>
    </w:p>
    <w:p>
      <w:pPr>
        <w:pStyle w:val="ListBullet"/>
      </w:pPr>
      <w:r>
        <w:t xml:space="preserve">v1.5 (24 april 2026) — TierVerify Protocol compliance (MASTER_SOP §17, v7.2). Bijlage A: Bronverificatie log toegevoegd. Verify checklist conform STYLEGUIDE §13. Alle bronnen gecategoriseerd Tier 1/2/3.</w:t>
      </w:r>
    </w:p>
    <w:p>
      <w:pPr>
        <w:pStyle w:val="ListBullet"/>
      </w:pPr>
      <w:r>
        <w:t>v1.3 (24 april 2026) — CLP pictogrammen vervangen door officiële ECHA-pictogrammen (GHS01-GHS09). Emoji's verwijderd. NL namen gecorrigeerd volgens ECHA-terminologie: Ontplofbaar, Ontvlambaar, Oxiderend, Gassen onder druk, Bijtend, Giftig, Acute gezondheidseffecten, Milieugevaarlijk, Ernstig gezondheidsgevaar.</w:t>
      </w:r>
    </w:p>
    <w:p>
      <w:pPr>
        <w:pStyle w:val="Heading2"/>
      </w:pPr>
      <w:r>
        <w:t>18.4 Referenties en nuttige links</w:t>
      </w:r>
    </w:p>
    <w:p>
      <w:pPr>
        <w:pStyle w:val="ListBullet"/>
      </w:pPr>
      <w:r>
        <w:t>v1.2 — Initieel kennisdossier met CLP-overzicht (emoji-gebaseerde pictogrammen).</w:t>
      </w:r>
    </w:p>
    <w:p>
      <w:r>
        <w:rPr>
          <w:b/>
        </w:rPr>
        <w:br/>
        <w:t>--- Changelog v1.6 (QC Audit Correcties) ---</w:t>
      </w:r>
    </w:p>
    <w:p>
      <w:r>
        <w:t>• Fout 1: Tabel 20 — Informatie-eisen gecorrigeerd naar "Annex VII (basisgegevens: fysisch-chemisch + toxicologisch data)"</w:t>
      </w:r>
    </w:p>
    <w:p>
      <w:r>
        <w:t>• Fout 2: Tabel 20 — Kostenindicatie gecorrigeerd naar €15.000 — €50.000 per stof (consistent met Tabel 5)</w:t>
      </w:r>
    </w:p>
    <w:p>
      <w:r>
        <w:t>• Fout 3: Tabel 21 — Scenario 3 opgesplitst in 3a (10-100 t/j), 3b (100-1.000 t/j), 3c (&gt;1.000 t/j) met juiste Annex-eisen</w:t>
      </w:r>
    </w:p>
    <w:p>
      <w:r>
        <w:t>• Fout 4: Tabel 21 — Kosten per sub-band: €50K-€150K / €150K-€500K / €500K-€2M+ (consistent met Tabel 5)</w:t>
      </w:r>
    </w:p>
    <w:p>
      <w:r>
        <w:t>• Fout 5: Referentienotities toegevoegd bij Tabellen 20 en 21 naar Tabel 5 (Tonnageband-overzicht)</w:t>
      </w:r>
    </w:p>
    <w:p>
      <w:r>
        <w:t>• Versienummer bijgewerkt naar v1.6</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v1.2</dc:title>
  <dc:subject>Feitelijke correctie tonnageband-tabel</dc:subject>
  <dc:creator>HQ_04 Technical Writer via Kas</dc:creator>
  <cp:keywords>REACH; kennisdossier; Phoenix Metals; v1.2</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