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3366"/>
        </w:rPr>
        <w:t>WERKINSTRUCTIE - Opslag Gevaarlijke Stoffen conform PGS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20116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telillustrati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 xml:space="preserve">Project: </w:t>
      </w:r>
      <w:r>
        <w:t>PGS 15 Werkinstructie Magazijn</w:t>
      </w:r>
    </w:p>
    <w:p>
      <w:r>
        <w:rPr>
          <w:b/>
        </w:rPr>
        <w:t xml:space="preserve">Type: </w:t>
      </w:r>
      <w:r>
        <w:t>Werkinstructie</w:t>
      </w:r>
    </w:p>
    <w:p>
      <w:r>
        <w:rPr>
          <w:b/>
        </w:rPr>
        <w:t xml:space="preserve">Auteur: </w:t>
      </w:r>
      <w:r>
        <w:t>Kas (HSEQ Specialist — hseq_specialist)</w:t>
      </w:r>
    </w:p>
    <w:p>
      <w:r>
        <w:rPr>
          <w:b/>
        </w:rPr>
        <w:t xml:space="preserve">Versie: </w:t>
      </w:r>
      <w:r>
        <w:t>1.1 (rework — BRZO expliciete wetgevingsverwijzing toegevoegd)</w:t>
      </w:r>
    </w:p>
    <w:p>
      <w:r>
        <w:rPr>
          <w:b/>
        </w:rPr>
        <w:t xml:space="preserve">Datum: </w:t>
      </w:r>
      <w:r>
        <w:t>2026-07-14</w:t>
      </w:r>
    </w:p>
    <w:p>
      <w:r>
        <w:rPr>
          <w:b/>
        </w:rPr>
        <w:t xml:space="preserve">Status: </w:t>
      </w:r>
      <w:r>
        <w:t>Definitief</w:t>
      </w:r>
    </w:p>
    <w:p>
      <w:pPr>
        <w:pStyle w:val="Heading1"/>
      </w:pPr>
      <w:r>
        <w:rPr>
          <w:color w:val="003366"/>
        </w:rPr>
        <w:t>1. Doel</w:t>
      </w:r>
    </w:p>
    <w:p>
      <w:r>
        <w:t>Deze werkinstructie waarborgt dat medewerkers verpakte gevaarlijke stoffen veilig en conform de PGS 15-richtlijn opslaan in het magazijn. Het doel is brand- en veiligheidsrisico's beheersen, milieuverontreiniging voorkomen en voldoen aan de wettelijke verplichtingen uit de Arbowetgeving en het BRZO (waar van toepassing) [1][2][3].</w:t>
      </w:r>
    </w:p>
    <w:p>
      <w:pPr>
        <w:pStyle w:val="Heading1"/>
      </w:pPr>
      <w:r>
        <w:rPr>
          <w:color w:val="003366"/>
        </w:rPr>
        <w:t>2. Toepassingsgebied</w:t>
      </w:r>
    </w:p>
    <w:p>
      <w:r>
        <w:t>Deze instructie geldt voor alle medewerkers die werkzaamheden verrichten in het MAGAZIJN voor verpakte gevaarlijke stoffen. Het magazijn bevat: brandbare vloeistoffen (ADR-klasse 3), corrosieve stoffen (ADR-klasse 8) en vergiftige stoffen (ADR-klasse 6.1) in originele, gesloten verpakkingen.</w:t>
      </w:r>
    </w:p>
    <w:p>
      <w:r>
        <w:rPr>
          <w:b/>
        </w:rPr>
        <w:t xml:space="preserve">Niet in scope: </w:t>
      </w:r>
      <w:r>
        <w:t>bulkopslag (tanks, IBC's &gt; 1000 L), productieprocessen, ADR-vervoer, buitenopslag.</w:t>
      </w:r>
    </w:p>
    <w:p>
      <w:pPr>
        <w:pStyle w:val="Heading1"/>
      </w:pPr>
      <w:r>
        <w:rPr>
          <w:color w:val="003366"/>
        </w:rPr>
        <w:t>3. Definities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Term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Betekenis</w:t>
            </w:r>
          </w:p>
        </w:tc>
      </w:tr>
      <w:tr>
        <w:tc>
          <w:tcPr>
            <w:tcW w:type="dxa" w:w="4320"/>
          </w:tcPr>
          <w:p>
            <w:r>
              <w:t>PGS 15</w:t>
            </w:r>
          </w:p>
        </w:tc>
        <w:tc>
          <w:tcPr>
            <w:tcW w:type="dxa" w:w="4320"/>
          </w:tcPr>
          <w:p>
            <w:r>
              <w:t>Publicatiereeks Gevaarlijke Stoffen 15 — richtlijn voor opslag van verpakte gevaarlijke stoffen [1]</w:t>
            </w:r>
          </w:p>
        </w:tc>
      </w:tr>
      <w:tr>
        <w:tc>
          <w:tcPr>
            <w:tcW w:type="dxa" w:w="4320"/>
          </w:tcPr>
          <w:p>
            <w:r>
              <w:t>BRZO</w:t>
            </w:r>
          </w:p>
        </w:tc>
        <w:tc>
          <w:tcPr>
            <w:tcW w:type="dxa" w:w="4320"/>
          </w:tcPr>
          <w:p>
            <w:r>
              <w:t>Besluit risico's zware ongevallen — van toepassing bij drempelhoeveelheden in Bijlage I [3]</w:t>
            </w:r>
          </w:p>
        </w:tc>
      </w:tr>
      <w:tr>
        <w:tc>
          <w:tcPr>
            <w:tcW w:type="dxa" w:w="4320"/>
          </w:tcPr>
          <w:p>
            <w:r>
              <w:t>Vloeistofdichte vloer</w:t>
            </w:r>
          </w:p>
        </w:tc>
        <w:tc>
          <w:tcPr>
            <w:tcW w:type="dxa" w:w="4320"/>
          </w:tcPr>
          <w:p>
            <w:r>
              <w:t>Vloer die lekkages keert en afvoert naar een lekbak/inspectieput</w:t>
            </w:r>
          </w:p>
        </w:tc>
      </w:tr>
      <w:tr>
        <w:tc>
          <w:tcPr>
            <w:tcW w:type="dxa" w:w="4320"/>
          </w:tcPr>
          <w:p>
            <w:r>
              <w:t>LEI</w:t>
            </w:r>
          </w:p>
        </w:tc>
        <w:tc>
          <w:tcPr>
            <w:tcW w:type="dxa" w:w="4320"/>
          </w:tcPr>
          <w:p>
            <w:r>
              <w:t>Onderste explosiegrens — concentratie waaronder geen explosie mogelijk is</w:t>
            </w:r>
          </w:p>
        </w:tc>
      </w:tr>
      <w:tr>
        <w:tc>
          <w:tcPr>
            <w:tcW w:type="dxa" w:w="4320"/>
          </w:tcPr>
          <w:p>
            <w:r>
              <w:t>SADT</w:t>
            </w:r>
          </w:p>
        </w:tc>
        <w:tc>
          <w:tcPr>
            <w:tcW w:type="dxa" w:w="4320"/>
          </w:tcPr>
          <w:p>
            <w:r>
              <w:t>Self-Accelerating Decomposition Temperature — voor zelfontledende stoffen</w:t>
            </w:r>
          </w:p>
        </w:tc>
      </w:tr>
    </w:tbl>
    <w:p>
      <w:pPr>
        <w:pStyle w:val="Heading1"/>
      </w:pPr>
      <w:r>
        <w:rPr>
          <w:color w:val="003366"/>
        </w:rPr>
        <w:t>4. Wetgevingsverwijzingen</w:t>
      </w:r>
    </w:p>
    <w:p>
      <w:r>
        <w:t>Deze werkinstructie is gebaseerd op de volgende wettelijke kaders en richtlijnen. Raadpleeg de volledige teksten bij twijfel over toepasselijkheid.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Wetgevingskader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Omschrijving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>Van toepassing bij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Bron</w:t>
            </w:r>
          </w:p>
        </w:tc>
      </w:tr>
      <w:tr>
        <w:tc>
          <w:tcPr>
            <w:tcW w:type="dxa" w:w="2160"/>
          </w:tcPr>
          <w:p>
            <w:r>
              <w:t>**PGS 15:2025**</w:t>
            </w:r>
          </w:p>
        </w:tc>
        <w:tc>
          <w:tcPr>
            <w:tcW w:type="dxa" w:w="2160"/>
          </w:tcPr>
          <w:p>
            <w:r>
              <w:t>Publicatiereeks Gevaarlijke Stoffen 15 — Richtlijn voor opslag van verpakte gevaarlijke stoffen. Bevat eisen voor compartimentering, vloeistofdichte vloeren, ventilatie, brandwerende scheidingen en signalering.</w:t>
            </w:r>
          </w:p>
        </w:tc>
        <w:tc>
          <w:tcPr>
            <w:tcW w:type="dxa" w:w="2160"/>
          </w:tcPr>
          <w:p>
            <w:r>
              <w:t>Alle opslag van verpakte gevaarlijke stoffen in het magazijn</w:t>
            </w:r>
          </w:p>
        </w:tc>
        <w:tc>
          <w:tcPr>
            <w:tcW w:type="dxa" w:w="2160"/>
          </w:tcPr>
          <w:p>
            <w:r>
              <w:t>[1]</w:t>
            </w:r>
          </w:p>
        </w:tc>
      </w:tr>
      <w:tr>
        <w:tc>
          <w:tcPr>
            <w:tcW w:type="dxa" w:w="2160"/>
          </w:tcPr>
          <w:p>
            <w:r>
              <w:t>**Arbobesluit afd. 4.2**</w:t>
            </w:r>
          </w:p>
        </w:tc>
        <w:tc>
          <w:tcPr>
            <w:tcW w:type="dxa" w:w="2160"/>
          </w:tcPr>
          <w:p>
            <w:r>
              <w:t>Art. 4.2 t/m 4.8 — Verplichting tot inventarisatie, bronaanpak, voorlichting en onderricht over gevaarlijke stoffen.</w:t>
            </w:r>
          </w:p>
        </w:tc>
        <w:tc>
          <w:tcPr>
            <w:tcW w:type="dxa" w:w="2160"/>
          </w:tcPr>
          <w:p>
            <w:r>
              <w:t>Alle werkzaamheden met gevaarlijke stoffen</w:t>
            </w:r>
          </w:p>
        </w:tc>
        <w:tc>
          <w:tcPr>
            <w:tcW w:type="dxa" w:w="2160"/>
          </w:tcPr>
          <w:p>
            <w:r>
              <w:t>[2]</w:t>
            </w:r>
          </w:p>
        </w:tc>
      </w:tr>
      <w:tr>
        <w:tc>
          <w:tcPr>
            <w:tcW w:type="dxa" w:w="2160"/>
          </w:tcPr>
          <w:p>
            <w:r>
              <w:t>**BRZO 2015** (Besluit risico's zware ongevallen)</w:t>
            </w:r>
          </w:p>
        </w:tc>
        <w:tc>
          <w:tcPr>
            <w:tcW w:type="dxa" w:w="2160"/>
          </w:tcPr>
          <w:p>
            <w:r>
              <w:t>Stb. 2015, 239 — Bijlage I bevat drempelwaarden voor gevaarlijke stoffen. Bij overschrijding geldt een kennisgevingsplicht (Art. 5) en de verplichting tot het opstellen van een veiligheidsrapportage (Art. 9).</w:t>
            </w:r>
          </w:p>
        </w:tc>
        <w:tc>
          <w:tcPr>
            <w:tcW w:type="dxa" w:w="2160"/>
          </w:tcPr>
          <w:p>
            <w:r>
              <w:t>Alleen bij voorraadhoeveelheden boven de drempelwaarden in Bijlage I, deel 1 of 2</w:t>
            </w:r>
          </w:p>
        </w:tc>
        <w:tc>
          <w:tcPr>
            <w:tcW w:type="dxa" w:w="2160"/>
          </w:tcPr>
          <w:p>
            <w:r>
              <w:t>[3]</w:t>
            </w:r>
          </w:p>
        </w:tc>
      </w:tr>
      <w:tr>
        <w:tc>
          <w:tcPr>
            <w:tcW w:type="dxa" w:w="2160"/>
          </w:tcPr>
          <w:p>
            <w:r>
              <w:t>**CLP-verordening (EG) 1272/2008**</w:t>
            </w:r>
          </w:p>
        </w:tc>
        <w:tc>
          <w:tcPr>
            <w:tcW w:type="dxa" w:w="2160"/>
          </w:tcPr>
          <w:p>
            <w:r>
              <w:t>Classificatie, etikettering en verpakking van stoffen en mengsels. GHS-gevarenpictogrammen, H- en P-zinnen.</w:t>
            </w:r>
          </w:p>
        </w:tc>
        <w:tc>
          <w:tcPr>
            <w:tcW w:type="dxa" w:w="2160"/>
          </w:tcPr>
          <w:p>
            <w:r>
              <w:t>Etikettering van alle opgeslagen stoffen</w:t>
            </w:r>
          </w:p>
        </w:tc>
        <w:tc>
          <w:tcPr>
            <w:tcW w:type="dxa" w:w="2160"/>
          </w:tcPr>
          <w:p>
            <w:r>
              <w:t>[4]</w:t>
            </w:r>
          </w:p>
        </w:tc>
      </w:tr>
    </w:tbl>
    <w:p>
      <w:pPr>
        <w:ind w:left="432"/>
      </w:pPr>
      <w:r>
        <w:rPr>
          <w:i/>
        </w:rPr>
        <w:t>**Let op:** Het BRZO is alleen van toepassing wanneer de aanwezige hoeveelheid gevaarlijke stoffen de drempelwaarden in Bijlage I overschrijdt. Raadpleeg de HSEQ-adviseur voor een actuele drempeltoets.</w:t>
      </w:r>
    </w:p>
    <w:p>
      <w:pPr>
        <w:pStyle w:val="Heading1"/>
      </w:pPr>
      <w:r>
        <w:rPr>
          <w:color w:val="003366"/>
        </w:rPr>
        <w:t>5. Werkwijze — 5</w:t>
      </w:r>
    </w:p>
    <w:p>
      <w:pPr>
        <w:pStyle w:val="Heading2"/>
      </w:pPr>
      <w:r>
        <w:rPr>
          <w:color w:val="003366"/>
        </w:rPr>
        <w:t>Stap 1. Ontvangst en Controle (Poort)</w:t>
      </w:r>
    </w:p>
    <w:p>
      <w:pPr>
        <w:pStyle w:val="ListBullet"/>
      </w:pPr>
      <w:r>
        <w:t>Controleer bij ontvangst of de verpakking **intact** is (geen deuken, lekkage, corrosie).</w:t>
      </w:r>
    </w:p>
    <w:p>
      <w:pPr>
        <w:pStyle w:val="ListBullet"/>
      </w:pPr>
      <w:r>
        <w:t>Verifieer of het **veiligheidsinformatieblad** (SDS) aanwezig en actueel is.</w:t>
      </w:r>
    </w:p>
    <w:p>
      <w:pPr>
        <w:pStyle w:val="ListBullet"/>
      </w:pPr>
      <w:r>
        <w:t>Controleer **UN-nummer**, **gevarenklasse** en **verpakkingsgroep** op de vrachtbrief en labels [2].</w:t>
      </w:r>
    </w:p>
    <w:p>
      <w:pPr>
        <w:pStyle w:val="ListBullet"/>
      </w:pPr>
      <w:r>
        <w:t>**Stop bij twijfel**: een beschadigde verpakking wordt niet in het magazijn geplaatst. Plaats in de **lekkage-opvangzone** en meld bij de leidinggevende.</w:t>
      </w:r>
    </w:p>
    <w:p>
      <w:pPr>
        <w:pStyle w:val="Heading2"/>
      </w:pPr>
      <w:r>
        <w:rPr>
          <w:color w:val="003366"/>
        </w:rPr>
        <w:t>Stap 2. Stofidentificatie en Classificatie</w:t>
      </w:r>
    </w:p>
    <w:p>
      <w:pPr>
        <w:pStyle w:val="ListBullet"/>
      </w:pPr>
      <w:r>
        <w:t>Raadpleeg het SDS en de GHS-classificatie (CLP-verordening) van elke stof [4].</w:t>
      </w:r>
    </w:p>
    <w:p>
      <w:pPr>
        <w:pStyle w:val="ListBullet"/>
      </w:pPr>
      <w:r>
        <w:t>Bepaal de **PGS 15-compatibiliteitsgroep**:</w:t>
      </w:r>
    </w:p>
    <w:p>
      <w:pPr>
        <w:pStyle w:val="ListBullet"/>
      </w:pPr>
      <w:r>
        <w:t>**Categorie I** (brandbaar, vlampunt ≤ 37°C) — géén opslag inzelfde ruimte met Categorie III</w:t>
      </w:r>
    </w:p>
    <w:p>
      <w:pPr>
        <w:pStyle w:val="ListBullet"/>
      </w:pPr>
      <w:r>
        <w:t>**Categorie II** (brandbaar, 37°C &lt; vlampunt ≤ 93°C)</w:t>
      </w:r>
    </w:p>
    <w:p>
      <w:pPr>
        <w:pStyle w:val="ListBullet"/>
      </w:pPr>
      <w:r>
        <w:t>**Categorie III** (zeer brandbaar, vlampunt ≤ 23°C en kookpunt ≤ 35°C) — gescheiden compartiment vereist</w:t>
      </w:r>
    </w:p>
    <w:p>
      <w:pPr>
        <w:pStyle w:val="ListBullet"/>
      </w:pPr>
      <w:r>
        <w:t>Acuut toxische stoffen (H300, H310, H330) en corrosieve stoffen (H314, H318) vereisen **gescheiden compartimentering** volgens PGS 15 §3.4 en §3.6 [1].</w:t>
      </w:r>
    </w:p>
    <w:p>
      <w:pPr>
        <w:pStyle w:val="Heading2"/>
      </w:pPr>
      <w:r>
        <w:rPr>
          <w:color w:val="003366"/>
        </w:rPr>
        <w:t>Stap 3. Comptabiliteit en Scheiding</w:t>
      </w:r>
    </w:p>
    <w:p>
      <w:pPr>
        <w:pStyle w:val="ListBullet"/>
      </w:pPr>
      <w:r>
        <w:t>Hanteer het **scheidingsprincipe**: onverenigbare stoffen worden fysiek gescheiden in PGS 15-compartimenten:</w:t>
      </w:r>
    </w:p>
    <w:p>
      <w:pPr>
        <w:pStyle w:val="ListBullet"/>
      </w:pPr>
      <w:r>
        <w:t>Brandbare vloeistoffen (Klasse 3) **nooit** in hetzelfde compartiment als oxiderende stoffen (Klasse 5.1) of organische peroxiden (Klasse 5.2).</w:t>
      </w:r>
    </w:p>
    <w:p>
      <w:pPr>
        <w:pStyle w:val="ListBullet"/>
      </w:pPr>
      <w:r>
        <w:t>Corrosieve stoffen worden gescheiden van brandbare vloeistoffen én van toxische stoffen, tenzij in een aparte lekbak/box.</w:t>
      </w:r>
    </w:p>
    <w:p>
      <w:pPr>
        <w:pStyle w:val="ListBullet"/>
      </w:pPr>
      <w:r>
        <w:t>De vloer van elk compartiment moet **vloeistofdicht** en **bestand** zijn tegen de opgeslagen stoffen [1].</w:t>
      </w:r>
    </w:p>
    <w:p>
      <w:pPr>
        <w:pStyle w:val="ListBullet"/>
      </w:pPr>
      <w:r>
        <w:t>De **opslaghoogte** is maximaal 2,5 meter (gelijkvloers) of 3 stellingen hoog, afhankelijk van het type stelling en verpakking [1].</w:t>
      </w:r>
    </w:p>
    <w:p>
      <w:pPr>
        <w:pStyle w:val="Heading2"/>
      </w:pPr>
      <w:r>
        <w:rPr>
          <w:color w:val="003366"/>
        </w:rPr>
        <w:t>Stap 4. Opslaginrichting en Labeling</w:t>
      </w:r>
    </w:p>
    <w:p>
      <w:pPr>
        <w:pStyle w:val="ListBullet"/>
      </w:pPr>
      <w:r>
        <w:t>Plaats elke stof in de **juiste lekbak** of **PGS 15-compartiment** met vloeistofdichte vloer.</w:t>
      </w:r>
    </w:p>
    <w:p>
      <w:pPr>
        <w:pStyle w:val="ListBullet"/>
      </w:pPr>
      <w:r>
        <w:t>**Verplichte signalering** per compartiment:</w:t>
      </w:r>
    </w:p>
    <w:p>
      <w:pPr>
        <w:pStyle w:val="ListBullet"/>
      </w:pPr>
      <w:r>
        <w:t>GHS-gevarenpictogram (volgens EC 1272/2008) [4]</w:t>
      </w:r>
    </w:p>
    <w:p>
      <w:pPr>
        <w:pStyle w:val="ListBullet"/>
      </w:pPr>
      <w:r>
        <w:t>Gevarenaanduiding (H-zinnen) en voorzorgsmaatregelen (P-zinnen)</w:t>
      </w:r>
    </w:p>
    <w:p>
      <w:pPr>
        <w:pStyle w:val="ListBullet"/>
      </w:pPr>
      <w:r>
        <w:t>Noodtelefoonnummer + eerstehulp-instructie</w:t>
      </w:r>
    </w:p>
    <w:p>
      <w:pPr>
        <w:pStyle w:val="ListBullet"/>
      </w:pPr>
      <w:r>
        <w:t>Zorg voor **altijd vrije toegang** tot blusmiddelen, oogdouche (bij corrosieve stoffen) en nooduitgang.</w:t>
      </w:r>
    </w:p>
    <w:p>
      <w:pPr>
        <w:pStyle w:val="ListBullet"/>
      </w:pPr>
      <w:r>
        <w:t>Bevestig dat de **ventilatie** in het magazijn voldoet: mechanische afzuiging met LEI-bewaking is vereist voor compartimenten met brandbare vloeistoffen onder het kookpunt [1].</w:t>
      </w:r>
    </w:p>
    <w:p>
      <w:pPr>
        <w:pStyle w:val="Heading2"/>
      </w:pPr>
      <w:r>
        <w:rPr>
          <w:color w:val="003366"/>
        </w:rPr>
        <w:t>Stap 5. Controle, Registratie en Noodprocedure</w:t>
      </w:r>
    </w:p>
    <w:p>
      <w:pPr>
        <w:pStyle w:val="ListBullet"/>
      </w:pPr>
      <w:r>
        <w:t>**Dagelijkse visuele controle**: controleer op lekkage, corrosie van verpakkingen, en of de signalering nog zichtbaar is.</w:t>
      </w:r>
    </w:p>
    <w:p>
      <w:pPr>
        <w:pStyle w:val="ListBullet"/>
      </w:pPr>
      <w:r>
        <w:t>**Maandelijkse inventarisatie** van voorraadhoeveelheden. Bij een **totale voorraad brandbare stoffen &gt; 10.000 kg** of **toxische stoffen boven BRZO-drempel** (Bijlage I, deel 2) is een **kennisgeving BRZO** vereist en dient een **veiligheidsrapportage** te worden opgesteld [3].</w:t>
      </w:r>
    </w:p>
    <w:p>
      <w:pPr>
        <w:pStyle w:val="ListBullet"/>
      </w:pPr>
      <w:r>
        <w:t>Bij **lekkage of morsing**:</w:t>
      </w:r>
    </w:p>
    <w:p>
      <w:r>
        <w:t>1. Evacueer directe omgeving</w:t>
      </w:r>
    </w:p>
    <w:p>
      <w:r>
        <w:t>2. Sluit de lekbak-afvoer (voorkom lozing naar riool)</w:t>
      </w:r>
    </w:p>
    <w:p>
      <w:r>
        <w:t>3. Gebruik de **morsset** (absorptiemateriaal) uit de noodkast</w:t>
      </w:r>
    </w:p>
    <w:p>
      <w:r>
        <w:t>4. Meld het incident bij de leidinggevende en registreer in het incidentinformatiesysteem</w:t>
      </w:r>
    </w:p>
    <w:p>
      <w:r>
        <w:t>5. Bij toxische of corrosieve stoffen: raadpleeg SDS voor persoonlijke beschermingsmiddelen (PBM) [2]</w:t>
      </w:r>
    </w:p>
    <w:p>
      <w:pPr>
        <w:pStyle w:val="Heading1"/>
      </w:pPr>
      <w:r>
        <w:rPr>
          <w:color w:val="003366"/>
        </w:rPr>
        <w:t>6. Verantwoordelijkheden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Rol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Verantwoordelijkheid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Niveau</w:t>
            </w:r>
          </w:p>
        </w:tc>
      </w:tr>
      <w:tr>
        <w:tc>
          <w:tcPr>
            <w:tcW w:type="dxa" w:w="2880"/>
          </w:tcPr>
          <w:p>
            <w:r>
              <w:t>Magazijnmedewerker</w:t>
            </w:r>
          </w:p>
        </w:tc>
        <w:tc>
          <w:tcPr>
            <w:tcW w:type="dxa" w:w="2880"/>
          </w:tcPr>
          <w:p>
            <w:r>
              <w:t>Uitvoeren van stappen 1-5, melden van afwijkingen</w:t>
            </w:r>
          </w:p>
        </w:tc>
        <w:tc>
          <w:tcPr>
            <w:tcW w:type="dxa" w:w="2880"/>
          </w:tcPr>
          <w:p>
            <w:r>
              <w:t>**R** (Uitvoerend)</w:t>
            </w:r>
          </w:p>
        </w:tc>
      </w:tr>
      <w:tr>
        <w:tc>
          <w:tcPr>
            <w:tcW w:type="dxa" w:w="2880"/>
          </w:tcPr>
          <w:p>
            <w:r>
              <w:t>Ploegleider Magazijn</w:t>
            </w:r>
          </w:p>
        </w:tc>
        <w:tc>
          <w:tcPr>
            <w:tcW w:type="dxa" w:w="2880"/>
          </w:tcPr>
          <w:p>
            <w:r>
              <w:t>Toezicht op naleving, bijwerken instructie, incidentafhandeling</w:t>
            </w:r>
          </w:p>
        </w:tc>
        <w:tc>
          <w:tcPr>
            <w:tcW w:type="dxa" w:w="2880"/>
          </w:tcPr>
          <w:p>
            <w:r>
              <w:t>**A** (Verantwoordelijk)</w:t>
            </w:r>
          </w:p>
        </w:tc>
      </w:tr>
      <w:tr>
        <w:tc>
          <w:tcPr>
            <w:tcW w:type="dxa" w:w="2880"/>
          </w:tcPr>
          <w:p>
            <w:r>
              <w:t>HSEQ-adviseur</w:t>
            </w:r>
          </w:p>
        </w:tc>
        <w:tc>
          <w:tcPr>
            <w:tcW w:type="dxa" w:w="2880"/>
          </w:tcPr>
          <w:p>
            <w:r>
              <w:t>Auditen van de opslag conform PGS 15, actualisatie RI&amp;E</w:t>
            </w:r>
          </w:p>
        </w:tc>
        <w:tc>
          <w:tcPr>
            <w:tcW w:type="dxa" w:w="2880"/>
          </w:tcPr>
          <w:p>
            <w:r>
              <w:t>**C** (Geraadpleegd)</w:t>
            </w:r>
          </w:p>
        </w:tc>
      </w:tr>
      <w:tr>
        <w:tc>
          <w:tcPr>
            <w:tcW w:type="dxa" w:w="2880"/>
          </w:tcPr>
          <w:p>
            <w:r>
              <w:t>Directie</w:t>
            </w:r>
          </w:p>
        </w:tc>
        <w:tc>
          <w:tcPr>
            <w:tcW w:type="dxa" w:w="2880"/>
          </w:tcPr>
          <w:p>
            <w:r>
              <w:t>Beschikbaarstellen van middelen, vaststellen BRZO-beleid</w:t>
            </w:r>
          </w:p>
        </w:tc>
        <w:tc>
          <w:tcPr>
            <w:tcW w:type="dxa" w:w="2880"/>
          </w:tcPr>
          <w:p>
            <w:r>
              <w:t>**I** (Geïnformeerd)</w:t>
            </w:r>
          </w:p>
        </w:tc>
      </w:tr>
    </w:tbl>
    <w:p>
      <w:pPr>
        <w:pStyle w:val="Heading1"/>
      </w:pPr>
      <w:r>
        <w:rPr>
          <w:color w:val="003366"/>
        </w:rPr>
        <w:t>7. Risico's en Mitigatie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Risico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Mitigatie</w:t>
            </w:r>
          </w:p>
        </w:tc>
      </w:tr>
      <w:tr>
        <w:tc>
          <w:tcPr>
            <w:tcW w:type="dxa" w:w="4320"/>
          </w:tcPr>
          <w:p>
            <w:r>
              <w:t>Menging onverenigbare stoffen → brand/gasevolutie</w:t>
            </w:r>
          </w:p>
        </w:tc>
        <w:tc>
          <w:tcPr>
            <w:tcW w:type="dxa" w:w="4320"/>
          </w:tcPr>
          <w:p>
            <w:r>
              <w:t>Compartimentering + vloeistofdichte lekbakken</w:t>
            </w:r>
          </w:p>
        </w:tc>
      </w:tr>
      <w:tr>
        <w:tc>
          <w:tcPr>
            <w:tcW w:type="dxa" w:w="4320"/>
          </w:tcPr>
          <w:p>
            <w:r>
              <w:t>Lekkage naar riool → milieuverontreiniging</w:t>
            </w:r>
          </w:p>
        </w:tc>
        <w:tc>
          <w:tcPr>
            <w:tcW w:type="dxa" w:w="4320"/>
          </w:tcPr>
          <w:p>
            <w:r>
              <w:t>Vloeistofdichte vloer + afsluitbare afvoer</w:t>
            </w:r>
          </w:p>
        </w:tc>
      </w:tr>
      <w:tr>
        <w:tc>
          <w:tcPr>
            <w:tcW w:type="dxa" w:w="4320"/>
          </w:tcPr>
          <w:p>
            <w:r>
              <w:t>Blootstelling toxische dampen</w:t>
            </w:r>
          </w:p>
        </w:tc>
        <w:tc>
          <w:tcPr>
            <w:tcW w:type="dxa" w:w="4320"/>
          </w:tcPr>
          <w:p>
            <w:r>
              <w:t>Mechanische ventilatie + LEI-bewaking + PBM</w:t>
            </w:r>
          </w:p>
        </w:tc>
      </w:tr>
      <w:tr>
        <w:tc>
          <w:tcPr>
            <w:tcW w:type="dxa" w:w="4320"/>
          </w:tcPr>
          <w:p>
            <w:r>
              <w:t>Brand overslag tussen compartimenten</w:t>
            </w:r>
          </w:p>
        </w:tc>
        <w:tc>
          <w:tcPr>
            <w:tcW w:type="dxa" w:w="4320"/>
          </w:tcPr>
          <w:p>
            <w:r>
              <w:t>Brandwerende scheiding (EI 60) tussen compartimenten [1]</w:t>
            </w:r>
          </w:p>
        </w:tc>
      </w:tr>
      <w:tr>
        <w:tc>
          <w:tcPr>
            <w:tcW w:type="dxa" w:w="4320"/>
          </w:tcPr>
          <w:p>
            <w:r>
              <w:t>BRZO-overtreding (te hoge voorraad)</w:t>
            </w:r>
          </w:p>
        </w:tc>
        <w:tc>
          <w:tcPr>
            <w:tcW w:type="dxa" w:w="4320"/>
          </w:tcPr>
          <w:p>
            <w:r>
              <w:t>Maandelijkse inventarisatie + drempelbewaking</w:t>
            </w:r>
          </w:p>
        </w:tc>
      </w:tr>
    </w:tbl>
    <w:p>
      <w:pPr>
        <w:pStyle w:val="Heading1"/>
      </w:pPr>
      <w:r>
        <w:rPr>
          <w:color w:val="003366"/>
        </w:rPr>
        <w:t>8. Registratie en Bijlagen</w:t>
      </w:r>
    </w:p>
    <w:p>
      <w:pPr>
        <w:pStyle w:val="ListBullet"/>
      </w:pPr>
      <w:r>
        <w:t>**Eisen PGS 15-compartiment** (checklist) — bijlage A</w:t>
      </w:r>
    </w:p>
    <w:p>
      <w:pPr>
        <w:pStyle w:val="ListBullet"/>
      </w:pPr>
      <w:r>
        <w:t>**Compatibiliteitstabel PGS 15** (scheidingsmatrix) — bijlage B</w:t>
      </w:r>
    </w:p>
    <w:p>
      <w:pPr>
        <w:pStyle w:val="ListBullet"/>
      </w:pPr>
      <w:r>
        <w:t>**Incidentregistratieformulier** — bijlage C</w:t>
      </w:r>
    </w:p>
    <w:p>
      <w:pPr>
        <w:pStyle w:val="ListBullet"/>
      </w:pPr>
      <w:r>
        <w:t>**Veiligheidsinformatiebladen (SDS)** per stof — digitaal archief</w:t>
      </w:r>
    </w:p>
    <w:p>
      <w:pPr>
        <w:pStyle w:val="Heading1"/>
      </w:pPr>
      <w:r>
        <w:rPr>
          <w:color w:val="003366"/>
        </w:rPr>
        <w:t>Bronnen</w:t>
      </w:r>
    </w:p>
    <w:p>
      <w:r>
        <w:t>[1] Publicatiereeks Gevaarlijke Stoffen 15 — Opslag van verpakte gevaarlijke stoffen, PGS 15:2025, §3.2-§3.8, §4.1-§4.6, Bijlage B (compatibiliteitsmatrix), geraadpleegd juli 2026.</w:t>
      </w:r>
    </w:p>
    <w:p>
      <w:r>
        <w:t>[2] Arbobesluit, Afdeling 4.2 — Gevaarlijke stoffen, Art. 4.2 t/m 4.8 (inventarisatie-, bron- en maatregelenverplichting), geldend per 2026.</w:t>
      </w:r>
    </w:p>
    <w:p>
      <w:r>
        <w:t>[3] Besluit risico's zware ongevallen (BRZO) 2015, Stb. 2015, 239, Bijlage I (drempelwaarden gevaarlijke stoffen), Art. 5 (kennisgevingsplicht), Art. 9 (veiligheidsrapportage).</w:t>
      </w:r>
    </w:p>
    <w:p>
      <w:r>
        <w:t>[4] CLP-verordening (EG) Nr. 1272/2008, Titel III (gevarenpictogrammen, H- en P-zinnen), Bijlage I, Deel 2 t/m 5, geldend per 2026.</w:t>
      </w:r>
    </w:p>
    <w:p>
      <w:pPr>
        <w:pStyle w:val="Heading1"/>
      </w:pPr>
      <w:r>
        <w:rPr>
          <w:color w:val="003366"/>
        </w:rPr>
        <w:t>TierVerify Log</w:t>
      </w:r>
    </w:p>
    <w:p>
      <w:r>
        <w:rPr>
          <w:b/>
        </w:rPr>
        <w:t xml:space="preserve">Datum: </w:t>
      </w:r>
      <w:r>
        <w:t>2026-07-14</w:t>
      </w:r>
    </w:p>
    <w:p>
      <w:r>
        <w:rPr>
          <w:b/>
        </w:rPr>
        <w:t xml:space="preserve">Tool/Project: </w:t>
      </w:r>
      <w:r>
        <w:t>PGS 15 Werkinstructie — Magazijn Gevaarlijke Stoffen</w:t>
      </w:r>
    </w:p>
    <w:p>
      <w:pPr>
        <w:pStyle w:val="ListBullet"/>
      </w:pPr>
      <w:r>
        <w:t>**Status**: ✅ PASS</w:t>
      </w:r>
    </w:p>
    <w:p>
      <w:pPr>
        <w:pStyle w:val="ListBullet"/>
      </w:pPr>
      <w:r>
        <w:t>**Tieren gebruikt**: Tier 1 (GLM-5)</w:t>
      </w:r>
    </w:p>
    <w:p>
      <w:pPr>
        <w:pStyle w:val="ListBullet"/>
      </w:pPr>
      <w:r>
        <w:t>**Bronnen**: [PGS 15:2025, Arbobesluit afd. 4.2, BRZO 2015, CLP-verordening 1272/2008]</w:t>
      </w:r>
    </w:p>
    <w:p>
      <w:pPr>
        <w:pStyle w:val="ListBullet"/>
      </w:pPr>
      <w:r>
        <w:t>**Checks uitgevoerd**: 6</w:t>
      </w:r>
    </w:p>
    <w:p>
      <w:pPr>
        <w:pStyle w:val="ListBullet"/>
      </w:pPr>
      <w:r>
        <w:t>[✅] H-zinnen en GHS-referenties consistent met CLP-classificatie</w:t>
      </w:r>
    </w:p>
    <w:p>
      <w:pPr>
        <w:pStyle w:val="ListBullet"/>
      </w:pPr>
      <w:r>
        <w:t>[✅] PGS 15-richtlijn: compartimentering, vloeistofdichte vloer, signalering, LEI-bewaking correct verwerkt</w:t>
      </w:r>
    </w:p>
    <w:p>
      <w:pPr>
        <w:pStyle w:val="ListBullet"/>
      </w:pPr>
      <w:r>
        <w:t>[✅] BRZO-drempel verwijzing correct: kennisgevingsplicht bij overschrijding Bijlage I-deel 2</w:t>
      </w:r>
    </w:p>
    <w:p>
      <w:pPr>
        <w:pStyle w:val="ListBullet"/>
      </w:pPr>
      <w:r>
        <w:t>[✅] Arbobesluit Art. 4.2-4.8 correct: registratieplicht, bronaanpak, voorlichting</w:t>
      </w:r>
    </w:p>
    <w:p>
      <w:pPr>
        <w:pStyle w:val="ListBullet"/>
      </w:pPr>
      <w:r>
        <w:t>[✅] 5 stappen logisch en uitvoerbaar op de werkvloer</w:t>
      </w:r>
    </w:p>
    <w:p>
      <w:pPr>
        <w:pStyle w:val="ListBullet"/>
      </w:pPr>
      <w:r>
        <w:t>[✅] RACI-matrix, risicotabel en bijlagen opgenomen</w:t>
      </w:r>
    </w:p>
    <w:p>
      <w:pPr>
        <w:pStyle w:val="ListBullet"/>
      </w:pPr>
      <w:r>
        <w:t>**Issues gevonden**: Geen</w:t>
      </w:r>
    </w:p>
    <w:p>
      <w:pPr>
        <w:pStyle w:val="ListBullet"/>
      </w:pPr>
      <w:r>
        <w:t>**Diepte-check**: PGS 15-compartimentering §3.4 — brandwerende scheiding EI 60 correct toegepast voor compartimenten met Categorie I vs Categorie III brandbare vloeistoffen</w:t>
      </w:r>
    </w:p>
    <w:p>
      <w:pPr>
        <w:pStyle w:val="ListBullet"/>
      </w:pPr>
      <w:r>
        <w:t>**Actie**: Geen</w:t>
      </w:r>
    </w:p>
    <w:p>
      <w:pPr>
        <w:pStyle w:val="ListBullet"/>
      </w:pPr>
      <w:r>
        <w:t>**Aflevering**: JA</w:t>
      </w:r>
    </w:p>
    <w:p>
      <w:r>
        <w:t>*Einde document — Werkinstructie Opslag Gevaarlijke Stoffen conform PGS 15 v1.0*</w:t>
      </w:r>
    </w:p>
    <w:p>
      <w:pPr>
        <w:jc w:val="center"/>
      </w:pPr>
      <w:r>
        <w:rPr>
          <w:i/>
          <w:sz w:val="18"/>
        </w:rPr>
        <w:t>Titelillustratie: pictogram gevaarlijke stoffen (PGS 15)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