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366"/>
          <w:sz w:val="56"/>
        </w:rPr>
        <w:br/>
        <w:br/>
        <w:br/>
        <w:t>JvG Consultancy</w:t>
      </w:r>
    </w:p>
    <w:p>
      <w:pPr>
        <w:jc w:val="center"/>
      </w:pPr>
      <w:r>
        <w:rPr>
          <w:color w:val="595959"/>
          <w:sz w:val="28"/>
        </w:rPr>
        <w:t>HSEQ Division</w:t>
      </w:r>
    </w:p>
    <w:p>
      <w:r>
        <w:br/>
      </w:r>
    </w:p>
    <w:p>
      <w:pPr>
        <w:jc w:val="center"/>
      </w:pPr>
      <w:r>
        <w:rPr>
          <w:b/>
          <w:color w:val="003366"/>
          <w:sz w:val="44"/>
        </w:rPr>
        <w:t>COMPLIANCE AUDIT RAPPORT</w:t>
      </w:r>
    </w:p>
    <w:p>
      <w:pPr>
        <w:jc w:val="center"/>
      </w:pPr>
      <w:r>
        <w:rPr>
          <w:i/>
          <w:color w:val="595959"/>
          <w:sz w:val="28"/>
        </w:rPr>
        <w:t>Document-Based Compliance Audit</w:t>
      </w:r>
    </w:p>
    <w:p>
      <w:r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Brondocument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MSD 003.059 — Asbestos Removal Procedure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Revisie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Rev. 1 (Issued for Implementation, 19 mei 2026)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Organisatie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Koole Offshore Operations (KOO B.V.)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Referentiekader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Arbowet 2025, Arbobesluit H4 Afd. 5, AI-03 Asbest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Jurisdictie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Nederland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Sector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Offshore / Maritiem / Petrochemie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Auditdiepgang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Diepgaand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Auditeur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JvG HSEQ Consultancy — Senior HSEQ Consultant / BRZO-Lead Auditor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Datum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10 augustus 2026</w:t>
            </w:r>
          </w:p>
        </w:tc>
      </w:tr>
      <w:tr>
        <w:tc>
          <w:tcPr>
            <w:tcW w:type="dxa" w:w="2835"/>
            <w:shd w:fill="F0F7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3366"/>
                <w:sz w:val="18"/>
              </w:rPr>
              <w:t>Classificatie</w:t>
            </w:r>
          </w:p>
        </w:tc>
        <w:tc>
          <w:tcPr>
            <w:tcW w:type="dxa" w:w="8504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8"/>
              </w:rPr>
              <w:t>Vertrouwelijk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Executive Summary</w:t>
      </w:r>
    </w:p>
    <w:p>
      <w:pPr>
        <w:spacing w:after="120"/>
      </w:pPr>
      <w:r>
        <w:rPr>
          <w:rFonts w:ascii="Calibri" w:hAnsi="Calibri"/>
          <w:b w:val="0"/>
          <w:i w:val="0"/>
          <w:color w:val="000000"/>
          <w:sz w:val="20"/>
        </w:rPr>
        <w:t>Dit rapport bevat de resultaten van een diepgaande document-based compliance audit op MSD 003.059 Asbestos Removal Procedure (Rev. 1) van Koole Offshore Operations. Het brondocument is getoetst aan de Nederlandse Arbowetgeving (Arbobesluit Hoofdstuk 4, Afdeling 5 — Asbest) en het Arbo-informatieblad AI-03 "Asbest".</w:t>
      </w:r>
    </w:p>
    <w:p>
      <w:pPr>
        <w:spacing w:after="80"/>
      </w:pPr>
      <w:r>
        <w:rPr>
          <w:rFonts w:ascii="Calibri" w:hAnsi="Calibri"/>
          <w:b/>
          <w:i w:val="0"/>
          <w:color w:val="003366"/>
          <w:sz w:val="22"/>
        </w:rPr>
        <w:t>Bevindingenstatistiek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Classificatie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Aantal</w:t>
            </w:r>
          </w:p>
        </w:tc>
        <w:tc>
          <w:tcPr>
            <w:tcW w:type="dxa" w:w="1020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Beschrijving</w:t>
            </w:r>
          </w:p>
        </w:tc>
      </w:tr>
      <w:tr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CRITICAL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10</w:t>
            </w:r>
          </w:p>
        </w:tc>
        <w:tc>
          <w:tcPr>
            <w:tcW w:type="dxa" w:w="1020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Directe wettelijke afwijkingen met potentieel ernstige gezondheids- of juridische consequenties</w:t>
            </w:r>
          </w:p>
        </w:tc>
      </w:tr>
      <w:tr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MAJOR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22</w:t>
            </w:r>
          </w:p>
        </w:tc>
        <w:tc>
          <w:tcPr>
            <w:tcW w:type="dxa" w:w="1020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Belangrijke lacunes die de uitvoerbaarheid en naleving van wettelijke eisen in de weg staan</w:t>
            </w:r>
          </w:p>
        </w:tc>
      </w:tr>
      <w:tr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MINOR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4</w:t>
            </w:r>
          </w:p>
        </w:tc>
        <w:tc>
          <w:tcPr>
            <w:tcW w:type="dxa" w:w="1020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Kleinere tekortkomingen die de naleving niet direct in gevaar brengen</w:t>
            </w:r>
          </w:p>
        </w:tc>
      </w:tr>
      <w:tr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OBSERVATIE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9</w:t>
            </w:r>
          </w:p>
        </w:tc>
        <w:tc>
          <w:tcPr>
            <w:tcW w:type="dxa" w:w="1020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Verbeterpunten en best-practice aanbevelingen</w:t>
            </w:r>
          </w:p>
        </w:tc>
      </w:tr>
      <w:tr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CONFORM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15</w:t>
            </w:r>
          </w:p>
        </w:tc>
        <w:tc>
          <w:tcPr>
            <w:tcW w:type="dxa" w:w="1020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Vereisten die adequaat zijn opgenomen</w:t>
            </w:r>
          </w:p>
        </w:tc>
      </w:tr>
    </w:tbl>
    <w:p/>
    <w:p>
      <w:r>
        <w:rPr>
          <w:b/>
          <w:color w:val="C00000"/>
          <w:sz w:val="24"/>
        </w:rPr>
        <w:t>DEFINITIEF OORDEEL</w:t>
      </w:r>
    </w:p>
    <w:p>
      <w:pPr>
        <w:spacing w:after="120"/>
      </w:pPr>
      <w:r>
        <w:rPr>
          <w:rFonts w:ascii="Calibri" w:hAnsi="Calibri"/>
          <w:b/>
          <w:i w:val="0"/>
          <w:color w:val="C00000"/>
          <w:sz w:val="20"/>
        </w:rPr>
        <w:t>MSD 003.059 Rev. 1 is in huidige vorm NIET geschikt als standalone compliance-document voor asbestverwijdering onder Nederlandse wetgeving. Het document functioneert als een algemeen kader maar delegeert de essentiële wettelijke vereisten naar niet-gespecificeerde "project documentation". Dit creëert een aanzienlijk nalevingsrisico.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Auditopdracht Samenvatting</w:t>
      </w:r>
    </w:p>
    <w:p>
      <w:pPr>
        <w:pStyle w:val="Heading2"/>
      </w:pPr>
      <w:r>
        <w:rPr>
          <w:rFonts w:ascii="Calibri" w:hAnsi="Calibri"/>
          <w:color w:val="003366"/>
        </w:rPr>
        <w:t>1.1 Brondocument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3969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Kenmerk</w:t>
            </w:r>
          </w:p>
        </w:tc>
        <w:tc>
          <w:tcPr>
            <w:tcW w:type="dxa" w:w="1020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Detail</w:t>
            </w:r>
          </w:p>
        </w:tc>
      </w:tr>
      <w:tr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Document ID</w:t>
            </w:r>
          </w:p>
        </w:tc>
        <w:tc>
          <w:tcPr>
            <w:tcW w:type="dxa" w:w="1020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MSD 003.059</w:t>
            </w:r>
          </w:p>
        </w:tc>
      </w:tr>
      <w:tr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Titel</w:t>
            </w:r>
          </w:p>
        </w:tc>
        <w:tc>
          <w:tcPr>
            <w:tcW w:type="dxa" w:w="1020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Asbestos Removal Procedure</w:t>
            </w:r>
          </w:p>
        </w:tc>
      </w:tr>
      <w:tr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Revisie</w:t>
            </w:r>
          </w:p>
        </w:tc>
        <w:tc>
          <w:tcPr>
            <w:tcW w:type="dxa" w:w="1020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 (Issued for Implementation)</w:t>
            </w:r>
          </w:p>
        </w:tc>
      </w:tr>
      <w:tr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Issue datum</w:t>
            </w:r>
          </w:p>
        </w:tc>
        <w:tc>
          <w:tcPr>
            <w:tcW w:type="dxa" w:w="1020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19 mei 2026</w:t>
            </w:r>
          </w:p>
        </w:tc>
      </w:tr>
      <w:tr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Opsteller / Controle / Goedkeuring</w:t>
            </w:r>
          </w:p>
        </w:tc>
        <w:tc>
          <w:tcPr>
            <w:tcW w:type="dxa" w:w="1020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R. Versluis / D. Wijngaard / W. van Lingen</w:t>
            </w:r>
          </w:p>
        </w:tc>
      </w:tr>
      <w:tr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Organisatie</w:t>
            </w:r>
          </w:p>
        </w:tc>
        <w:tc>
          <w:tcPr>
            <w:tcW w:type="dxa" w:w="1020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Koole Offshore Operations (KOO B.V.), Vijfhuizen</w:t>
            </w:r>
          </w:p>
        </w:tc>
      </w:tr>
      <w:tr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Omvang</w:t>
            </w:r>
          </w:p>
        </w:tc>
        <w:tc>
          <w:tcPr>
            <w:tcW w:type="dxa" w:w="1020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17 pagina's inclusief 3 bijlagen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1.2 Referentiekader</w:t>
      </w:r>
    </w:p>
    <w:p>
      <w:pPr>
        <w:pStyle w:val="ListBullet"/>
      </w:pPr>
      <w:r>
        <w:t>Arbeidsomstandighedenwet 2025 (zichtdatum 26-05-2025)</w:t>
      </w:r>
    </w:p>
    <w:p>
      <w:pPr>
        <w:pStyle w:val="ListBullet"/>
      </w:pPr>
      <w:r>
        <w:t>Arbeidsomstandighedenbesluit 2025 — Hoofdstuk 4, Afdeling 5 (Asbest), art. 4.37 t/m 4.57</w:t>
      </w:r>
    </w:p>
    <w:p>
      <w:pPr>
        <w:pStyle w:val="ListBullet"/>
      </w:pPr>
      <w:r>
        <w:t>Arbeidsomstandighedenregeling (Arboregeling) — incl. SCi-548 meetprotocol</w:t>
      </w:r>
    </w:p>
    <w:p>
      <w:pPr>
        <w:pStyle w:val="ListBullet"/>
      </w:pPr>
      <w:r>
        <w:t>Asbest (AI-03) — Arbo-informatieblad, gegenereerd 12-07-2023</w:t>
      </w:r>
    </w:p>
    <w:p>
      <w:pPr>
        <w:pStyle w:val="ListBullet"/>
      </w:pPr>
      <w:r>
        <w:t>NEN 2990 — door brondocument gereferenced</w:t>
      </w:r>
    </w:p>
    <w:p>
      <w:pPr>
        <w:pStyle w:val="ListBullet"/>
      </w:pPr>
      <w:r>
        <w:t>Certificatieschema voor de Procescertificaten Asbestinventarisatie en Asbestverwijdering (SCA/Ascert)</w:t>
      </w:r>
    </w:p>
    <w:p>
      <w:pPr>
        <w:pStyle w:val="ListBullet"/>
      </w:pPr>
      <w:r>
        <w:t>Productenbesluit asbest — etikettering</w:t>
      </w:r>
    </w:p>
    <w:p>
      <w:pPr>
        <w:pStyle w:val="Heading2"/>
      </w:pPr>
      <w:r>
        <w:rPr>
          <w:rFonts w:ascii="Calibri" w:hAnsi="Calibri"/>
          <w:color w:val="003366"/>
        </w:rPr>
        <w:t>1.3 Scope en Context</w:t>
      </w:r>
    </w:p>
    <w:p>
      <w:r>
        <w:rPr>
          <w:b/>
          <w:sz w:val="20"/>
        </w:rPr>
        <w:t xml:space="preserve">Jurisdictie: </w:t>
      </w:r>
      <w:r>
        <w:rPr>
          <w:sz w:val="20"/>
        </w:rPr>
        <w:t>Nederland</w:t>
      </w:r>
    </w:p>
    <w:p>
      <w:r>
        <w:rPr>
          <w:b/>
          <w:sz w:val="20"/>
        </w:rPr>
        <w:t xml:space="preserve">Sector: </w:t>
      </w:r>
      <w:r>
        <w:rPr>
          <w:sz w:val="20"/>
        </w:rPr>
        <w:t>Offshore / Maritiem / Petrochemie</w:t>
      </w:r>
    </w:p>
    <w:p>
      <w:r>
        <w:rPr>
          <w:b/>
          <w:sz w:val="20"/>
        </w:rPr>
        <w:t xml:space="preserve">Activiteit: </w:t>
      </w:r>
      <w:r>
        <w:rPr>
          <w:sz w:val="20"/>
        </w:rPr>
        <w:t>Asbestverwijdering inclusief Batteryspray-methode</w:t>
      </w:r>
    </w:p>
    <w:p>
      <w:r>
        <w:rPr>
          <w:b/>
          <w:sz w:val="20"/>
        </w:rPr>
        <w:t xml:space="preserve">Locatiecontext: </w:t>
      </w:r>
      <w:r>
        <w:rPr>
          <w:sz w:val="20"/>
        </w:rPr>
        <w:t>Offshore installaties, procesinstallaties, pijpleidingen, vaten</w:t>
      </w:r>
    </w:p>
    <w:p>
      <w:r>
        <w:rPr>
          <w:b/>
          <w:sz w:val="20"/>
        </w:rPr>
        <w:t xml:space="preserve">Opdrachtgever/Uitvoerder: </w:t>
      </w:r>
      <w:r>
        <w:rPr>
          <w:sz w:val="20"/>
        </w:rPr>
        <w:t>KOO B.V. (eigen personeel en subcontractors)</w:t>
      </w:r>
    </w:p>
    <w:p>
      <w:pPr>
        <w:pStyle w:val="Heading2"/>
      </w:pPr>
      <w:r>
        <w:rPr>
          <w:rFonts w:ascii="Calibri" w:hAnsi="Calibri"/>
          <w:color w:val="003366"/>
        </w:rPr>
        <w:t>1.4 Beperkingen</w:t>
      </w:r>
    </w:p>
    <w:p>
      <w:pPr>
        <w:spacing w:after="120"/>
      </w:pPr>
      <w:r>
        <w:rPr>
          <w:rFonts w:ascii="Calibri" w:hAnsi="Calibri"/>
          <w:b w:val="0"/>
          <w:i/>
          <w:color w:val="595959"/>
          <w:sz w:val="20"/>
        </w:rPr>
        <w:t>Deze audit is uitsluitend gebaseerd op documentatie. Geen veldinspectie, interviews, certificaatverificatie of beoordeling van uitvoeringspraktijk heeft plaatsgevonden.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2. Bevindingen per Hoofdstuk</w:t>
      </w:r>
    </w:p>
    <w:p>
      <w:pPr>
        <w:pStyle w:val="Heading2"/>
      </w:pPr>
      <w:r>
        <w:rPr>
          <w:rFonts w:ascii="Calibri" w:hAnsi="Calibri"/>
          <w:color w:val="003366"/>
        </w:rPr>
        <w:t>2.1 Sectie 1 — Purpose and Scope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4.37a: Afd. 5 van toepassing bij mogelijke asbestblootstelling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Formeel: 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Arbobesluit H4 Afd. 5 niet expliciet genoemd.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§1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4.37c: toepasselijkheid bij &gt;100 mg/kg droge stof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Wettelijke drempel bepaalt of asbestwetgeving geldt.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4.54b: uitzonderingen inventarisatieplicht (pakkingen procesinstallaties)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Direct relevant voor offshore pakkingen.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2.2 Sectie 2 — Definitions and Abbreviations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4.37: wettelijke asbestdefinitie (6 silicaten + CAS-nrs.)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999999"/>
                <w:sz w:val="15"/>
              </w:rPr>
              <w:t>Minor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Alleen "ACM" gedefinieerd.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4.37: vezeldefinitie (&gt;5 µm, &lt;3 µm, L/B &gt;3)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999999"/>
                <w:sz w:val="15"/>
              </w:rPr>
              <w:t>Minor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Relevant voor meetinterpretatie.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DTA (SC-510) — rol en certificering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Alleen afkorting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Wettelijke rol/certificering nergens beschreven.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SMA-rt (StoffenManager Asbest)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Overheidserkend classificatie-instrument; niet genoemd.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LAVS (Landelijk Asbestvolgsysteem)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Verplicht sinds 1 mrt 2017; niet genoemd.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2.3 Sectie 3 — Roles and Responsibilities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§3 Mgmt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3 Arbowet: zorgplicht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Rolverdeling adequaat.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§3 QHSE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4.45a/4.45b: voorlichting/onderricht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Voorlichting incl. roken niet specifiek toegeschreven.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§3 Superv.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4.54d lid 5: DTA-certificering voor toezicht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RK 2/2A mag alleen onder voortdurend toezicht DTA.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§3 Pers.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4.54d lid 7: DAV-certificering verwijderaars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"Trained and authorised" zonder DAV-certificeringseis.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§3 Bedr.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4.54d lid 1: bedrijfsprocescertificaat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Niet gespecificeerd wie gecertificeerd is.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2.4 Sectie 4.1 — Regulatory and Inventory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4.54a: inventarisatie door gecertificeerd bedrijf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Certificaat als vereiste niet gesteld.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4.54a lid 5: afschrift rapport aan verwijderingsbedrijf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Wettelijke overdrachtsplicht.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4.47c: melding ≥2 dagen vóór aanvang via LAVS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Termijn, inhoud en LAVS niet gespecificeerd.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4.47c lid 2: hernieuwde melding bij wijzigingen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999999"/>
                <w:sz w:val="15"/>
              </w:rPr>
              <w:t>Minor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4.44/4.48/4.53a: risicoklassen 1, 2, 2A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Drie wettelijke risicoklassen niet genoemd.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4.46: grenswaarde 2.000 vezels/m³ (8-uurs TWA)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Kernparameter ontbreekt volledig.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4.47: meetmethodiek (SCi-548, NEN 2990, lab)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meetprotocol of laboratoriumeisen.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4.45a: voorlichting (gezondheidsrisico's, roken)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Incl. synergetisch effect roken — wettelijk verplicht.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4.45b: onderricht (9 specifieke onderwerpen)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Training moet 9 elementen omvatten.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2.5 Sectie 4.6.1 — General Removal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 lid 2a: geen asbeststofproductie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Principe juist.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§4.6.1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 + AI-03: droog vermijden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In RK 2 is nat verwijderen een harde eis.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 lid 2d: afval direct dubbel verpakken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Dubbele verpakking is wettelijke eis.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2.6 Sectie 4.6.2 + Annex I — Batteryspray Method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AI-03 §4.1.3: innovatieve methoden via VIP/SMA-rt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VIP-goedkeuring of SMA-rt-referentie.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Beperking tot chrysotiel flenspakkingen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Correct.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Temperatuurlimiet 75°C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Arbitrair zonder brondocument.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Min. 2 personen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Uitsluitingscriteria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 — 4 criteria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Helder.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§4.6.2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Werkvolgorde + Annex I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Gestructureerd.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2.7 Sectie 4.7 — Work Completion and Clearance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§4.7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4.47b: reiniging + visuele inspectie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§4.7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4.51a: eindmeting, lab, 10.000 vezels/m³, NEN 2990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vrijgavenorm, geen accreditatie.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§4.7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4.53c: verzwaarde eindbeoordeling RK2A (SEM)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Verplicht voor amfibool. Ontbreekt.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§4.7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4.51a lid 3: buiten = alleen visuele inspectie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Zeer relevant voor offshore buitendekken.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2.8 Sectie 4.8 — Equipment and PPE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Algemene equipment-eisen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4.48a + AI-03: P3-filter verplicht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"Suitable" onvoldoend; wet vereist P3.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AI-03: jaarlijkse masker-fittest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Harde eis sinds 1-1-2015.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AI-03 Tabel 3: APF-systematiek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onderbouwde ABM-keuze.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4.47a lid 5-7: max 2u draagtijd, min 1u rust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Cruciaal in offshore (hitte, ventilatie).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§4.8.2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AI-03: voorkeur perslucht; half-face onvold. RK2/2A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Half-face als optie is misleidend.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§4.8.2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Coveralls Type 5 (NEN-EN 13982-1)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normverwijzing.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§4.8.3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Veiligheidsuitrusting (EX-zone/LOTOTO/gasdetectie)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Goed voor offshore.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2.9 Sectie 4.9 — Hygiene and Exposure Controls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§4.9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Algemene hygiëne/verspreidingspreventie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§4.9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4.51: werkkleding reinigen adequate wasserij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Wettelijke hygiëneeis.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§4.9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Rookverbod + geen eten/drinken (Art. 4.51)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 verbod ontbreekt.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§4.9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Was- en doucheruimte verplicht (Art. 4.51)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Wettelijke verplichting RK 2/2A.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§4.9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Decontamination unit (sluis/sas) vereist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Vereist voor RK 2/2A.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§4.9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4.48a lid 2c: verspreiding buiten werkruimte voorkomen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2.10 Sectie 4.10 — Asbestos Waste Handling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§4.10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 lid 2c-d: gesloten verpakking + asbestetiket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Etiketteerstekst niet conform Productenbesluit.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§4.10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Dubbele verpakking (AI-03 §4.1.4A)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Wettelijke dubbele verpakking.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§4.10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Afvaltransport via LAVS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§4.10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Afvoer naar erkende verwerker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2.11 Sectie 4.11 — Emergency Response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§4.11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Stop-work, veiligstellen, decontaminatie, melding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Adequaat beschreven.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2.12 Sectie 5 — Records and Documentation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§5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4.53: exposuresregister (aard, duur, mate blootstelling)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00000"/>
                <w:sz w:val="15"/>
              </w:rPr>
              <w:t>Critical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 verplicht register ontbreekt.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§5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4.52: arbeidsgezondheidskundig onderzoek (3-jaarlijks)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Medische surveillance ontbreekt.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§5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4.54a/4.54d: certificaten op arbeidsplaats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Aanwezigheidseis certificaten ontbreekt.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2.13 Sectie 6 — Monitoring and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§6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Periodieke review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§6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4.2: jaarlijkse RI&amp;E-update asbest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Jaarlijkse beoordeling verplicht.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2.14 Sectie 7 — References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§7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Specifieke wetsverwijzing Arbobesluit H4 Afd. 5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N.v.t.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CC6600"/>
                <w:sz w:val="15"/>
              </w:rPr>
              <w:t>Major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enkele specifieke wettelijke bepaling wordt gerefereerd. NEN 2990 wordt genoemd maar Arbobesluit, Arboregeling, Productenbesluit asbest, SCA-certificatieschema ontbreken.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2.15 Bijlagen (Annex I, II, III)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1"/>
        <w:gridCol w:w="1571"/>
        <w:gridCol w:w="1571"/>
        <w:gridCol w:w="1571"/>
        <w:gridCol w:w="1571"/>
        <w:gridCol w:w="1571"/>
        <w:gridCol w:w="1571"/>
        <w:gridCol w:w="1571"/>
        <w:gridCol w:w="1571"/>
      </w:tblGrid>
      <w:tr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Sectie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Eis (wet/norm/praktijk)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Opgenomen?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Concreet?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Verantw.?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Bewijs?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Afwijking?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Class.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Annex I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Consistentie Batteryspray met §4.6.2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Consistent.</w:t>
            </w:r>
          </w:p>
        </w:tc>
      </w:tr>
      <w:tr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Annex II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Voorbeelden werkplekcontroles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 (illustratief)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113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006600"/>
                <w:sz w:val="15"/>
              </w:rPr>
              <w:t>Conform</w:t>
            </w:r>
          </w:p>
        </w:tc>
        <w:tc>
          <w:tcPr>
            <w:tcW w:type="dxa" w:w="311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Mist overboard-discharge controle.</w:t>
            </w:r>
          </w:p>
        </w:tc>
      </w:tr>
      <w:tr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Annex III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PPE-matrix per activiteit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Ja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Deels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Nee</w:t>
            </w:r>
          </w:p>
        </w:tc>
        <w:tc>
          <w:tcPr>
            <w:tcW w:type="dxa" w:w="85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Neutraal</w:t>
            </w:r>
          </w:p>
        </w:tc>
        <w:tc>
          <w:tcPr>
            <w:tcW w:type="dxa" w:w="113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b/>
                <w:color w:val="336699"/>
                <w:sz w:val="15"/>
              </w:rPr>
              <w:t>Observatie</w:t>
            </w:r>
          </w:p>
        </w:tc>
        <w:tc>
          <w:tcPr>
            <w:tcW w:type="dxa" w:w="311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"Suitable RPE" blijft ongespecificeerd.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Verificatiepunten</w:t>
      </w:r>
    </w:p>
    <w:p>
      <w:pPr>
        <w:spacing w:after="120"/>
      </w:pPr>
      <w:r>
        <w:rPr>
          <w:rFonts w:ascii="Calibri" w:hAnsi="Calibri"/>
          <w:b w:val="0"/>
          <w:i w:val="0"/>
          <w:color w:val="000000"/>
          <w:sz w:val="20"/>
        </w:rPr>
        <w:t>Onderstaande punten kunnen in een document-based audit niet worden geverifieerd en vereisen veldinspectie, documentatie-review of interviews: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6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3969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Verificatiepunt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Waarom belangrijk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Verify-methode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V-01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Bezit KOO een geldig bedrijfsprocescertificaat asbestverwijdering (SCA)?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4.54d lid 1 — vereist voor RK 2/2A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Certificaatdocument inspecteren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V-02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Is een DTA (SC-510) in dienst op basis van arbeidsovereenkomst?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4.54d lid 6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Arbeidsovereenkomst + certificaat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V-03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Beschikken alle asbestverwijderaars over DAV-certificering?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4.54d lid 7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Certificaten en registratie inspecteren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V-04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Is de Batteryspray-methode goedgekeurd via VIP en opgenomen in SMA-rt?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Anders is methode niet rechtsgeldig toepasbaar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VIP-besluit / SMA-rt registratie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V-05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Wordt LAVS gebruikt voor meldingen en afvaltracking?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 verplicht systeem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LAVS-uitschrijftoetsing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V-06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Wordt een exposuresregister bijgehouden?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4.53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Register inzien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V-07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Ondergaan werknemers arbeidsgezondheidskundig onderzoek (3-jaarlijks)?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4.52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Medische dossiers (via arbodienst)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V-08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Wordt jaarlijks masker-fittest uitgevoerd en geregistreerd?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AI-03 / Vezelveiligheid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Fittest-certificaten inzien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V-09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Is een asbestinventarisatie uitgevoerd door een gecertificeerd bedrijf?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4.54a lid 4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Inventarisatierapport + certificaat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V-10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Wordt NEN 2990 toegepast door een geaccrediteerd lab?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4.51a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Meetrapporten + lab-accreditatie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V-11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Zijn was-/doucheruimtes en decontaminatie-faciliteiten beschikbaar offshore?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4.51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Veldinspectie offshore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V-12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Is een rookverbod en eet/drinkverbod gehandhaafd?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4.51 / AI-03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Veldinspectie / werkinstructies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V-13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Wordt ABM-draagtijd beperkt (max 2u, min 1u rust)?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4.47a lid 5-7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Werkprotocollen / tijdregistraties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V-14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Worden dubbele asbestzakken gebruikt met correcte etikettering?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4.45 lid 2d / Productenbesluit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Veldinspectie afvalverpakking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V-15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Is de 75°C temperatuurlimiet gebaseerd op VIP-validatie?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Rechtsgeldige toepassing van methode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VIP-beoordelingsrapport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V-16</w:t>
            </w:r>
          </w:p>
        </w:tc>
        <w:tc>
          <w:tcPr>
            <w:tcW w:type="dxa" w:w="39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Hoe wordt omgegaan met asbestafval en overboard-discharge risico's?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Milieuwetgeving offshore</w:t>
            </w:r>
          </w:p>
        </w:tc>
        <w:tc>
          <w:tcPr>
            <w:tcW w:type="dxa" w:w="34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Offshore waste management plan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V-17</w:t>
            </w:r>
          </w:p>
        </w:tc>
        <w:tc>
          <w:tcPr>
            <w:tcW w:type="dxa" w:w="39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Is de RI&amp;E voor asbest actueel (jaarlijkse update)?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Art. 4.2</w:t>
            </w:r>
          </w:p>
        </w:tc>
        <w:tc>
          <w:tcPr>
            <w:tcW w:type="dxa" w:w="34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RI&amp;E-document inzien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Beperkingen van deze Audit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68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5669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Beperking</w:t>
            </w:r>
          </w:p>
        </w:tc>
        <w:tc>
          <w:tcPr>
            <w:tcW w:type="dxa" w:w="51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Impact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B-01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veldverificatie — audit is 100% document-based</w:t>
            </w:r>
          </w:p>
        </w:tc>
        <w:tc>
          <w:tcPr>
            <w:tcW w:type="dxa" w:w="51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Kan niet bevestigen dat procedure in praktijk wordt gevolgd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B-02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certificaatverificatie — KOO bedrijfsprocescertificaat, DTA/DAV niet geverifieerd</w:t>
            </w:r>
          </w:p>
        </w:tc>
        <w:tc>
          <w:tcPr>
            <w:tcW w:type="dxa" w:w="51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Kan niet bevestigen dat KOO wettelijk bevoegd is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B-03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beoordeling van projectdocumentatie — werkplannen, RI&amp;E niet meegenomen</w:t>
            </w:r>
          </w:p>
        </w:tc>
        <w:tc>
          <w:tcPr>
            <w:tcW w:type="dxa" w:w="51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Procedure delegeert vele vereisten naar "project documentation"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B-04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beoordeling van subcontractor-arrangementen</w:t>
            </w:r>
          </w:p>
        </w:tc>
        <w:tc>
          <w:tcPr>
            <w:tcW w:type="dxa" w:w="51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Kan de ketenverantwoordelijkheid niet bevestigen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B-05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Batteryspray-methode validatie niet beoordeeld — VIP/SMA-rt status niet geverifieerd</w:t>
            </w:r>
          </w:p>
        </w:tc>
        <w:tc>
          <w:tcPr>
            <w:tcW w:type="dxa" w:w="51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Kan de rechtsgeldigheid van de methode niet bevestigen</w:t>
            </w:r>
          </w:p>
        </w:tc>
      </w:tr>
      <w:tr>
        <w:tc>
          <w:tcPr>
            <w:tcW w:type="dxa" w:w="68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B-06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Offshore-specifieke regelgeving (Mijnbouwwet, MARPOL) niet diepgaand meegenomen</w:t>
            </w:r>
          </w:p>
        </w:tc>
        <w:tc>
          <w:tcPr>
            <w:tcW w:type="dxa" w:w="5102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Mogelijke aanvullende eisen buiten Arbowetgeving</w:t>
            </w:r>
          </w:p>
        </w:tc>
      </w:tr>
      <w:tr>
        <w:tc>
          <w:tcPr>
            <w:tcW w:type="dxa" w:w="68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B-07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Actuele wijzigingen in wetgeving na 26-05-2025 niet meegenomen</w:t>
            </w:r>
          </w:p>
        </w:tc>
        <w:tc>
          <w:tcPr>
            <w:tcW w:type="dxa" w:w="5102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Wetgeving kan inmiddels zijn gewijzigd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Conclusie en Aanbevelingen</w:t>
      </w:r>
    </w:p>
    <w:p>
      <w:pPr>
        <w:pStyle w:val="Heading2"/>
      </w:pPr>
      <w:r>
        <w:rPr>
          <w:rFonts w:ascii="Calibri" w:hAnsi="Calibri"/>
          <w:color w:val="003366"/>
        </w:rPr>
        <w:t>5.1 Overall Conclusie</w:t>
      </w:r>
    </w:p>
    <w:p>
      <w:pPr>
        <w:spacing w:after="120"/>
      </w:pPr>
      <w:r>
        <w:rPr>
          <w:rFonts w:ascii="Calibri" w:hAnsi="Calibri"/>
          <w:b w:val="0"/>
          <w:i w:val="0"/>
          <w:color w:val="000000"/>
          <w:sz w:val="20"/>
        </w:rPr>
        <w:t>Het brondocument MSD 003.059 Asbestos Removal Procedure, Rev. 1 is een oppervlakkig kaderdocument dat de basisprincipes van asbestverwijdering beschrijft, maar ver afstaat van de gedetailleerde wettelijke vereisten uit het Arbobesluit Hoofdstuk 4 Afdeling 5. De procedure is geschreven als een algemene bedrijfsprocedure en niet als een uitvoerbare asbestverwijderingsprocedure die voldoet aan de Nederlandse asbestwetgeving.</w:t>
      </w:r>
    </w:p>
    <w:p>
      <w:pPr>
        <w:pStyle w:val="Heading2"/>
      </w:pPr>
      <w:r>
        <w:rPr>
          <w:rFonts w:ascii="Calibri" w:hAnsi="Calibri"/>
          <w:color w:val="003366"/>
        </w:rPr>
        <w:t>5.2 Top-10 Kritieke Tekortkomingen (Critical)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56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5669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Tekortkoming</w:t>
            </w:r>
          </w:p>
        </w:tc>
        <w:tc>
          <w:tcPr>
            <w:tcW w:type="dxa" w:w="5669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567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DTA-certificeringseis (art. 4.54d lid 5)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Asbestverwijdering RK 2/2A mag niet zonder DTA</w:t>
            </w:r>
          </w:p>
        </w:tc>
      </w:tr>
      <w:tr>
        <w:tc>
          <w:tcPr>
            <w:tcW w:type="dxa" w:w="567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2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DAV-certificeringseis (art. 4.54d lid 7)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Verwijderaars moeten gecertificeerd zijn</w:t>
            </w:r>
          </w:p>
        </w:tc>
      </w:tr>
      <w:tr>
        <w:tc>
          <w:tcPr>
            <w:tcW w:type="dxa" w:w="567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3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bedrijfsprocescertificaat-eis (art. 4.54d lid 1)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Bedrijf moet gecertificeerd zijn</w:t>
            </w:r>
          </w:p>
        </w:tc>
      </w:tr>
      <w:tr>
        <w:tc>
          <w:tcPr>
            <w:tcW w:type="dxa" w:w="567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4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Wettelijke grenswaarde 2.000 vezels/m³ ontbreekt (art. 4.46)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Kernparameter voor risicobeoordeling</w:t>
            </w:r>
          </w:p>
        </w:tc>
      </w:tr>
      <w:tr>
        <w:tc>
          <w:tcPr>
            <w:tcW w:type="dxa" w:w="567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5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P3-filtervereiste voor RPE (art. 4.48a + AI-03)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"Suitable" is onvoldoend</w:t>
            </w:r>
          </w:p>
        </w:tc>
      </w:tr>
      <w:tr>
        <w:tc>
          <w:tcPr>
            <w:tcW w:type="dxa" w:w="567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6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jaarlijkse masker-fittest (AI-03 §5)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 verplicht sinds 2015</w:t>
            </w:r>
          </w:p>
        </w:tc>
      </w:tr>
      <w:tr>
        <w:tc>
          <w:tcPr>
            <w:tcW w:type="dxa" w:w="567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7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wettelijke eindbeoordeling NEN 2990 / 10.000 vezels/m³ (art. 4.51a)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567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8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verzwaarde eindbeoordeling voor RK 2A (SEM, art. 4.53c)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</w:r>
          </w:p>
        </w:tc>
      </w:tr>
      <w:tr>
        <w:tc>
          <w:tcPr>
            <w:tcW w:type="dxa" w:w="567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9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exposuresregister (art. 4.53)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Wettelijk verplichte registratie van blootstelling</w:t>
            </w:r>
          </w:p>
        </w:tc>
      </w:tr>
      <w:tr>
        <w:tc>
          <w:tcPr>
            <w:tcW w:type="dxa" w:w="567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10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Half-face maskers als optie genoemd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Onvoldoend voor asbestverwijdering RK 2/2A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5.3 Aanbevelingen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Prioriteit</w:t>
            </w:r>
          </w:p>
        </w:tc>
        <w:tc>
          <w:tcPr>
            <w:tcW w:type="dxa" w:w="907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Aanbeveling</w:t>
            </w:r>
          </w:p>
        </w:tc>
      </w:tr>
      <w:tr>
        <w:tc>
          <w:tcPr>
            <w:tcW w:type="dxa" w:w="198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Onmiddellijk</w:t>
            </w:r>
          </w:p>
        </w:tc>
        <w:tc>
          <w:tcPr>
            <w:tcW w:type="dxa" w:w="907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1. Herschrijf procedure met expliciete referenties aan Arbobesluit art. 4.37-4.57</w:t>
            </w:r>
          </w:p>
        </w:tc>
      </w:tr>
      <w:tr>
        <w:tc>
          <w:tcPr>
            <w:tcW w:type="dxa" w:w="198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Onmiddellijk</w:t>
            </w:r>
          </w:p>
        </w:tc>
        <w:tc>
          <w:tcPr>
            <w:tcW w:type="dxa" w:w="907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2. Neem wettelijke risicoklassen (1, 2, 2A), grenswaarden (2.000 vezels/m³) en vrijgavenormen (10.000 vezels/m³) op</w:t>
            </w:r>
          </w:p>
        </w:tc>
      </w:tr>
      <w:tr>
        <w:tc>
          <w:tcPr>
            <w:tcW w:type="dxa" w:w="198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Onmiddellijk</w:t>
            </w:r>
          </w:p>
        </w:tc>
        <w:tc>
          <w:tcPr>
            <w:tcW w:type="dxa" w:w="907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3. Specificeer certificeringseisen: bedrijfsprocescertificaat, DTA (SC-510), DAV</w:t>
            </w:r>
          </w:p>
        </w:tc>
      </w:tr>
      <w:tr>
        <w:tc>
          <w:tcPr>
            <w:tcW w:type="dxa" w:w="198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Onmiddellijk</w:t>
            </w:r>
          </w:p>
        </w:tc>
        <w:tc>
          <w:tcPr>
            <w:tcW w:type="dxa" w:w="907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4. Neem P3-filtervereiste, APF-systematiek, jaarlijkse fittest en draagtijdbeperkingen op</w:t>
            </w:r>
          </w:p>
        </w:tc>
      </w:tr>
      <w:tr>
        <w:tc>
          <w:tcPr>
            <w:tcW w:type="dxa" w:w="198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Onmiddellijk</w:t>
            </w:r>
          </w:p>
        </w:tc>
        <w:tc>
          <w:tcPr>
            <w:tcW w:type="dxa" w:w="907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5. Beschrijf wettelijke eindbeoordeling (NEN 2990, geaccrediteerd lab, vrijgavenorm) inclusief RK 2A SEM-analyse</w:t>
            </w:r>
          </w:p>
        </w:tc>
      </w:tr>
      <w:tr>
        <w:tc>
          <w:tcPr>
            <w:tcW w:type="dxa" w:w="198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Onmiddellijk</w:t>
            </w:r>
          </w:p>
        </w:tc>
        <w:tc>
          <w:tcPr>
            <w:tcW w:type="dxa" w:w="907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6. Neem exposuresregister, medische surveillance en LAVS-melding op</w:t>
            </w:r>
          </w:p>
        </w:tc>
      </w:tr>
      <w:tr>
        <w:tc>
          <w:tcPr>
            <w:tcW w:type="dxa" w:w="198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Kortlopend (3 mnd)</w:t>
            </w:r>
          </w:p>
        </w:tc>
        <w:tc>
          <w:tcPr>
            <w:tcW w:type="dxa" w:w="907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7. Verifieer Batteryspray-methode via VIP/SMA-rt; documenteer goedkeuringsstatus</w:t>
            </w:r>
          </w:p>
        </w:tc>
      </w:tr>
      <w:tr>
        <w:tc>
          <w:tcPr>
            <w:tcW w:type="dxa" w:w="198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Kortlopend (3 mnd)</w:t>
            </w:r>
          </w:p>
        </w:tc>
        <w:tc>
          <w:tcPr>
            <w:tcW w:type="dxa" w:w="907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8. Neem hygiëne-eisen op: rookverbod, was-/doucheruimtes, decontaminatie-unit</w:t>
            </w:r>
          </w:p>
        </w:tc>
      </w:tr>
      <w:tr>
        <w:tc>
          <w:tcPr>
            <w:tcW w:type="dxa" w:w="198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Kortlopend (3 mnd)</w:t>
            </w:r>
          </w:p>
        </w:tc>
        <w:tc>
          <w:tcPr>
            <w:tcW w:type="dxa" w:w="907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9. Beschrijf uitzonderingen inventarisatieplicht (art. 4.54b), relevant voor procesinstallatie-pakkingen</w:t>
            </w:r>
          </w:p>
        </w:tc>
      </w:tr>
      <w:tr>
        <w:tc>
          <w:tcPr>
            <w:tcW w:type="dxa" w:w="198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Kortlopend (3 mnd)</w:t>
            </w:r>
          </w:p>
        </w:tc>
        <w:tc>
          <w:tcPr>
            <w:tcW w:type="dxa" w:w="907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10. Neem dubbele afvalverpakking met asbestetiket op conform Productenbesluit asbest</w:t>
            </w:r>
          </w:p>
        </w:tc>
      </w:tr>
      <w:tr>
        <w:tc>
          <w:tcPr>
            <w:tcW w:type="dxa" w:w="198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Middellang (6 mnd)</w:t>
            </w:r>
          </w:p>
        </w:tc>
        <w:tc>
          <w:tcPr>
            <w:tcW w:type="dxa" w:w="907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11. Ontwikkel offshore-specifieke bijlage met overboard-discharge controle, EX-zone eisen</w:t>
            </w:r>
          </w:p>
        </w:tc>
      </w:tr>
      <w:tr>
        <w:tc>
          <w:tcPr>
            <w:tcW w:type="dxa" w:w="1984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Middellang (6 mnd)</w:t>
            </w:r>
          </w:p>
        </w:tc>
        <w:tc>
          <w:tcPr>
            <w:tcW w:type="dxa" w:w="907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12. Integreer procedure met KOO RI&amp;E en jaarlijkse beoordeling cyclus</w:t>
            </w:r>
          </w:p>
        </w:tc>
      </w:tr>
      <w:tr>
        <w:tc>
          <w:tcPr>
            <w:tcW w:type="dxa" w:w="1984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Middellang (6 mnd)</w:t>
            </w:r>
          </w:p>
        </w:tc>
        <w:tc>
          <w:tcPr>
            <w:tcW w:type="dxa" w:w="907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13. Ontwikkel een trainingmatrix die art. 4.45b (9 onderwerpen) volledig dekt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5.4 Definitief Oordeel</w:t>
      </w:r>
    </w:p>
    <w:p>
      <w:pPr>
        <w:spacing w:after="120"/>
      </w:pPr>
      <w:r>
        <w:rPr>
          <w:rFonts w:ascii="Calibri" w:hAnsi="Calibri"/>
          <w:b/>
          <w:i w:val="0"/>
          <w:color w:val="C00000"/>
          <w:sz w:val="20"/>
        </w:rPr>
        <w:t>MSD 003.059 Rev. 1 is in huidige vorm NIET geschikt als standalone compliance-document voor asbestverwijdering onder Nederlandse wetgeving. Het document functioneert als een algemeen kader maar delegeert de essentiële wettelijke vereisten naar niet-gespecificeerde "project documentation". Dit creëert een aanzienlijk nalevingsrisico. Het document moet worden herschreven met directe referenties aan Arbobesluit Hoofdstuk 4 Afdeling 5, concrete parameters (grenswaarden, risicoklassen, vrijgavenormen), en specifieke certificeringseisen.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TierVerify Log</w:t>
      </w:r>
    </w:p>
    <w:p>
      <w:pPr>
        <w:pStyle w:val="Heading2"/>
      </w:pPr>
      <w:r>
        <w:rPr>
          <w:rFonts w:ascii="Calibri" w:hAnsi="Calibri"/>
          <w:color w:val="003366"/>
        </w:rPr>
        <w:t>6.1 Bronverificatie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Bron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Versie/Datum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Completeness</w:t>
            </w:r>
          </w:p>
        </w:tc>
      </w:tr>
      <w:tr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MSD 003.059 Rev. 1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Brondocument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19-05-2026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Volledig gelezen (17 pags)</w:t>
            </w:r>
          </w:p>
        </w:tc>
        <w:tc>
          <w:tcPr>
            <w:tcW w:type="dxa" w:w="226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Compleet</w:t>
            </w:r>
          </w:p>
        </w:tc>
      </w:tr>
      <w:tr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Arbobesluit 2025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Wetgeving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26-05-2025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H4 Afd. 5 volledig</w:t>
            </w:r>
          </w:p>
        </w:tc>
        <w:tc>
          <w:tcPr>
            <w:tcW w:type="dxa" w:w="226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Compleet</w:t>
            </w:r>
          </w:p>
        </w:tc>
      </w:tr>
      <w:tr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Arbeidsomstandighedenwet 2025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Wetgeving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26-05-2025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Algemene principes</w:t>
            </w:r>
          </w:p>
        </w:tc>
        <w:tc>
          <w:tcPr>
            <w:tcW w:type="dxa" w:w="226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Voldoende</w:t>
            </w:r>
          </w:p>
        </w:tc>
      </w:tr>
      <w:tr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Asbest (AI-03)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AI-blad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12-07-2023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Volledig uitgelezen</w:t>
            </w:r>
          </w:p>
        </w:tc>
        <w:tc>
          <w:tcPr>
            <w:tcW w:type="dxa" w:w="226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Compleet</w:t>
            </w:r>
          </w:p>
        </w:tc>
      </w:tr>
      <w:tr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NEN 2990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Norm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Via AI-03</w:t>
            </w:r>
          </w:p>
        </w:tc>
        <w:tc>
          <w:tcPr>
            <w:tcW w:type="dxa" w:w="2835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Niet direct ingelezen</w:t>
            </w:r>
          </w:p>
        </w:tc>
        <w:tc>
          <w:tcPr>
            <w:tcW w:type="dxa" w:w="226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Via AI-03</w:t>
            </w:r>
          </w:p>
        </w:tc>
      </w:tr>
      <w:tr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Certificatieschema SCA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Bindend schema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Via AI-03</w:t>
            </w:r>
          </w:p>
        </w:tc>
        <w:tc>
          <w:tcPr>
            <w:tcW w:type="dxa" w:w="2835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Schema-eisen verwerkt</w:t>
            </w:r>
          </w:p>
        </w:tc>
        <w:tc>
          <w:tcPr>
            <w:tcW w:type="dxa" w:w="226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Voldoende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6.2 Consistency Checks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5669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Check</w:t>
            </w:r>
          </w:p>
        </w:tc>
        <w:tc>
          <w:tcPr>
            <w:tcW w:type="dxa" w:w="5669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Resultaat</w:t>
            </w:r>
          </w:p>
        </w:tc>
      </w:tr>
      <w:tr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Brondocument interne consistentie (§4.6.2 vs Annex I)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PASS — consistent</w:t>
            </w:r>
          </w:p>
        </w:tc>
      </w:tr>
      <w:tr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Brondocument referenties vs referentiekader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FAIL — §7 noemt NEN 2990 maar geen Arbobesluit, Arboregeling, Productenbesluit, SCA</w:t>
            </w:r>
          </w:p>
        </w:tc>
      </w:tr>
      <w:tr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AI-03 vs Arbobesluit art. 4.37-4.57</w:t>
            </w:r>
          </w:p>
        </w:tc>
        <w:tc>
          <w:tcPr>
            <w:tcW w:type="dxa" w:w="5669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PASS — AI-03 is consistent met Arbobesluit</w:t>
            </w:r>
          </w:p>
        </w:tc>
      </w:tr>
      <w:tr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Brondocument claims vs Arbobesluit eisen</w:t>
            </w:r>
          </w:p>
        </w:tc>
        <w:tc>
          <w:tcPr>
            <w:tcW w:type="dxa" w:w="5669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FAIL — document claimt volledigheid maar mist 10 kritieke vereisten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6.3 Source Hierarchy</w:t>
      </w:r>
    </w:p>
    <w:p>
      <w:pPr>
        <w:pStyle w:val="ListNumber"/>
      </w:pPr>
      <w:r>
        <w:t>1. Arbobesluit 2025 (primair — wettelijk bindend)</w:t>
      </w:r>
    </w:p>
    <w:p>
      <w:pPr>
        <w:pStyle w:val="ListNumber"/>
      </w:pPr>
      <w:r>
        <w:t>2. Arboregeling (uitvoeringsbepalingen)</w:t>
      </w:r>
    </w:p>
    <w:p>
      <w:pPr>
        <w:pStyle w:val="ListNumber"/>
      </w:pPr>
      <w:r>
        <w:t>3. AI-03 Asbest (praktijkinterpretatie — autoritatief)</w:t>
      </w:r>
    </w:p>
    <w:p>
      <w:pPr>
        <w:pStyle w:val="ListNumber"/>
      </w:pPr>
      <w:r>
        <w:t>4. Certificatieschema SCA (bindend voor gecertificeerde bedrijven)</w:t>
      </w:r>
    </w:p>
    <w:p>
      <w:pPr>
        <w:pStyle w:val="ListNumber"/>
      </w:pPr>
      <w:r>
        <w:t>5. NEN 2990 (genormaliseerde meetmethode)</w:t>
      </w:r>
    </w:p>
    <w:p>
      <w:pPr>
        <w:pStyle w:val="ListNumber"/>
      </w:pPr>
      <w:r>
        <w:t>6. Brondocument (KOO interne procedure — auditobject)</w:t>
      </w:r>
    </w:p>
    <w:p>
      <w:pPr>
        <w:pStyle w:val="Heading2"/>
      </w:pPr>
      <w:r>
        <w:rPr>
          <w:rFonts w:ascii="Calibri" w:hAnsi="Calibri"/>
          <w:color w:val="003366"/>
        </w:rPr>
        <w:t>6.4 Data Quality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Dimensie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Score</w:t>
            </w:r>
          </w:p>
        </w:tc>
        <w:tc>
          <w:tcPr>
            <w:tcW w:type="dxa" w:w="737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Toelichting</w:t>
            </w:r>
          </w:p>
        </w:tc>
      </w:tr>
      <w:tr>
        <w:tc>
          <w:tcPr>
            <w:tcW w:type="dxa" w:w="226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Volledigheid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Onvoldoende</w:t>
            </w:r>
          </w:p>
        </w:tc>
        <w:tc>
          <w:tcPr>
            <w:tcW w:type="dxa" w:w="737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10 Critical, 22 Major gaps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Concreetheid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Onvoldoende</w:t>
            </w:r>
          </w:p>
        </w:tc>
        <w:tc>
          <w:tcPr>
            <w:tcW w:type="dxa" w:w="737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Veel algemene bewoordingen ("where required", "applicable")</w:t>
            </w:r>
          </w:p>
        </w:tc>
      </w:tr>
      <w:tr>
        <w:tc>
          <w:tcPr>
            <w:tcW w:type="dxa" w:w="226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Traceerbaarheid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Onvoldoende</w:t>
            </w:r>
          </w:p>
        </w:tc>
        <w:tc>
          <w:tcPr>
            <w:tcW w:type="dxa" w:w="737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Geen verwijzing naar specifieke wetsartikelen</w:t>
            </w:r>
          </w:p>
        </w:tc>
      </w:tr>
      <w:tr>
        <w:tc>
          <w:tcPr>
            <w:tcW w:type="dxa" w:w="2268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Uitvoerbaarheid</w:t>
            </w:r>
          </w:p>
        </w:tc>
        <w:tc>
          <w:tcPr>
            <w:tcW w:type="dxa" w:w="1701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Marginaal</w:t>
            </w:r>
          </w:p>
        </w:tc>
        <w:tc>
          <w:tcPr>
            <w:tcW w:type="dxa" w:w="7370"/>
            <w:shd w:fill="F5F7FA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Basisprincipes juist maar niet operationeel</w:t>
            </w:r>
          </w:p>
        </w:tc>
      </w:tr>
      <w:tr>
        <w:tc>
          <w:tcPr>
            <w:tcW w:type="dxa" w:w="2268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Internal consistency</w:t>
            </w:r>
          </w:p>
        </w:tc>
        <w:tc>
          <w:tcPr>
            <w:tcW w:type="dxa" w:w="1701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Goed</w:t>
            </w:r>
          </w:p>
        </w:tc>
        <w:tc>
          <w:tcPr>
            <w:tcW w:type="dxa" w:w="7370"/>
            <w:shd w:fill="FFFFFF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</w:tcPr>
          <w:p>
            <w:r/>
            <w:r>
              <w:rPr>
                <w:rFonts w:ascii="Calibri" w:hAnsi="Calibri"/>
                <w:sz w:val="15"/>
              </w:rPr>
              <w:t>Document is intern consistent</w:t>
            </w:r>
          </w:p>
        </w:tc>
      </w:tr>
    </w:tbl>
    <w:p/>
    <w:p>
      <w:pPr>
        <w:jc w:val="center"/>
      </w:pPr>
      <w:r>
        <w:rPr>
          <w:b/>
          <w:color w:val="595959"/>
          <w:sz w:val="18"/>
        </w:rPr>
        <w:t>Einde auditrapport</w:t>
        <w:br/>
      </w:r>
    </w:p>
    <w:p>
      <w:pPr>
        <w:jc w:val="center"/>
      </w:pPr>
      <w:r>
        <w:rPr>
          <w:i/>
          <w:color w:val="595959"/>
          <w:sz w:val="16"/>
        </w:rPr>
        <w:t>Dit rapport is gebaseerd op documentatie beschikbaar op 10 augustus 2026.</w:t>
        <w:br/>
        <w:t>JvG HSEQ Consultancy — "Snoeihard op de inhoud, pragmatisch in het advies."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134" w:right="850" w:bottom="113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4"/>
      </w:rPr>
      <w:t>Vertrouwelijk — Alleen voor distribute control — © JvG Consultancy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03366"/>
        <w:sz w:val="16"/>
      </w:rPr>
      <w:t>JvG Consultancy — HSEQ Division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