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Compliance Audit — Asbest 003.059</w:t>
      </w:r>
    </w:p>
    <w:bookmarkStart w:id="43" w:name="Xc26b09f484ebb8c1764c5dbde96ac6644832061"/>
    <w:p>
      <w:pPr>
        <w:pStyle w:val="Heading1"/>
      </w:pPr>
      <w:r>
        <w:t xml:space="preserve">Compliance Audit — Asbestos Removal Procedure 003.059</w:t>
      </w:r>
    </w:p>
    <w:bookmarkStart w:id="20" w:name="rapportdatum-11-augustus-2026"/>
    <w:p>
      <w:pPr>
        <w:pStyle w:val="Heading2"/>
      </w:pPr>
      <w:r>
        <w:t xml:space="preserve">Rapportdatum: 11 augustus 2026</w:t>
      </w:r>
    </w:p>
    <w:p>
      <w:pPr>
        <w:pStyle w:val="FirstParagraph"/>
      </w:pPr>
      <w:r>
        <w:rPr>
          <w:b/>
          <w:bCs/>
        </w:rPr>
        <w:t xml:space="preserve">Auditor:</w:t>
      </w:r>
      <w:r>
        <w:t xml:space="preserve"> </w:t>
      </w:r>
      <w:r>
        <w:t xml:space="preserve">Kas (Director of Operations) — JvG Consultancy</w:t>
      </w:r>
      <w:r>
        <w:t xml:space="preserve"> </w:t>
      </w:r>
      <w:r>
        <w:rPr>
          <w:b/>
          <w:bCs/>
        </w:rPr>
        <w:t xml:space="preserve">Brondocument:</w:t>
      </w:r>
      <w:r>
        <w:t xml:space="preserve"> </w:t>
      </w:r>
      <w:r>
        <w:t xml:space="preserve">003.059 Asbestos Removal Procedure Rev 1 (KOO B.V., 19 mei 2026)</w:t>
      </w:r>
      <w:r>
        <w:t xml:space="preserve"> </w:t>
      </w:r>
      <w:r>
        <w:rPr>
          <w:b/>
          <w:bCs/>
        </w:rPr>
        <w:t xml:space="preserve">Referentiekader:</w:t>
      </w:r>
      <w:r>
        <w:t xml:space="preserve"> </w:t>
      </w:r>
      <w:r>
        <w:t xml:space="preserve">AI-blad 3</w:t>
      </w:r>
      <w:r>
        <w:t xml:space="preserve"> </w:t>
      </w:r>
      <w:r>
        <w:t xml:space="preserve">“</w:t>
      </w:r>
      <w:r>
        <w:t xml:space="preserve">Asbest</w:t>
      </w:r>
      <w:r>
        <w:t xml:space="preserve">”</w:t>
      </w:r>
      <w:r>
        <w:t xml:space="preserve"> </w:t>
      </w:r>
      <w:r>
        <w:t xml:space="preserve">(Sdu HSE, bijgewerkt juli 2022), Arbeidsomstandighedenwet/-besluit, Omgevingswet</w:t>
      </w:r>
      <w:r>
        <w:t xml:space="preserve"> </w:t>
      </w:r>
      <w:r>
        <w:rPr>
          <w:b/>
          <w:bCs/>
        </w:rPr>
        <w:t xml:space="preserve">Type:</w:t>
      </w:r>
      <w:r>
        <w:t xml:space="preserve"> </w:t>
      </w:r>
      <w:r>
        <w:t xml:space="preserve">Document-based compliance audit (HSEQ Tier 3)</w:t>
      </w:r>
    </w:p>
    <w:p>
      <w:r>
        <w:pict>
          <v:rect style="width:0;height:1.5pt" o:hralign="center" o:hrstd="t" o:hr="t"/>
        </w:pict>
      </w:r>
    </w:p>
    <w:bookmarkEnd w:id="20"/>
    <w:bookmarkStart w:id="23" w:name="managementsamenvatting"/>
    <w:p>
      <w:pPr>
        <w:pStyle w:val="Heading2"/>
      </w:pPr>
      <w:r>
        <w:t xml:space="preserve">1. Managementsamenvatting</w:t>
      </w:r>
    </w:p>
    <w:p>
      <w:pPr>
        <w:pStyle w:val="FirstParagraph"/>
      </w:pPr>
      <w:r>
        <w:t xml:space="preserve">De Asbestos Removal Procedure 003.059 van Koole Offshore Operations (KOO) is een algemene procedure die de minimumeisen beschrijft voor veilige asbestverwijdering in offshore en onshore operaties. De audit toetst dit document aan AI-blad 3, de Arbowet en de Omgevingswet.</w:t>
      </w:r>
    </w:p>
    <w:bookmarkStart w:id="21" w:name="X1490097276225b1d6ab8db6b99401eb0017fc39"/>
    <w:p>
      <w:pPr>
        <w:pStyle w:val="Heading3"/>
      </w:pPr>
      <w:r>
        <w:t xml:space="preserve">Overall verdict:</w:t>
      </w:r>
      <w:r>
        <w:t xml:space="preserve"> </w:t>
      </w:r>
      <w:r>
        <w:rPr>
          <w:b/>
          <w:bCs/>
        </w:rPr>
        <w:t xml:space="preserve">VOLDOENDE MET AFWIJKINGEN</w:t>
      </w:r>
    </w:p>
    <w:p>
      <w:pPr>
        <w:pStyle w:val="FirstParagraph"/>
      </w:pPr>
      <w:r>
        <w:t xml:space="preserve">De procedure biedt een solide algemeen kader voor asbestverwijdering, maar bevat</w:t>
      </w:r>
      <w:r>
        <w:t xml:space="preserve"> </w:t>
      </w:r>
      <w:r>
        <w:rPr>
          <w:b/>
          <w:bCs/>
        </w:rPr>
        <w:t xml:space="preserve">kritieke tekortkomingen</w:t>
      </w:r>
      <w:r>
        <w:t xml:space="preserve"> </w:t>
      </w:r>
      <w:r>
        <w:t xml:space="preserve">op het gebied van wettelijk verplichte certificeringen, specifieke risicoklasse-indeling (SMA-rt), en gedetailleerde eindeisen (NEN 2990, vrijgavegrenzen). De procedure is geschreven als een bedrijfsbreed kaderdocument, maar mist de juridische specificiteit die AI-blad 3 en het Arbobesluit vereisen voor daadwerkelijke uitvoering van asbestverwijderingswerkzaamheden.</w:t>
      </w:r>
    </w:p>
    <w:bookmarkEnd w:id="21"/>
    <w:bookmarkStart w:id="22" w:name="bevindingen-samengevat"/>
    <w:p>
      <w:pPr>
        <w:pStyle w:val="Heading3"/>
      </w:pPr>
      <w:r>
        <w:t xml:space="preserve">Bevindingen samengevat</w:t>
      </w:r>
    </w:p>
    <w:tbl>
      <w:tblPr>
        <w:tblStyle w:val="Table"/>
        <w:tblW w:type="auto" w:w="0"/>
        <w:jc w:val="left"/>
        <w:tblLook w:firstRow="1" w:lastRow="0" w:firstColumn="0" w:lastColumn="0" w:noHBand="0" w:noVBand="0" w:val="0020"/>
      </w:tblPr>
      <w:tblGrid>
        <w:gridCol w:w="3960"/>
        <w:gridCol w:w="3960"/>
      </w:tblGrid>
      <w:tr>
        <w:trPr>
          <w:tblHeader w:val="on"/>
        </w:trPr>
        <w:tc>
          <w:tcPr/>
          <w:p>
            <w:pPr>
              <w:pStyle w:val="Compact"/>
              <w:jc w:val="left"/>
            </w:pPr>
            <w:r>
              <w:t xml:space="preserve">Risiconiveau</w:t>
            </w:r>
          </w:p>
        </w:tc>
        <w:tc>
          <w:tcPr/>
          <w:p>
            <w:pPr>
              <w:pStyle w:val="Compact"/>
              <w:jc w:val="left"/>
            </w:pPr>
            <w:r>
              <w:t xml:space="preserve">Aantal</w:t>
            </w:r>
          </w:p>
        </w:tc>
      </w:tr>
      <w:tr>
        <w:tc>
          <w:tcPr/>
          <w:p>
            <w:pPr>
              <w:pStyle w:val="Compact"/>
              <w:jc w:val="left"/>
            </w:pPr>
            <w:r>
              <w:t xml:space="preserve">🔴 ROOD (critiek)</w:t>
            </w:r>
          </w:p>
        </w:tc>
        <w:tc>
          <w:tcPr/>
          <w:p>
            <w:pPr>
              <w:pStyle w:val="Compact"/>
              <w:jc w:val="left"/>
            </w:pPr>
            <w:r>
              <w:t xml:space="preserve">5</w:t>
            </w:r>
          </w:p>
        </w:tc>
      </w:tr>
      <w:tr>
        <w:tc>
          <w:tcPr/>
          <w:p>
            <w:pPr>
              <w:pStyle w:val="Compact"/>
              <w:jc w:val="left"/>
            </w:pPr>
            <w:r>
              <w:t xml:space="preserve">🟠 ORANJE (substantieel)</w:t>
            </w:r>
          </w:p>
        </w:tc>
        <w:tc>
          <w:tcPr/>
          <w:p>
            <w:pPr>
              <w:pStyle w:val="Compact"/>
              <w:jc w:val="left"/>
            </w:pPr>
            <w:r>
              <w:t xml:space="preserve">8</w:t>
            </w:r>
          </w:p>
        </w:tc>
      </w:tr>
      <w:tr>
        <w:tc>
          <w:tcPr/>
          <w:p>
            <w:pPr>
              <w:pStyle w:val="Compact"/>
              <w:jc w:val="left"/>
            </w:pPr>
            <w:r>
              <w:t xml:space="preserve">🟢 GROEN (minor)</w:t>
            </w:r>
          </w:p>
        </w:tc>
        <w:tc>
          <w:tcPr/>
          <w:p>
            <w:pPr>
              <w:pStyle w:val="Compact"/>
              <w:jc w:val="left"/>
            </w:pPr>
            <w:r>
              <w:t xml:space="preserve">4</w:t>
            </w:r>
          </w:p>
        </w:tc>
      </w:tr>
    </w:tbl>
    <w:p>
      <w:r>
        <w:pict>
          <v:rect style="width:0;height:1.5pt" o:hralign="center" o:hrstd="t" o:hr="t"/>
        </w:pict>
      </w:r>
    </w:p>
    <w:bookmarkEnd w:id="22"/>
    <w:bookmarkEnd w:id="23"/>
    <w:bookmarkStart w:id="27" w:name="conformiteitsmatrix"/>
    <w:p>
      <w:pPr>
        <w:pStyle w:val="Heading2"/>
      </w:pPr>
      <w:r>
        <w:t xml:space="preserve">2. Conformiteitsmatrix</w:t>
      </w:r>
    </w:p>
    <w:bookmarkStart w:id="24" w:name="ai-blad-3-eisen-systematische-toetsing"/>
    <w:p>
      <w:pPr>
        <w:pStyle w:val="Heading3"/>
      </w:pPr>
      <w:r>
        <w:t xml:space="preserve">2.1 AI-blad 3 Eisen — Systematische Toetsing</w:t>
      </w:r>
    </w:p>
    <w:tbl>
      <w:tblPr>
        <w:tblStyle w:val="Table"/>
        <w:tblW w:type="pct" w:w="5000"/>
        <w:jc w:val="left"/>
        <w:tblLayout w:type="fixed"/>
        <w:tblLook w:firstRow="1" w:lastRow="0" w:firstColumn="0" w:lastColumn="0" w:noHBand="0" w:noVBand="0" w:val="0020"/>
      </w:tblPr>
      <w:tblGrid>
        <w:gridCol w:w="286"/>
        <w:gridCol w:w="1335"/>
        <w:gridCol w:w="1431"/>
        <w:gridCol w:w="2099"/>
        <w:gridCol w:w="763"/>
        <w:gridCol w:w="763"/>
        <w:gridCol w:w="1240"/>
      </w:tblGrid>
      <w:tr>
        <w:trPr>
          <w:tblHeader w:val="on"/>
        </w:trPr>
        <w:tc>
          <w:tcPr/>
          <w:p>
            <w:pPr>
              <w:pStyle w:val="Compact"/>
              <w:jc w:val="left"/>
            </w:pPr>
            <w:r>
              <w:t xml:space="preserve">#</w:t>
            </w:r>
          </w:p>
        </w:tc>
        <w:tc>
          <w:tcPr/>
          <w:p>
            <w:pPr>
              <w:pStyle w:val="Compact"/>
              <w:jc w:val="left"/>
            </w:pPr>
            <w:r>
              <w:t xml:space="preserve">AI-blad 3 Eis</w:t>
            </w:r>
          </w:p>
        </w:tc>
        <w:tc>
          <w:tcPr/>
          <w:p>
            <w:pPr>
              <w:pStyle w:val="Compact"/>
              <w:jc w:val="left"/>
            </w:pPr>
            <w:r>
              <w:t xml:space="preserve">Bron AI-blad 3</w:t>
            </w:r>
          </w:p>
        </w:tc>
        <w:tc>
          <w:tcPr/>
          <w:p>
            <w:pPr>
              <w:pStyle w:val="Compact"/>
              <w:jc w:val="left"/>
            </w:pPr>
            <w:r>
              <w:t xml:space="preserve">Procedure 003.059 Ref.</w:t>
            </w:r>
          </w:p>
        </w:tc>
        <w:tc>
          <w:tcPr/>
          <w:p>
            <w:pPr>
              <w:pStyle w:val="Compact"/>
              <w:jc w:val="left"/>
            </w:pPr>
            <w:r>
              <w:t xml:space="preserve">Status</w:t>
            </w:r>
          </w:p>
        </w:tc>
        <w:tc>
          <w:tcPr/>
          <w:p>
            <w:pPr>
              <w:pStyle w:val="Compact"/>
              <w:jc w:val="left"/>
            </w:pPr>
            <w:r>
              <w:t xml:space="preserve">Risico</w:t>
            </w:r>
          </w:p>
        </w:tc>
        <w:tc>
          <w:tcPr/>
          <w:p>
            <w:pPr>
              <w:pStyle w:val="Compact"/>
              <w:jc w:val="left"/>
            </w:pPr>
            <w:r>
              <w:t xml:space="preserve">Toelichting</w:t>
            </w:r>
          </w:p>
        </w:tc>
      </w:tr>
      <w:tr>
        <w:tc>
          <w:tcPr/>
          <w:p>
            <w:pPr>
              <w:pStyle w:val="Compact"/>
              <w:jc w:val="left"/>
            </w:pPr>
            <w:r>
              <w:t xml:space="preserve">1</w:t>
            </w:r>
          </w:p>
        </w:tc>
        <w:tc>
          <w:tcPr/>
          <w:p>
            <w:pPr>
              <w:pStyle w:val="Compact"/>
              <w:jc w:val="left"/>
            </w:pPr>
            <w:r>
              <w:rPr>
                <w:b/>
                <w:bCs/>
              </w:rPr>
              <w:t xml:space="preserve">Asbestinventarisatie verplicht voorafgaand aan verwijdering</w:t>
            </w:r>
          </w:p>
        </w:tc>
        <w:tc>
          <w:tcPr/>
          <w:p>
            <w:pPr>
              <w:pStyle w:val="Compact"/>
              <w:jc w:val="left"/>
            </w:pPr>
            <w:r>
              <w:t xml:space="preserve">§4.1.1, art. 4.54a Arbobesluit</w:t>
            </w:r>
          </w:p>
        </w:tc>
        <w:tc>
          <w:tcPr/>
          <w:p>
            <w:pPr>
              <w:pStyle w:val="Compact"/>
              <w:jc w:val="left"/>
            </w:pPr>
            <w:r>
              <w:t xml:space="preserve">§4.1</w:t>
            </w:r>
            <w:r>
              <w:t xml:space="preserve"> </w:t>
            </w:r>
            <w:r>
              <w:t xml:space="preserve">“</w:t>
            </w:r>
            <w:r>
              <w:t xml:space="preserve">Regulatory and Inventory Requirements</w:t>
            </w:r>
            <w:r>
              <w:t xml:space="preserve">”</w:t>
            </w:r>
          </w:p>
        </w:tc>
        <w:tc>
          <w:tcPr/>
          <w:p>
            <w:pPr>
              <w:pStyle w:val="Compact"/>
              <w:jc w:val="left"/>
            </w:pPr>
            <w:r>
              <w:t xml:space="preserve">✅ CONFORM</w:t>
            </w:r>
          </w:p>
        </w:tc>
        <w:tc>
          <w:tcPr/>
          <w:p>
            <w:pPr>
              <w:pStyle w:val="Compact"/>
              <w:jc w:val="left"/>
            </w:pPr>
            <w:r>
              <w:t xml:space="preserve">🟢</w:t>
            </w:r>
          </w:p>
        </w:tc>
        <w:tc>
          <w:tcPr/>
          <w:p>
            <w:pPr>
              <w:pStyle w:val="Compact"/>
              <w:jc w:val="left"/>
            </w:pPr>
            <w:r>
              <w:t xml:space="preserve">Procedure vereist</w:t>
            </w:r>
            <w:r>
              <w:t xml:space="preserve"> </w:t>
            </w:r>
            <w:r>
              <w:t xml:space="preserve">“</w:t>
            </w:r>
            <w:r>
              <w:t xml:space="preserve">approved asbestos inventory information</w:t>
            </w:r>
            <w:r>
              <w:t xml:space="preserve">”</w:t>
            </w:r>
            <w:r>
              <w:t xml:space="preserve"> </w:t>
            </w:r>
            <w:r>
              <w:t xml:space="preserve">en</w:t>
            </w:r>
            <w:r>
              <w:t xml:space="preserve"> </w:t>
            </w:r>
            <w:r>
              <w:t xml:space="preserve">“</w:t>
            </w:r>
            <w:r>
              <w:t xml:space="preserve">asbestos survey reports</w:t>
            </w:r>
            <w:r>
              <w:t xml:space="preserve">”</w:t>
            </w:r>
            <w:r>
              <w:t xml:space="preserve"> </w:t>
            </w:r>
            <w:r>
              <w:t xml:space="preserve">vóór aanvang. Dekking aanwezig.</w:t>
            </w:r>
          </w:p>
        </w:tc>
      </w:tr>
      <w:tr>
        <w:tc>
          <w:tcPr/>
          <w:p>
            <w:pPr>
              <w:pStyle w:val="Compact"/>
              <w:jc w:val="left"/>
            </w:pPr>
            <w:r>
              <w:t xml:space="preserve">2</w:t>
            </w:r>
          </w:p>
        </w:tc>
        <w:tc>
          <w:tcPr/>
          <w:p>
            <w:pPr>
              <w:pStyle w:val="Compact"/>
              <w:jc w:val="left"/>
            </w:pPr>
            <w:r>
              <w:rPr>
                <w:b/>
                <w:bCs/>
              </w:rPr>
              <w:t xml:space="preserve">Risicoklasse-indeling via SMA-rt (StoffenManager Asbest)</w:t>
            </w:r>
          </w:p>
        </w:tc>
        <w:tc>
          <w:tcPr/>
          <w:p>
            <w:pPr>
              <w:pStyle w:val="Compact"/>
              <w:jc w:val="left"/>
            </w:pPr>
            <w:r>
              <w:t xml:space="preserve">§4.1.3, §9.4.2</w:t>
            </w:r>
          </w:p>
        </w:tc>
        <w:tc>
          <w:tcPr/>
          <w:p>
            <w:pPr>
              <w:pStyle w:val="Compact"/>
              <w:jc w:val="left"/>
            </w:pPr>
            <w:r>
              <w:t xml:space="preserve">§4.2</w:t>
            </w:r>
            <w:r>
              <w:t xml:space="preserve"> </w:t>
            </w:r>
            <w:r>
              <w:t xml:space="preserve">“</w:t>
            </w:r>
            <w:r>
              <w:t xml:space="preserve">Risk Classification</w:t>
            </w:r>
            <w:r>
              <w:t xml:space="preserve">”</w:t>
            </w:r>
          </w:p>
        </w:tc>
        <w:tc>
          <w:tcPr/>
          <w:p>
            <w:pPr>
              <w:pStyle w:val="Compact"/>
              <w:jc w:val="left"/>
            </w:pPr>
            <w:r>
              <w:t xml:space="preserve">⚠️ AFWIJK</w:t>
            </w:r>
          </w:p>
        </w:tc>
        <w:tc>
          <w:tcPr/>
          <w:p>
            <w:pPr>
              <w:pStyle w:val="Compact"/>
              <w:jc w:val="left"/>
            </w:pPr>
            <w:r>
              <w:t xml:space="preserve">🟠</w:t>
            </w:r>
          </w:p>
        </w:tc>
        <w:tc>
          <w:tcPr/>
          <w:p>
            <w:pPr>
              <w:pStyle w:val="Compact"/>
              <w:jc w:val="left"/>
            </w:pPr>
            <w:r>
              <w:t xml:space="preserve">Procedure noemt</w:t>
            </w:r>
            <w:r>
              <w:t xml:space="preserve"> </w:t>
            </w:r>
            <w:r>
              <w:t xml:space="preserve">“</w:t>
            </w:r>
            <w:r>
              <w:t xml:space="preserve">applicable legislation and the identified exposure risk</w:t>
            </w:r>
            <w:r>
              <w:t xml:space="preserve">”</w:t>
            </w:r>
            <w:r>
              <w:t xml:space="preserve"> </w:t>
            </w:r>
            <w:r>
              <w:t xml:space="preserve">als basis voor classificatie, maar noemt SMA-rt niet expliciet. De wettelijk verplichte tool (SMA-rt) wordt niet bij naam genoemd.</w:t>
            </w:r>
          </w:p>
        </w:tc>
      </w:tr>
      <w:tr>
        <w:tc>
          <w:tcPr/>
          <w:p>
            <w:pPr>
              <w:pStyle w:val="Compact"/>
              <w:jc w:val="left"/>
            </w:pPr>
            <w:r>
              <w:t xml:space="preserve">3</w:t>
            </w:r>
          </w:p>
        </w:tc>
        <w:tc>
          <w:tcPr/>
          <w:p>
            <w:pPr>
              <w:pStyle w:val="Compact"/>
              <w:jc w:val="left"/>
            </w:pPr>
            <w:r>
              <w:rPr>
                <w:b/>
                <w:bCs/>
              </w:rPr>
              <w:t xml:space="preserve">Melding via LAVS (Landelijk Asbestvolgsysteem) aan Arbeidsinspectie</w:t>
            </w:r>
          </w:p>
        </w:tc>
        <w:tc>
          <w:tcPr/>
          <w:p>
            <w:pPr>
              <w:pStyle w:val="Compact"/>
              <w:jc w:val="left"/>
            </w:pPr>
            <w:r>
              <w:t xml:space="preserve">§4.1.1, §9.3.3</w:t>
            </w:r>
          </w:p>
        </w:tc>
        <w:tc>
          <w:tcPr/>
          <w:p>
            <w:pPr>
              <w:pStyle w:val="Compact"/>
              <w:jc w:val="left"/>
            </w:pPr>
            <w:r>
              <w:t xml:space="preserve">§4.1</w:t>
            </w:r>
            <w:r>
              <w:t xml:space="preserve"> </w:t>
            </w:r>
            <w:r>
              <w:t xml:space="preserve">“</w:t>
            </w:r>
            <w:r>
              <w:t xml:space="preserve">applicable notifications</w:t>
            </w:r>
            <w:r>
              <w:t xml:space="preserve">”</w:t>
            </w:r>
          </w:p>
        </w:tc>
        <w:tc>
          <w:tcPr/>
          <w:p>
            <w:pPr>
              <w:pStyle w:val="Compact"/>
              <w:jc w:val="left"/>
            </w:pPr>
            <w:r>
              <w:t xml:space="preserve">⚠️ AFWIJK</w:t>
            </w:r>
          </w:p>
        </w:tc>
        <w:tc>
          <w:tcPr/>
          <w:p>
            <w:pPr>
              <w:pStyle w:val="Compact"/>
              <w:jc w:val="left"/>
            </w:pPr>
            <w:r>
              <w:t xml:space="preserve">🔴</w:t>
            </w:r>
          </w:p>
        </w:tc>
        <w:tc>
          <w:tcPr/>
          <w:p>
            <w:pPr>
              <w:pStyle w:val="Compact"/>
              <w:jc w:val="left"/>
            </w:pPr>
            <w:r>
              <w:t xml:space="preserve">Procedure verwijst naar</w:t>
            </w:r>
            <w:r>
              <w:t xml:space="preserve"> </w:t>
            </w:r>
            <w:r>
              <w:t xml:space="preserve">“</w:t>
            </w:r>
            <w:r>
              <w:t xml:space="preserve">applicable permits and notifications</w:t>
            </w:r>
            <w:r>
              <w:t xml:space="preserve">”</w:t>
            </w:r>
            <w:r>
              <w:t xml:space="preserve"> </w:t>
            </w:r>
            <w:r>
              <w:t xml:space="preserve">maar noemt LAVS niet. LAVS is wettelijk verplicht sinds 1 maart 2017. Afwezigheid van expliciete LAVS-verwijzing is een kritieke omissie.</w:t>
            </w:r>
          </w:p>
        </w:tc>
      </w:tr>
      <w:tr>
        <w:tc>
          <w:tcPr/>
          <w:p>
            <w:pPr>
              <w:pStyle w:val="Compact"/>
              <w:jc w:val="left"/>
            </w:pPr>
            <w:r>
              <w:t xml:space="preserve">4</w:t>
            </w:r>
          </w:p>
        </w:tc>
        <w:tc>
          <w:tcPr/>
          <w:p>
            <w:pPr>
              <w:pStyle w:val="Compact"/>
              <w:jc w:val="left"/>
            </w:pPr>
            <w:r>
              <w:rPr>
                <w:b/>
                <w:bCs/>
              </w:rPr>
              <w:t xml:space="preserve">Grenswaarde: 2.000 vezels/m³ (8-uurgemiddelde)</w:t>
            </w:r>
          </w:p>
        </w:tc>
        <w:tc>
          <w:tcPr/>
          <w:p>
            <w:pPr>
              <w:pStyle w:val="Compact"/>
              <w:jc w:val="left"/>
            </w:pPr>
            <w:r>
              <w:t xml:space="preserve">§9.3.1, §12.1</w:t>
            </w:r>
          </w:p>
        </w:tc>
        <w:tc>
          <w:tcPr/>
          <w:p>
            <w:pPr>
              <w:pStyle w:val="Compact"/>
              <w:jc w:val="left"/>
            </w:pPr>
            <w:r>
              <w:t xml:space="preserve">Niet expliciet vermeld</w:t>
            </w:r>
          </w:p>
        </w:tc>
        <w:tc>
          <w:tcPr/>
          <w:p>
            <w:pPr>
              <w:pStyle w:val="Compact"/>
              <w:jc w:val="left"/>
            </w:pPr>
            <w:r>
              <w:t xml:space="preserve">❌ ONTBREEKT</w:t>
            </w:r>
          </w:p>
        </w:tc>
        <w:tc>
          <w:tcPr/>
          <w:p>
            <w:pPr>
              <w:pStyle w:val="Compact"/>
              <w:jc w:val="left"/>
            </w:pPr>
            <w:r>
              <w:t xml:space="preserve">🔴</w:t>
            </w:r>
          </w:p>
        </w:tc>
        <w:tc>
          <w:tcPr/>
          <w:p>
            <w:pPr>
              <w:pStyle w:val="Compact"/>
              <w:jc w:val="left"/>
            </w:pPr>
            <w:r>
              <w:t xml:space="preserve">De procedure bevat geen expliciete vermelding van de wettelijke grenswaarde van 2.000 vezels/m³. Dit is een fundamentele norm voor asbestverwijdering.</w:t>
            </w:r>
          </w:p>
        </w:tc>
      </w:tr>
      <w:tr>
        <w:tc>
          <w:tcPr/>
          <w:p>
            <w:pPr>
              <w:pStyle w:val="Compact"/>
              <w:jc w:val="left"/>
            </w:pPr>
            <w:r>
              <w:t xml:space="preserve">5</w:t>
            </w:r>
          </w:p>
        </w:tc>
        <w:tc>
          <w:tcPr/>
          <w:p>
            <w:pPr>
              <w:pStyle w:val="Compact"/>
              <w:jc w:val="left"/>
            </w:pPr>
            <w:r>
              <w:rPr>
                <w:b/>
                <w:bCs/>
              </w:rPr>
              <w:t xml:space="preserve">Gecertificeerd asbestverwijderingsbedrijf (SC-530) verplicht voor RK 2/2A</w:t>
            </w:r>
          </w:p>
        </w:tc>
        <w:tc>
          <w:tcPr/>
          <w:p>
            <w:pPr>
              <w:pStyle w:val="Compact"/>
              <w:jc w:val="left"/>
            </w:pPr>
            <w:r>
              <w:t xml:space="preserve">§4.1.1, §8.2, §9.4.2</w:t>
            </w:r>
          </w:p>
        </w:tc>
        <w:tc>
          <w:tcPr/>
          <w:p>
            <w:pPr>
              <w:pStyle w:val="Compact"/>
              <w:jc w:val="left"/>
            </w:pPr>
            <w:r>
              <w:t xml:space="preserve">Niet expliciet vermeld</w:t>
            </w:r>
          </w:p>
        </w:tc>
        <w:tc>
          <w:tcPr/>
          <w:p>
            <w:pPr>
              <w:pStyle w:val="Compact"/>
              <w:jc w:val="left"/>
            </w:pPr>
            <w:r>
              <w:t xml:space="preserve">❌ ONTBREEKT</w:t>
            </w:r>
          </w:p>
        </w:tc>
        <w:tc>
          <w:tcPr/>
          <w:p>
            <w:pPr>
              <w:pStyle w:val="Compact"/>
              <w:jc w:val="left"/>
            </w:pPr>
            <w:r>
              <w:t xml:space="preserve">🔴</w:t>
            </w:r>
          </w:p>
        </w:tc>
        <w:tc>
          <w:tcPr/>
          <w:p>
            <w:pPr>
              <w:pStyle w:val="Compact"/>
              <w:jc w:val="left"/>
            </w:pPr>
            <w:r>
              <w:t xml:space="preserve">Procedure stelt geen eis aan certificering van het uitvoerende bedrijf (procescertificaat asbestverwijdering). Dit is wettelijk verplicht voor risicoklasse 2/2A.</w:t>
            </w:r>
          </w:p>
        </w:tc>
      </w:tr>
      <w:tr>
        <w:tc>
          <w:tcPr/>
          <w:p>
            <w:pPr>
              <w:pStyle w:val="Compact"/>
              <w:jc w:val="left"/>
            </w:pPr>
            <w:r>
              <w:t xml:space="preserve">6</w:t>
            </w:r>
          </w:p>
        </w:tc>
        <w:tc>
          <w:tcPr/>
          <w:p>
            <w:pPr>
              <w:pStyle w:val="Compact"/>
              <w:jc w:val="left"/>
            </w:pPr>
            <w:r>
              <w:rPr>
                <w:b/>
                <w:bCs/>
              </w:rPr>
              <w:t xml:space="preserve">DTA (Deskundig Toezichthouder Asbestverwijdering) verplicht</w:t>
            </w:r>
          </w:p>
        </w:tc>
        <w:tc>
          <w:tcPr/>
          <w:p>
            <w:pPr>
              <w:pStyle w:val="Compact"/>
              <w:jc w:val="left"/>
            </w:pPr>
            <w:r>
              <w:t xml:space="preserve">§1.7, §8.2.2, §9.3.4</w:t>
            </w:r>
          </w:p>
        </w:tc>
        <w:tc>
          <w:tcPr/>
          <w:p>
            <w:pPr>
              <w:pStyle w:val="Compact"/>
              <w:jc w:val="left"/>
            </w:pPr>
            <w:r>
              <w:t xml:space="preserve">Niet expliciet vermeld</w:t>
            </w:r>
          </w:p>
        </w:tc>
        <w:tc>
          <w:tcPr/>
          <w:p>
            <w:pPr>
              <w:pStyle w:val="Compact"/>
              <w:jc w:val="left"/>
            </w:pPr>
            <w:r>
              <w:t xml:space="preserve">❌ ONTBREEKT</w:t>
            </w:r>
          </w:p>
        </w:tc>
        <w:tc>
          <w:tcPr/>
          <w:p>
            <w:pPr>
              <w:pStyle w:val="Compact"/>
              <w:jc w:val="left"/>
            </w:pPr>
            <w:r>
              <w:t xml:space="preserve">🔴</w:t>
            </w:r>
          </w:p>
        </w:tc>
        <w:tc>
          <w:tcPr/>
          <w:p>
            <w:pPr>
              <w:pStyle w:val="Compact"/>
              <w:jc w:val="left"/>
            </w:pPr>
            <w:r>
              <w:t xml:space="preserve">De procedure definieert DTA in de afkortingenlijst (§2) maar stelt deze niet verplicht als toezichthouder. AI-blad 3 vereist DTA-aanwezigheid bij alle RK 2/2A-werkzaamheden.</w:t>
            </w:r>
          </w:p>
        </w:tc>
      </w:tr>
      <w:tr>
        <w:tc>
          <w:tcPr/>
          <w:p>
            <w:pPr>
              <w:pStyle w:val="Compact"/>
              <w:jc w:val="left"/>
            </w:pPr>
            <w:r>
              <w:t xml:space="preserve">7</w:t>
            </w:r>
          </w:p>
        </w:tc>
        <w:tc>
          <w:tcPr/>
          <w:p>
            <w:pPr>
              <w:pStyle w:val="Compact"/>
              <w:jc w:val="left"/>
            </w:pPr>
            <w:r>
              <w:rPr>
                <w:b/>
                <w:bCs/>
              </w:rPr>
              <w:t xml:space="preserve">DAV-gecertificeerd personeel voor RK 2/2A</w:t>
            </w:r>
          </w:p>
        </w:tc>
        <w:tc>
          <w:tcPr/>
          <w:p>
            <w:pPr>
              <w:pStyle w:val="Compact"/>
              <w:jc w:val="left"/>
            </w:pPr>
            <w:r>
              <w:t xml:space="preserve">§8.2.1, §9.3.4</w:t>
            </w:r>
          </w:p>
        </w:tc>
        <w:tc>
          <w:tcPr/>
          <w:p>
            <w:pPr>
              <w:pStyle w:val="Compact"/>
              <w:jc w:val="left"/>
            </w:pPr>
            <w:r>
              <w:t xml:space="preserve">§3</w:t>
            </w:r>
            <w:r>
              <w:t xml:space="preserve"> </w:t>
            </w:r>
            <w:r>
              <w:t xml:space="preserve">“</w:t>
            </w:r>
            <w:r>
              <w:t xml:space="preserve">competent personnel</w:t>
            </w:r>
            <w:r>
              <w:t xml:space="preserve">”</w:t>
            </w:r>
          </w:p>
        </w:tc>
        <w:tc>
          <w:tcPr/>
          <w:p>
            <w:pPr>
              <w:pStyle w:val="Compact"/>
              <w:jc w:val="left"/>
            </w:pPr>
            <w:r>
              <w:t xml:space="preserve">⚠️ AFWIJK</w:t>
            </w:r>
          </w:p>
        </w:tc>
        <w:tc>
          <w:tcPr/>
          <w:p>
            <w:pPr>
              <w:pStyle w:val="Compact"/>
              <w:jc w:val="left"/>
            </w:pPr>
            <w:r>
              <w:t xml:space="preserve">🟠</w:t>
            </w:r>
          </w:p>
        </w:tc>
        <w:tc>
          <w:tcPr/>
          <w:p>
            <w:pPr>
              <w:pStyle w:val="Compact"/>
              <w:jc w:val="left"/>
            </w:pPr>
            <w:r>
              <w:t xml:space="preserve">Procedure spreekt over</w:t>
            </w:r>
            <w:r>
              <w:t xml:space="preserve"> </w:t>
            </w:r>
            <w:r>
              <w:t xml:space="preserve">“</w:t>
            </w:r>
            <w:r>
              <w:t xml:space="preserve">competent and authorised personnel</w:t>
            </w:r>
            <w:r>
              <w:t xml:space="preserve">”</w:t>
            </w:r>
            <w:r>
              <w:t xml:space="preserve"> </w:t>
            </w:r>
            <w:r>
              <w:t xml:space="preserve">maar noemt DAV-certificering (SC-520) niet expliciet. Waarborgt niet dat wettelijk vereiste certificeringen aanwezig zijn.</w:t>
            </w:r>
          </w:p>
        </w:tc>
      </w:tr>
      <w:tr>
        <w:tc>
          <w:tcPr/>
          <w:p>
            <w:pPr>
              <w:pStyle w:val="Compact"/>
              <w:jc w:val="left"/>
            </w:pPr>
            <w:r>
              <w:t xml:space="preserve">8</w:t>
            </w:r>
          </w:p>
        </w:tc>
        <w:tc>
          <w:tcPr/>
          <w:p>
            <w:pPr>
              <w:pStyle w:val="Compact"/>
              <w:jc w:val="left"/>
            </w:pPr>
            <w:r>
              <w:rPr>
                <w:b/>
                <w:bCs/>
              </w:rPr>
              <w:t xml:space="preserve">Schriftelijk, locatiespecifiek werkplan verplicht</w:t>
            </w:r>
          </w:p>
        </w:tc>
        <w:tc>
          <w:tcPr/>
          <w:p>
            <w:pPr>
              <w:pStyle w:val="Compact"/>
              <w:jc w:val="left"/>
            </w:pPr>
            <w:r>
              <w:t xml:space="preserve">§4.1.5.A, §9.3.5</w:t>
            </w:r>
          </w:p>
        </w:tc>
        <w:tc>
          <w:tcPr/>
          <w:p>
            <w:pPr>
              <w:pStyle w:val="Compact"/>
              <w:jc w:val="left"/>
            </w:pPr>
            <w:r>
              <w:t xml:space="preserve">§4.5</w:t>
            </w:r>
            <w:r>
              <w:t xml:space="preserve"> </w:t>
            </w:r>
            <w:r>
              <w:t xml:space="preserve">“</w:t>
            </w:r>
            <w:r>
              <w:t xml:space="preserve">Work Preparation</w:t>
            </w:r>
            <w:r>
              <w:t xml:space="preserve">”</w:t>
            </w:r>
          </w:p>
        </w:tc>
        <w:tc>
          <w:tcPr/>
          <w:p>
            <w:pPr>
              <w:pStyle w:val="Compact"/>
              <w:jc w:val="left"/>
            </w:pPr>
            <w:r>
              <w:t xml:space="preserve">⚠️ AFWIJK</w:t>
            </w:r>
          </w:p>
        </w:tc>
        <w:tc>
          <w:tcPr/>
          <w:p>
            <w:pPr>
              <w:pStyle w:val="Compact"/>
              <w:jc w:val="left"/>
            </w:pPr>
            <w:r>
              <w:t xml:space="preserve">🟠</w:t>
            </w:r>
          </w:p>
        </w:tc>
        <w:tc>
          <w:tcPr/>
          <w:p>
            <w:pPr>
              <w:pStyle w:val="Compact"/>
              <w:jc w:val="left"/>
            </w:pPr>
            <w:r>
              <w:t xml:space="preserve">Procedure vereist</w:t>
            </w:r>
            <w:r>
              <w:t xml:space="preserve"> </w:t>
            </w:r>
            <w:r>
              <w:t xml:space="preserve">“</w:t>
            </w:r>
            <w:r>
              <w:t xml:space="preserve">workpack documentation</w:t>
            </w:r>
            <w:r>
              <w:t xml:space="preserve">”</w:t>
            </w:r>
            <w:r>
              <w:t xml:space="preserve"> </w:t>
            </w:r>
            <w:r>
              <w:t xml:space="preserve">en</w:t>
            </w:r>
            <w:r>
              <w:t xml:space="preserve"> </w:t>
            </w:r>
            <w:r>
              <w:t xml:space="preserve">“</w:t>
            </w:r>
            <w:r>
              <w:t xml:space="preserve">project-specific risk assessments</w:t>
            </w:r>
            <w:r>
              <w:t xml:space="preserve">”</w:t>
            </w:r>
            <w:r>
              <w:t xml:space="preserve">, maar de specifieke wettelijke inhoudseisen van het werkplan (art. 4.50 lid 4 Arbobesluit) worden niet detailleerd.</w:t>
            </w:r>
          </w:p>
        </w:tc>
      </w:tr>
      <w:tr>
        <w:tc>
          <w:tcPr/>
          <w:p>
            <w:pPr>
              <w:pStyle w:val="Compact"/>
              <w:jc w:val="left"/>
            </w:pPr>
            <w:r>
              <w:t xml:space="preserve">9</w:t>
            </w:r>
          </w:p>
        </w:tc>
        <w:tc>
          <w:tcPr/>
          <w:p>
            <w:pPr>
              <w:pStyle w:val="Compact"/>
              <w:jc w:val="left"/>
            </w:pPr>
            <w:r>
              <w:rPr>
                <w:b/>
                <w:bCs/>
              </w:rPr>
              <w:t xml:space="preserve">ABM met P3-filterkwaliteit verplicht; jaarlijkse fittest</w:t>
            </w:r>
          </w:p>
        </w:tc>
        <w:tc>
          <w:tcPr/>
          <w:p>
            <w:pPr>
              <w:pStyle w:val="Compact"/>
              <w:jc w:val="left"/>
            </w:pPr>
            <w:r>
              <w:t xml:space="preserve">§5.1, §5.2.1</w:t>
            </w:r>
          </w:p>
        </w:tc>
        <w:tc>
          <w:tcPr/>
          <w:p>
            <w:pPr>
              <w:pStyle w:val="Compact"/>
              <w:jc w:val="left"/>
            </w:pPr>
            <w:r>
              <w:t xml:space="preserve">§4.8.2</w:t>
            </w:r>
            <w:r>
              <w:t xml:space="preserve"> </w:t>
            </w:r>
            <w:r>
              <w:t xml:space="preserve">“</w:t>
            </w:r>
            <w:r>
              <w:t xml:space="preserve">PPE</w:t>
            </w:r>
            <w:r>
              <w:t xml:space="preserve">”</w:t>
            </w:r>
          </w:p>
        </w:tc>
        <w:tc>
          <w:tcPr/>
          <w:p>
            <w:pPr>
              <w:pStyle w:val="Compact"/>
              <w:jc w:val="left"/>
            </w:pPr>
            <w:r>
              <w:t xml:space="preserve">⚠️ AFWIJK</w:t>
            </w:r>
          </w:p>
        </w:tc>
        <w:tc>
          <w:tcPr/>
          <w:p>
            <w:pPr>
              <w:pStyle w:val="Compact"/>
              <w:jc w:val="left"/>
            </w:pPr>
            <w:r>
              <w:t xml:space="preserve">🟠</w:t>
            </w:r>
          </w:p>
        </w:tc>
        <w:tc>
          <w:tcPr/>
          <w:p>
            <w:pPr>
              <w:pStyle w:val="Compact"/>
              <w:jc w:val="left"/>
            </w:pPr>
            <w:r>
              <w:t xml:space="preserve">Procedure noemt</w:t>
            </w:r>
            <w:r>
              <w:t xml:space="preserve"> </w:t>
            </w:r>
            <w:r>
              <w:t xml:space="preserve">“</w:t>
            </w:r>
            <w:r>
              <w:t xml:space="preserve">respiratory protective equipment (RPE) with suitable filtration</w:t>
            </w:r>
            <w:r>
              <w:t xml:space="preserve">”</w:t>
            </w:r>
            <w:r>
              <w:t xml:space="preserve"> </w:t>
            </w:r>
            <w:r>
              <w:t xml:space="preserve">maar specificeert niet P3-kwaliteit en noemt de jaarlijkse fittest niet.</w:t>
            </w:r>
          </w:p>
        </w:tc>
      </w:tr>
      <w:tr>
        <w:tc>
          <w:tcPr/>
          <w:p>
            <w:pPr>
              <w:pStyle w:val="Compact"/>
              <w:jc w:val="left"/>
            </w:pPr>
            <w:r>
              <w:t xml:space="preserve">10</w:t>
            </w:r>
          </w:p>
        </w:tc>
        <w:tc>
          <w:tcPr/>
          <w:p>
            <w:pPr>
              <w:pStyle w:val="Compact"/>
              <w:jc w:val="left"/>
            </w:pPr>
            <w:r>
              <w:rPr>
                <w:b/>
                <w:bCs/>
              </w:rPr>
              <w:t xml:space="preserve">Containment verplicht bij RK 2/2A binnensituaties</w:t>
            </w:r>
          </w:p>
        </w:tc>
        <w:tc>
          <w:tcPr/>
          <w:p>
            <w:pPr>
              <w:pStyle w:val="Compact"/>
              <w:jc w:val="left"/>
            </w:pPr>
            <w:r>
              <w:t xml:space="preserve">§6.1, §9.4.2</w:t>
            </w:r>
          </w:p>
        </w:tc>
        <w:tc>
          <w:tcPr/>
          <w:p>
            <w:pPr>
              <w:pStyle w:val="Compact"/>
              <w:jc w:val="left"/>
            </w:pPr>
            <w:r>
              <w:t xml:space="preserve">§4.5</w:t>
            </w:r>
            <w:r>
              <w:t xml:space="preserve"> </w:t>
            </w:r>
            <w:r>
              <w:t xml:space="preserve">“</w:t>
            </w:r>
            <w:r>
              <w:t xml:space="preserve">work area barriers</w:t>
            </w:r>
            <w:r>
              <w:t xml:space="preserve">”</w:t>
            </w:r>
          </w:p>
        </w:tc>
        <w:tc>
          <w:tcPr/>
          <w:p>
            <w:pPr>
              <w:pStyle w:val="Compact"/>
              <w:jc w:val="left"/>
            </w:pPr>
            <w:r>
              <w:t xml:space="preserve">⚠️ AFWIJK</w:t>
            </w:r>
          </w:p>
        </w:tc>
        <w:tc>
          <w:tcPr/>
          <w:p>
            <w:pPr>
              <w:pStyle w:val="Compact"/>
              <w:jc w:val="left"/>
            </w:pPr>
            <w:r>
              <w:t xml:space="preserve">🟠</w:t>
            </w:r>
          </w:p>
        </w:tc>
        <w:tc>
          <w:tcPr/>
          <w:p>
            <w:pPr>
              <w:pStyle w:val="Compact"/>
              <w:jc w:val="left"/>
            </w:pPr>
            <w:r>
              <w:t xml:space="preserve">Procedure spreekt over</w:t>
            </w:r>
            <w:r>
              <w:t xml:space="preserve"> </w:t>
            </w:r>
            <w:r>
              <w:t xml:space="preserve">“</w:t>
            </w:r>
            <w:r>
              <w:t xml:space="preserve">work area barriers and access controls</w:t>
            </w:r>
            <w:r>
              <w:t xml:space="preserve">”</w:t>
            </w:r>
            <w:r>
              <w:t xml:space="preserve"> </w:t>
            </w:r>
            <w:r>
              <w:t xml:space="preserve">maar noemt containment (met onderdruk) niet expliciet als vereiste voor RK 2/2A.</w:t>
            </w:r>
          </w:p>
        </w:tc>
      </w:tr>
      <w:tr>
        <w:tc>
          <w:tcPr/>
          <w:p>
            <w:pPr>
              <w:pStyle w:val="Compact"/>
              <w:jc w:val="left"/>
            </w:pPr>
            <w:r>
              <w:t xml:space="preserve">11</w:t>
            </w:r>
          </w:p>
        </w:tc>
        <w:tc>
          <w:tcPr/>
          <w:p>
            <w:pPr>
              <w:pStyle w:val="Compact"/>
              <w:jc w:val="left"/>
            </w:pPr>
            <w:r>
              <w:rPr>
                <w:b/>
                <w:bCs/>
              </w:rPr>
              <w:t xml:space="preserve">Onderdruk minimaal 20 Pascal, ventilatie 6x/uur in containment</w:t>
            </w:r>
          </w:p>
        </w:tc>
        <w:tc>
          <w:tcPr/>
          <w:p>
            <w:pPr>
              <w:pStyle w:val="Compact"/>
              <w:jc w:val="left"/>
            </w:pPr>
            <w:r>
              <w:t xml:space="preserve">§9.4.2 (RK2)</w:t>
            </w:r>
          </w:p>
        </w:tc>
        <w:tc>
          <w:tcPr/>
          <w:p>
            <w:pPr>
              <w:pStyle w:val="Compact"/>
              <w:jc w:val="left"/>
            </w:pPr>
            <w:r>
              <w:t xml:space="preserve">Niet vermeld</w:t>
            </w:r>
          </w:p>
        </w:tc>
        <w:tc>
          <w:tcPr/>
          <w:p>
            <w:pPr>
              <w:pStyle w:val="Compact"/>
              <w:jc w:val="left"/>
            </w:pPr>
            <w:r>
              <w:t xml:space="preserve">❌ ONTBREEKT</w:t>
            </w:r>
          </w:p>
        </w:tc>
        <w:tc>
          <w:tcPr/>
          <w:p>
            <w:pPr>
              <w:pStyle w:val="Compact"/>
              <w:jc w:val="left"/>
            </w:pPr>
            <w:r>
              <w:t xml:space="preserve">🟠</w:t>
            </w:r>
          </w:p>
        </w:tc>
        <w:tc>
          <w:tcPr/>
          <w:p>
            <w:pPr>
              <w:pStyle w:val="Compact"/>
              <w:jc w:val="left"/>
            </w:pPr>
            <w:r>
              <w:t xml:space="preserve">De technische specificaties voor containment (20 Pa onderdruk, 6x/uur ventilatie, filterefficiëntie 99,997%) worden niet in de procedure genoemd.</w:t>
            </w:r>
          </w:p>
        </w:tc>
      </w:tr>
      <w:tr>
        <w:tc>
          <w:tcPr/>
          <w:p>
            <w:pPr>
              <w:pStyle w:val="Compact"/>
              <w:jc w:val="left"/>
            </w:pPr>
            <w:r>
              <w:t xml:space="preserve">12</w:t>
            </w:r>
          </w:p>
        </w:tc>
        <w:tc>
          <w:tcPr/>
          <w:p>
            <w:pPr>
              <w:pStyle w:val="Compact"/>
              <w:jc w:val="left"/>
            </w:pPr>
            <w:r>
              <w:rPr>
                <w:b/>
                <w:bCs/>
              </w:rPr>
              <w:t xml:space="preserve">Decontaminatie-unit (drietraps) verplicht bij RK 2/2A</w:t>
            </w:r>
          </w:p>
        </w:tc>
        <w:tc>
          <w:tcPr/>
          <w:p>
            <w:pPr>
              <w:pStyle w:val="Compact"/>
              <w:jc w:val="left"/>
            </w:pPr>
            <w:r>
              <w:t xml:space="preserve">§6.4.1</w:t>
            </w:r>
          </w:p>
        </w:tc>
        <w:tc>
          <w:tcPr/>
          <w:p>
            <w:pPr>
              <w:pStyle w:val="Compact"/>
              <w:jc w:val="left"/>
            </w:pPr>
            <w:r>
              <w:t xml:space="preserve">Niet vermeld</w:t>
            </w:r>
          </w:p>
        </w:tc>
        <w:tc>
          <w:tcPr/>
          <w:p>
            <w:pPr>
              <w:pStyle w:val="Compact"/>
              <w:jc w:val="left"/>
            </w:pPr>
            <w:r>
              <w:t xml:space="preserve">❌ ONTBREEKT</w:t>
            </w:r>
          </w:p>
        </w:tc>
        <w:tc>
          <w:tcPr/>
          <w:p>
            <w:pPr>
              <w:pStyle w:val="Compact"/>
              <w:jc w:val="left"/>
            </w:pPr>
            <w:r>
              <w:t xml:space="preserve">🔴</w:t>
            </w:r>
          </w:p>
        </w:tc>
        <w:tc>
          <w:tcPr/>
          <w:p>
            <w:pPr>
              <w:pStyle w:val="Compact"/>
              <w:jc w:val="left"/>
            </w:pPr>
            <w:r>
              <w:t xml:space="preserve">De procedure bevat geen vereisten voor een decontaminatie-unit (deco-unit) of ontsmettingsprocedure. Dit is een kritieke wettelijke eis voor RK 2/2A binnensaneringen.</w:t>
            </w:r>
          </w:p>
        </w:tc>
      </w:tr>
      <w:tr>
        <w:tc>
          <w:tcPr/>
          <w:p>
            <w:pPr>
              <w:pStyle w:val="Compact"/>
              <w:jc w:val="left"/>
            </w:pPr>
            <w:r>
              <w:t xml:space="preserve">13</w:t>
            </w:r>
          </w:p>
        </w:tc>
        <w:tc>
          <w:tcPr/>
          <w:p>
            <w:pPr>
              <w:pStyle w:val="Compact"/>
              <w:jc w:val="left"/>
            </w:pPr>
            <w:r>
              <w:rPr>
                <w:b/>
                <w:bCs/>
              </w:rPr>
              <w:t xml:space="preserve">Hygiëne: rookverbod, geen eten/drinken op werkplek</w:t>
            </w:r>
          </w:p>
        </w:tc>
        <w:tc>
          <w:tcPr/>
          <w:p>
            <w:pPr>
              <w:pStyle w:val="Compact"/>
              <w:jc w:val="left"/>
            </w:pPr>
            <w:r>
              <w:t xml:space="preserve">§4.1.5.C, §6.3</w:t>
            </w:r>
          </w:p>
        </w:tc>
        <w:tc>
          <w:tcPr/>
          <w:p>
            <w:pPr>
              <w:pStyle w:val="Compact"/>
              <w:jc w:val="left"/>
            </w:pPr>
            <w:r>
              <w:t xml:space="preserve">Niet expliciet vermeld</w:t>
            </w:r>
          </w:p>
        </w:tc>
        <w:tc>
          <w:tcPr/>
          <w:p>
            <w:pPr>
              <w:pStyle w:val="Compact"/>
              <w:jc w:val="left"/>
            </w:pPr>
            <w:r>
              <w:t xml:space="preserve">⚠️ AFWIJK</w:t>
            </w:r>
          </w:p>
        </w:tc>
        <w:tc>
          <w:tcPr/>
          <w:p>
            <w:pPr>
              <w:pStyle w:val="Compact"/>
              <w:jc w:val="left"/>
            </w:pPr>
            <w:r>
              <w:t xml:space="preserve">🟠</w:t>
            </w:r>
          </w:p>
        </w:tc>
        <w:tc>
          <w:tcPr/>
          <w:p>
            <w:pPr>
              <w:pStyle w:val="Compact"/>
              <w:jc w:val="left"/>
            </w:pPr>
            <w:r>
              <w:t xml:space="preserve">Procedure noemt</w:t>
            </w:r>
            <w:r>
              <w:t xml:space="preserve"> </w:t>
            </w:r>
            <w:r>
              <w:t xml:space="preserve">“</w:t>
            </w:r>
            <w:r>
              <w:t xml:space="preserve">hygiene and exposure controls</w:t>
            </w:r>
            <w:r>
              <w:t xml:space="preserve">”</w:t>
            </w:r>
            <w:r>
              <w:t xml:space="preserve"> </w:t>
            </w:r>
            <w:r>
              <w:t xml:space="preserve">algemeen, maar het expliciete rook/eten/drinkverbod op de asbestwerkplek ontbreekt.</w:t>
            </w:r>
          </w:p>
        </w:tc>
      </w:tr>
      <w:tr>
        <w:tc>
          <w:tcPr/>
          <w:p>
            <w:pPr>
              <w:pStyle w:val="Compact"/>
              <w:jc w:val="left"/>
            </w:pPr>
            <w:r>
              <w:t xml:space="preserve">14</w:t>
            </w:r>
          </w:p>
        </w:tc>
        <w:tc>
          <w:tcPr/>
          <w:p>
            <w:pPr>
              <w:pStyle w:val="Compact"/>
              <w:jc w:val="left"/>
            </w:pPr>
            <w:r>
              <w:rPr>
                <w:b/>
                <w:bCs/>
              </w:rPr>
              <w:t xml:space="preserve">Was- en doucheruimte (deco-unit) verplicht</w:t>
            </w:r>
          </w:p>
        </w:tc>
        <w:tc>
          <w:tcPr/>
          <w:p>
            <w:pPr>
              <w:pStyle w:val="Compact"/>
              <w:jc w:val="left"/>
            </w:pPr>
            <w:r>
              <w:t xml:space="preserve">§6.4</w:t>
            </w:r>
          </w:p>
        </w:tc>
        <w:tc>
          <w:tcPr/>
          <w:p>
            <w:pPr>
              <w:pStyle w:val="Compact"/>
              <w:jc w:val="left"/>
            </w:pPr>
            <w:r>
              <w:t xml:space="preserve">Niet vermeld</w:t>
            </w:r>
          </w:p>
        </w:tc>
        <w:tc>
          <w:tcPr/>
          <w:p>
            <w:pPr>
              <w:pStyle w:val="Compact"/>
              <w:jc w:val="left"/>
            </w:pPr>
            <w:r>
              <w:t xml:space="preserve">❌ ONTBREEKT</w:t>
            </w:r>
          </w:p>
        </w:tc>
        <w:tc>
          <w:tcPr/>
          <w:p>
            <w:pPr>
              <w:pStyle w:val="Compact"/>
              <w:jc w:val="left"/>
            </w:pPr>
            <w:r>
              <w:t xml:space="preserve">🟠</w:t>
            </w:r>
          </w:p>
        </w:tc>
        <w:tc>
          <w:tcPr/>
          <w:p>
            <w:pPr>
              <w:pStyle w:val="Compact"/>
              <w:jc w:val="left"/>
            </w:pPr>
            <w:r>
              <w:t xml:space="preserve">Geen vereisten voor was- en doucheruimtes bij asbestwerkzaamheden.</w:t>
            </w:r>
          </w:p>
        </w:tc>
      </w:tr>
      <w:tr>
        <w:tc>
          <w:tcPr/>
          <w:p>
            <w:pPr>
              <w:pStyle w:val="Compact"/>
              <w:jc w:val="left"/>
            </w:pPr>
            <w:r>
              <w:t xml:space="preserve">15</w:t>
            </w:r>
          </w:p>
        </w:tc>
        <w:tc>
          <w:tcPr/>
          <w:p>
            <w:pPr>
              <w:pStyle w:val="Compact"/>
              <w:jc w:val="left"/>
            </w:pPr>
            <w:r>
              <w:rPr>
                <w:b/>
                <w:bCs/>
              </w:rPr>
              <w:t xml:space="preserve">Blootstellingsregistratie in persoonlijk register</w:t>
            </w:r>
          </w:p>
        </w:tc>
        <w:tc>
          <w:tcPr/>
          <w:p>
            <w:pPr>
              <w:pStyle w:val="Compact"/>
              <w:jc w:val="left"/>
            </w:pPr>
            <w:r>
              <w:t xml:space="preserve">§4.1.5.E, §7.3</w:t>
            </w:r>
          </w:p>
        </w:tc>
        <w:tc>
          <w:tcPr/>
          <w:p>
            <w:pPr>
              <w:pStyle w:val="Compact"/>
              <w:jc w:val="left"/>
            </w:pPr>
            <w:r>
              <w:t xml:space="preserve">§5</w:t>
            </w:r>
            <w:r>
              <w:t xml:space="preserve"> </w:t>
            </w:r>
            <w:r>
              <w:t xml:space="preserve">“</w:t>
            </w:r>
            <w:r>
              <w:t xml:space="preserve">exposure monitoring records</w:t>
            </w:r>
            <w:r>
              <w:t xml:space="preserve">”</w:t>
            </w:r>
          </w:p>
        </w:tc>
        <w:tc>
          <w:tcPr/>
          <w:p>
            <w:pPr>
              <w:pStyle w:val="Compact"/>
              <w:jc w:val="left"/>
            </w:pPr>
            <w:r>
              <w:t xml:space="preserve">✅ CONFORM</w:t>
            </w:r>
          </w:p>
        </w:tc>
        <w:tc>
          <w:tcPr/>
          <w:p>
            <w:pPr>
              <w:pStyle w:val="Compact"/>
              <w:jc w:val="left"/>
            </w:pPr>
            <w:r>
              <w:t xml:space="preserve">🟢</w:t>
            </w:r>
          </w:p>
        </w:tc>
        <w:tc>
          <w:tcPr/>
          <w:p>
            <w:pPr>
              <w:pStyle w:val="Compact"/>
              <w:jc w:val="left"/>
            </w:pPr>
            <w:r>
              <w:t xml:space="preserve">Procedure vereist</w:t>
            </w:r>
            <w:r>
              <w:t xml:space="preserve"> </w:t>
            </w:r>
            <w:r>
              <w:t xml:space="preserve">“</w:t>
            </w:r>
            <w:r>
              <w:t xml:space="preserve">exposure monitoring records</w:t>
            </w:r>
            <w:r>
              <w:t xml:space="preserve">”</w:t>
            </w:r>
            <w:r>
              <w:t xml:space="preserve"> </w:t>
            </w:r>
            <w:r>
              <w:t xml:space="preserve">in de documentatielijst. Dekking aanwezig, al zou specifieker kunnen.</w:t>
            </w:r>
          </w:p>
        </w:tc>
      </w:tr>
      <w:tr>
        <w:tc>
          <w:tcPr/>
          <w:p>
            <w:pPr>
              <w:pStyle w:val="Compact"/>
              <w:jc w:val="left"/>
            </w:pPr>
            <w:r>
              <w:t xml:space="preserve">16</w:t>
            </w:r>
          </w:p>
        </w:tc>
        <w:tc>
          <w:tcPr/>
          <w:p>
            <w:pPr>
              <w:pStyle w:val="Compact"/>
              <w:jc w:val="left"/>
            </w:pPr>
            <w:r>
              <w:rPr>
                <w:b/>
                <w:bCs/>
              </w:rPr>
              <w:t xml:space="preserve">Arbeidsgezondheidskundig onderzoek (vooraf + 3-jaarlijks)</w:t>
            </w:r>
          </w:p>
        </w:tc>
        <w:tc>
          <w:tcPr/>
          <w:p>
            <w:pPr>
              <w:pStyle w:val="Compact"/>
              <w:jc w:val="left"/>
            </w:pPr>
            <w:r>
              <w:t xml:space="preserve">§4.1.5.D, §7.2</w:t>
            </w:r>
          </w:p>
        </w:tc>
        <w:tc>
          <w:tcPr/>
          <w:p>
            <w:pPr>
              <w:pStyle w:val="Compact"/>
              <w:jc w:val="left"/>
            </w:pPr>
            <w:r>
              <w:t xml:space="preserve">Niet vermeld</w:t>
            </w:r>
          </w:p>
        </w:tc>
        <w:tc>
          <w:tcPr/>
          <w:p>
            <w:pPr>
              <w:pStyle w:val="Compact"/>
              <w:jc w:val="left"/>
            </w:pPr>
            <w:r>
              <w:t xml:space="preserve">❌ ONTBREEKT</w:t>
            </w:r>
          </w:p>
        </w:tc>
        <w:tc>
          <w:tcPr/>
          <w:p>
            <w:pPr>
              <w:pStyle w:val="Compact"/>
              <w:jc w:val="left"/>
            </w:pPr>
            <w:r>
              <w:t xml:space="preserve">🟠</w:t>
            </w:r>
          </w:p>
        </w:tc>
        <w:tc>
          <w:tcPr/>
          <w:p>
            <w:pPr>
              <w:pStyle w:val="Compact"/>
              <w:jc w:val="left"/>
            </w:pPr>
            <w:r>
              <w:t xml:space="preserve">Procedure bevat geen verwijzing naar arbeidsgezondheidskundig onderzoek (aanvang + 3-jaarlijks). Wel vereist</w:t>
            </w:r>
            <w:r>
              <w:t xml:space="preserve"> </w:t>
            </w:r>
            <w:r>
              <w:t xml:space="preserve">“</w:t>
            </w:r>
            <w:r>
              <w:t xml:space="preserve">training and competency records</w:t>
            </w:r>
            <w:r>
              <w:t xml:space="preserve">”</w:t>
            </w:r>
            <w:r>
              <w:t xml:space="preserve">.</w:t>
            </w:r>
          </w:p>
        </w:tc>
      </w:tr>
      <w:tr>
        <w:tc>
          <w:tcPr/>
          <w:p>
            <w:pPr>
              <w:pStyle w:val="Compact"/>
              <w:jc w:val="left"/>
            </w:pPr>
            <w:r>
              <w:t xml:space="preserve">17</w:t>
            </w:r>
          </w:p>
        </w:tc>
        <w:tc>
          <w:tcPr/>
          <w:p>
            <w:pPr>
              <w:pStyle w:val="Compact"/>
              <w:jc w:val="left"/>
            </w:pPr>
            <w:r>
              <w:rPr>
                <w:b/>
                <w:bCs/>
              </w:rPr>
              <w:t xml:space="preserve">Eindbeoordeling: visuele inspectie + luchtmeting (RK2 binnensituaties)</w:t>
            </w:r>
          </w:p>
        </w:tc>
        <w:tc>
          <w:tcPr/>
          <w:p>
            <w:pPr>
              <w:pStyle w:val="Compact"/>
              <w:jc w:val="left"/>
            </w:pPr>
            <w:r>
              <w:t xml:space="preserve">§4.1.5.G, §9.4.2</w:t>
            </w:r>
          </w:p>
        </w:tc>
        <w:tc>
          <w:tcPr/>
          <w:p>
            <w:pPr>
              <w:pStyle w:val="Compact"/>
              <w:jc w:val="left"/>
            </w:pPr>
            <w:r>
              <w:t xml:space="preserve">§4.7</w:t>
            </w:r>
            <w:r>
              <w:t xml:space="preserve"> </w:t>
            </w:r>
            <w:r>
              <w:t xml:space="preserve">“</w:t>
            </w:r>
            <w:r>
              <w:t xml:space="preserve">clearance inspections</w:t>
            </w:r>
            <w:r>
              <w:t xml:space="preserve">”</w:t>
            </w:r>
          </w:p>
        </w:tc>
        <w:tc>
          <w:tcPr/>
          <w:p>
            <w:pPr>
              <w:pStyle w:val="Compact"/>
              <w:jc w:val="left"/>
            </w:pPr>
            <w:r>
              <w:t xml:space="preserve">⚠️ AFWIJK</w:t>
            </w:r>
          </w:p>
        </w:tc>
        <w:tc>
          <w:tcPr/>
          <w:p>
            <w:pPr>
              <w:pStyle w:val="Compact"/>
              <w:jc w:val="left"/>
            </w:pPr>
            <w:r>
              <w:t xml:space="preserve">🟠</w:t>
            </w:r>
          </w:p>
        </w:tc>
        <w:tc>
          <w:tcPr/>
          <w:p>
            <w:pPr>
              <w:pStyle w:val="Compact"/>
              <w:jc w:val="left"/>
            </w:pPr>
            <w:r>
              <w:t xml:space="preserve">Procedure verwijst naar</w:t>
            </w:r>
            <w:r>
              <w:t xml:space="preserve"> </w:t>
            </w:r>
            <w:r>
              <w:t xml:space="preserve">“</w:t>
            </w:r>
            <w:r>
              <w:t xml:space="preserve">clearance inspections or verification activities</w:t>
            </w:r>
            <w:r>
              <w:t xml:space="preserve">”</w:t>
            </w:r>
            <w:r>
              <w:t xml:space="preserve"> </w:t>
            </w:r>
            <w:r>
              <w:t xml:space="preserve">maar noemt NEN 2990 niet en specificeert niet de vrijgavegrens van 10.000 vezels/m³.</w:t>
            </w:r>
          </w:p>
        </w:tc>
      </w:tr>
      <w:tr>
        <w:tc>
          <w:tcPr/>
          <w:p>
            <w:pPr>
              <w:pStyle w:val="Compact"/>
              <w:jc w:val="left"/>
            </w:pPr>
            <w:r>
              <w:t xml:space="preserve">18</w:t>
            </w:r>
          </w:p>
        </w:tc>
        <w:tc>
          <w:tcPr/>
          <w:p>
            <w:pPr>
              <w:pStyle w:val="Compact"/>
              <w:jc w:val="left"/>
            </w:pPr>
            <w:r>
              <w:rPr>
                <w:b/>
                <w:bCs/>
              </w:rPr>
              <w:t xml:space="preserve">Vrijgavegrens: 10.000 vz/m³ (RK2) / 2.000 vz/m³ (RK2A)</w:t>
            </w:r>
          </w:p>
        </w:tc>
        <w:tc>
          <w:tcPr/>
          <w:p>
            <w:pPr>
              <w:pStyle w:val="Compact"/>
              <w:jc w:val="left"/>
            </w:pPr>
            <w:r>
              <w:t xml:space="preserve">§12.3</w:t>
            </w:r>
          </w:p>
        </w:tc>
        <w:tc>
          <w:tcPr/>
          <w:p>
            <w:pPr>
              <w:pStyle w:val="Compact"/>
              <w:jc w:val="left"/>
            </w:pPr>
            <w:r>
              <w:t xml:space="preserve">Niet vermeld</w:t>
            </w:r>
          </w:p>
        </w:tc>
        <w:tc>
          <w:tcPr/>
          <w:p>
            <w:pPr>
              <w:pStyle w:val="Compact"/>
              <w:jc w:val="left"/>
            </w:pPr>
            <w:r>
              <w:t xml:space="preserve">❌ ONTBREEKT</w:t>
            </w:r>
          </w:p>
        </w:tc>
        <w:tc>
          <w:tcPr/>
          <w:p>
            <w:pPr>
              <w:pStyle w:val="Compact"/>
              <w:jc w:val="left"/>
            </w:pPr>
            <w:r>
              <w:t xml:space="preserve">🟠</w:t>
            </w:r>
          </w:p>
        </w:tc>
        <w:tc>
          <w:tcPr/>
          <w:p>
            <w:pPr>
              <w:pStyle w:val="Compact"/>
              <w:jc w:val="left"/>
            </w:pPr>
            <w:r>
              <w:t xml:space="preserve">De wettelijke vrijgavegrenzen worden niet in de procedure genoemd.</w:t>
            </w:r>
          </w:p>
        </w:tc>
      </w:tr>
      <w:tr>
        <w:tc>
          <w:tcPr/>
          <w:p>
            <w:pPr>
              <w:pStyle w:val="Compact"/>
              <w:jc w:val="left"/>
            </w:pPr>
            <w:r>
              <w:t xml:space="preserve">19</w:t>
            </w:r>
          </w:p>
        </w:tc>
        <w:tc>
          <w:tcPr/>
          <w:p>
            <w:pPr>
              <w:pStyle w:val="Compact"/>
              <w:jc w:val="left"/>
            </w:pPr>
            <w:r>
              <w:rPr>
                <w:b/>
                <w:bCs/>
              </w:rPr>
              <w:t xml:space="preserve">Eindbeoordeling door geaccrediteerd laboratorium</w:t>
            </w:r>
          </w:p>
        </w:tc>
        <w:tc>
          <w:tcPr/>
          <w:p>
            <w:pPr>
              <w:pStyle w:val="Compact"/>
              <w:jc w:val="left"/>
            </w:pPr>
            <w:r>
              <w:t xml:space="preserve">§4.1.5.G, §9.4.2</w:t>
            </w:r>
          </w:p>
        </w:tc>
        <w:tc>
          <w:tcPr/>
          <w:p>
            <w:pPr>
              <w:pStyle w:val="Compact"/>
              <w:jc w:val="left"/>
            </w:pPr>
            <w:r>
              <w:t xml:space="preserve">Niet vermeld</w:t>
            </w:r>
          </w:p>
        </w:tc>
        <w:tc>
          <w:tcPr/>
          <w:p>
            <w:pPr>
              <w:pStyle w:val="Compact"/>
              <w:jc w:val="left"/>
            </w:pPr>
            <w:r>
              <w:t xml:space="preserve">❌ ONTBREEKT</w:t>
            </w:r>
          </w:p>
        </w:tc>
        <w:tc>
          <w:tcPr/>
          <w:p>
            <w:pPr>
              <w:pStyle w:val="Compact"/>
              <w:jc w:val="left"/>
            </w:pPr>
            <w:r>
              <w:t xml:space="preserve">🟠</w:t>
            </w:r>
          </w:p>
        </w:tc>
        <w:tc>
          <w:tcPr/>
          <w:p>
            <w:pPr>
              <w:pStyle w:val="Compact"/>
              <w:jc w:val="left"/>
            </w:pPr>
            <w:r>
              <w:t xml:space="preserve">Procedure specificeert niet dat eindbeoordeling door een Raad van Accreditatie-geaccrediteerd laboratorium moet plaatsvinden.</w:t>
            </w:r>
          </w:p>
        </w:tc>
      </w:tr>
      <w:tr>
        <w:tc>
          <w:tcPr/>
          <w:p>
            <w:pPr>
              <w:pStyle w:val="Compact"/>
              <w:jc w:val="left"/>
            </w:pPr>
            <w:r>
              <w:t xml:space="preserve">20</w:t>
            </w:r>
          </w:p>
        </w:tc>
        <w:tc>
          <w:tcPr/>
          <w:p>
            <w:pPr>
              <w:pStyle w:val="Compact"/>
              <w:jc w:val="left"/>
            </w:pPr>
            <w:r>
              <w:rPr>
                <w:b/>
                <w:bCs/>
              </w:rPr>
              <w:t xml:space="preserve">Afval dubbel verpakken in gesloten verpakking + asbestetiket</w:t>
            </w:r>
          </w:p>
        </w:tc>
        <w:tc>
          <w:tcPr/>
          <w:p>
            <w:pPr>
              <w:pStyle w:val="Compact"/>
              <w:jc w:val="left"/>
            </w:pPr>
            <w:r>
              <w:t xml:space="preserve">§4.1.4.A, §9.4.3, §11.2</w:t>
            </w:r>
          </w:p>
        </w:tc>
        <w:tc>
          <w:tcPr/>
          <w:p>
            <w:pPr>
              <w:pStyle w:val="Compact"/>
              <w:jc w:val="left"/>
            </w:pPr>
            <w:r>
              <w:t xml:space="preserve">§4.9</w:t>
            </w:r>
            <w:r>
              <w:t xml:space="preserve"> </w:t>
            </w:r>
            <w:r>
              <w:t xml:space="preserve">“</w:t>
            </w:r>
            <w:r>
              <w:t xml:space="preserve">Asbestos Waste Handling</w:t>
            </w:r>
            <w:r>
              <w:t xml:space="preserve">”</w:t>
            </w:r>
          </w:p>
        </w:tc>
        <w:tc>
          <w:tcPr/>
          <w:p>
            <w:pPr>
              <w:pStyle w:val="Compact"/>
              <w:jc w:val="left"/>
            </w:pPr>
            <w:r>
              <w:t xml:space="preserve">✅ CONFORM</w:t>
            </w:r>
          </w:p>
        </w:tc>
        <w:tc>
          <w:tcPr/>
          <w:p>
            <w:pPr>
              <w:pStyle w:val="Compact"/>
              <w:jc w:val="left"/>
            </w:pPr>
            <w:r>
              <w:t xml:space="preserve">🟢</w:t>
            </w:r>
          </w:p>
        </w:tc>
        <w:tc>
          <w:tcPr/>
          <w:p>
            <w:pPr>
              <w:pStyle w:val="Compact"/>
              <w:jc w:val="left"/>
            </w:pPr>
            <w:r>
              <w:t xml:space="preserve">Procedure vereist</w:t>
            </w:r>
            <w:r>
              <w:t xml:space="preserve"> </w:t>
            </w:r>
            <w:r>
              <w:t xml:space="preserve">“</w:t>
            </w:r>
            <w:r>
              <w:t xml:space="preserve">sealed in suitable airtight packaging</w:t>
            </w:r>
            <w:r>
              <w:t xml:space="preserve">”</w:t>
            </w:r>
            <w:r>
              <w:t xml:space="preserve"> </w:t>
            </w:r>
            <w:r>
              <w:t xml:space="preserve">en</w:t>
            </w:r>
            <w:r>
              <w:t xml:space="preserve"> </w:t>
            </w:r>
            <w:r>
              <w:t xml:space="preserve">“</w:t>
            </w:r>
            <w:r>
              <w:t xml:space="preserve">clearly labelled with applicable asbestos warning labels</w:t>
            </w:r>
            <w:r>
              <w:t xml:space="preserve">”</w:t>
            </w:r>
            <w:r>
              <w:t xml:space="preserve">. Goede dekking.</w:t>
            </w:r>
          </w:p>
        </w:tc>
      </w:tr>
      <w:tr>
        <w:tc>
          <w:tcPr/>
          <w:p>
            <w:pPr>
              <w:pStyle w:val="Compact"/>
              <w:jc w:val="left"/>
            </w:pPr>
            <w:r>
              <w:t xml:space="preserve">21</w:t>
            </w:r>
          </w:p>
        </w:tc>
        <w:tc>
          <w:tcPr/>
          <w:p>
            <w:pPr>
              <w:pStyle w:val="Compact"/>
              <w:jc w:val="left"/>
            </w:pPr>
            <w:r>
              <w:rPr>
                <w:b/>
                <w:bCs/>
              </w:rPr>
              <w:t xml:space="preserve">Afval alleen naar goedgekeurde/erkende afvalverwerker</w:t>
            </w:r>
          </w:p>
        </w:tc>
        <w:tc>
          <w:tcPr/>
          <w:p>
            <w:pPr>
              <w:pStyle w:val="Compact"/>
              <w:jc w:val="left"/>
            </w:pPr>
            <w:r>
              <w:t xml:space="preserve">§9.4.3, §11.5</w:t>
            </w:r>
          </w:p>
        </w:tc>
        <w:tc>
          <w:tcPr/>
          <w:p>
            <w:pPr>
              <w:pStyle w:val="Compact"/>
              <w:jc w:val="left"/>
            </w:pPr>
            <w:r>
              <w:t xml:space="preserve">§4.9</w:t>
            </w:r>
            <w:r>
              <w:t xml:space="preserve"> </w:t>
            </w:r>
            <w:r>
              <w:t xml:space="preserve">“</w:t>
            </w:r>
            <w:r>
              <w:t xml:space="preserve">approved waste contractors or authorised disposal facilities</w:t>
            </w:r>
            <w:r>
              <w:t xml:space="preserve">”</w:t>
            </w:r>
          </w:p>
        </w:tc>
        <w:tc>
          <w:tcPr/>
          <w:p>
            <w:pPr>
              <w:pStyle w:val="Compact"/>
              <w:jc w:val="left"/>
            </w:pPr>
            <w:r>
              <w:t xml:space="preserve">✅ CONFORM</w:t>
            </w:r>
          </w:p>
        </w:tc>
        <w:tc>
          <w:tcPr/>
          <w:p>
            <w:pPr>
              <w:pStyle w:val="Compact"/>
              <w:jc w:val="left"/>
            </w:pPr>
            <w:r>
              <w:t xml:space="preserve">🟢</w:t>
            </w:r>
          </w:p>
        </w:tc>
        <w:tc>
          <w:tcPr/>
          <w:p>
            <w:pPr>
              <w:pStyle w:val="Compact"/>
              <w:jc w:val="left"/>
            </w:pPr>
            <w:r>
              <w:t xml:space="preserve">Expliciet vereist. Conform AI-blad 3.</w:t>
            </w:r>
          </w:p>
        </w:tc>
      </w:tr>
      <w:tr>
        <w:tc>
          <w:tcPr/>
          <w:p>
            <w:pPr>
              <w:pStyle w:val="Compact"/>
              <w:jc w:val="left"/>
            </w:pPr>
            <w:r>
              <w:t xml:space="preserve">22</w:t>
            </w:r>
          </w:p>
        </w:tc>
        <w:tc>
          <w:tcPr/>
          <w:p>
            <w:pPr>
              <w:pStyle w:val="Compact"/>
              <w:jc w:val="left"/>
            </w:pPr>
            <w:r>
              <w:rPr>
                <w:b/>
                <w:bCs/>
              </w:rPr>
              <w:t xml:space="preserve">Tijdelijke opslag: afgesloten, veilig, geen milieuverontreiniging</w:t>
            </w:r>
          </w:p>
        </w:tc>
        <w:tc>
          <w:tcPr/>
          <w:p>
            <w:pPr>
              <w:pStyle w:val="Compact"/>
              <w:jc w:val="left"/>
            </w:pPr>
            <w:r>
              <w:t xml:space="preserve">§11.5.2</w:t>
            </w:r>
          </w:p>
        </w:tc>
        <w:tc>
          <w:tcPr/>
          <w:p>
            <w:pPr>
              <w:pStyle w:val="Compact"/>
              <w:jc w:val="left"/>
            </w:pPr>
            <w:r>
              <w:t xml:space="preserve">§4.9</w:t>
            </w:r>
            <w:r>
              <w:t xml:space="preserve"> </w:t>
            </w:r>
            <w:r>
              <w:t xml:space="preserve">“</w:t>
            </w:r>
            <w:r>
              <w:t xml:space="preserve">designated asbestos waste containers, sealed skips, lockable storage</w:t>
            </w:r>
            <w:r>
              <w:t xml:space="preserve">”</w:t>
            </w:r>
          </w:p>
        </w:tc>
        <w:tc>
          <w:tcPr/>
          <w:p>
            <w:pPr>
              <w:pStyle w:val="Compact"/>
              <w:jc w:val="left"/>
            </w:pPr>
            <w:r>
              <w:t xml:space="preserve">✅ CONFORM</w:t>
            </w:r>
          </w:p>
        </w:tc>
        <w:tc>
          <w:tcPr/>
          <w:p>
            <w:pPr>
              <w:pStyle w:val="Compact"/>
              <w:jc w:val="left"/>
            </w:pPr>
            <w:r>
              <w:t xml:space="preserve">🟢</w:t>
            </w:r>
          </w:p>
        </w:tc>
        <w:tc>
          <w:tcPr/>
          <w:p>
            <w:pPr>
              <w:pStyle w:val="Compact"/>
              <w:jc w:val="left"/>
            </w:pPr>
            <w:r>
              <w:t xml:space="preserve">Procedure dekt dit adequaat af met opslagvereisten.</w:t>
            </w:r>
          </w:p>
        </w:tc>
      </w:tr>
      <w:tr>
        <w:tc>
          <w:tcPr/>
          <w:p>
            <w:pPr>
              <w:pStyle w:val="Compact"/>
              <w:jc w:val="left"/>
            </w:pPr>
            <w:r>
              <w:t xml:space="preserve">23</w:t>
            </w:r>
          </w:p>
        </w:tc>
        <w:tc>
          <w:tcPr/>
          <w:p>
            <w:pPr>
              <w:pStyle w:val="Compact"/>
              <w:jc w:val="left"/>
            </w:pPr>
            <w:r>
              <w:rPr>
                <w:b/>
                <w:bCs/>
              </w:rPr>
              <w:t xml:space="preserve">Calamiteitenprocedure: stopwerk, afbakenen, decontaminatie, rapportage</w:t>
            </w:r>
          </w:p>
        </w:tc>
        <w:tc>
          <w:tcPr/>
          <w:p>
            <w:pPr>
              <w:pStyle w:val="Compact"/>
              <w:jc w:val="left"/>
            </w:pPr>
            <w:r>
              <w:t xml:space="preserve">§9.5</w:t>
            </w:r>
          </w:p>
        </w:tc>
        <w:tc>
          <w:tcPr/>
          <w:p>
            <w:pPr>
              <w:pStyle w:val="Compact"/>
              <w:jc w:val="left"/>
            </w:pPr>
            <w:r>
              <w:t xml:space="preserve">§4.10</w:t>
            </w:r>
            <w:r>
              <w:t xml:space="preserve"> </w:t>
            </w:r>
            <w:r>
              <w:t xml:space="preserve">“</w:t>
            </w:r>
            <w:r>
              <w:t xml:space="preserve">Emergency Response</w:t>
            </w:r>
            <w:r>
              <w:t xml:space="preserve">”</w:t>
            </w:r>
          </w:p>
        </w:tc>
        <w:tc>
          <w:tcPr/>
          <w:p>
            <w:pPr>
              <w:pStyle w:val="Compact"/>
              <w:jc w:val="left"/>
            </w:pPr>
            <w:r>
              <w:t xml:space="preserve">✅ CONFORM</w:t>
            </w:r>
          </w:p>
        </w:tc>
        <w:tc>
          <w:tcPr/>
          <w:p>
            <w:pPr>
              <w:pStyle w:val="Compact"/>
              <w:jc w:val="left"/>
            </w:pPr>
            <w:r>
              <w:t xml:space="preserve">🟢</w:t>
            </w:r>
          </w:p>
        </w:tc>
        <w:tc>
          <w:tcPr/>
          <w:p>
            <w:pPr>
              <w:pStyle w:val="Compact"/>
              <w:jc w:val="left"/>
            </w:pPr>
            <w:r>
              <w:t xml:space="preserve">Procedure bevat adequate calamiteitenprocedure met stopwerk, beveiliging, decontaminatie en rapportage.</w:t>
            </w:r>
          </w:p>
        </w:tc>
      </w:tr>
      <w:tr>
        <w:tc>
          <w:tcPr/>
          <w:p>
            <w:pPr>
              <w:pStyle w:val="Compact"/>
              <w:jc w:val="left"/>
            </w:pPr>
            <w:r>
              <w:t xml:space="preserve">24</w:t>
            </w:r>
          </w:p>
        </w:tc>
        <w:tc>
          <w:tcPr/>
          <w:p>
            <w:pPr>
              <w:pStyle w:val="Compact"/>
              <w:jc w:val="left"/>
            </w:pPr>
            <w:r>
              <w:rPr>
                <w:b/>
                <w:bCs/>
              </w:rPr>
              <w:t xml:space="preserve">Voorlichting en onderricht van werknemers</w:t>
            </w:r>
          </w:p>
        </w:tc>
        <w:tc>
          <w:tcPr/>
          <w:p>
            <w:pPr>
              <w:pStyle w:val="Compact"/>
              <w:jc w:val="left"/>
            </w:pPr>
            <w:r>
              <w:t xml:space="preserve">§4.1.4.B, §8.1</w:t>
            </w:r>
          </w:p>
        </w:tc>
        <w:tc>
          <w:tcPr/>
          <w:p>
            <w:pPr>
              <w:pStyle w:val="Compact"/>
              <w:jc w:val="left"/>
            </w:pPr>
            <w:r>
              <w:t xml:space="preserve">§3</w:t>
            </w:r>
            <w:r>
              <w:t xml:space="preserve"> </w:t>
            </w:r>
            <w:r>
              <w:t xml:space="preserve">“</w:t>
            </w:r>
            <w:r>
              <w:t xml:space="preserve">Personnel</w:t>
            </w:r>
            <w:r>
              <w:t xml:space="preserve">”</w:t>
            </w:r>
            <w:r>
              <w:t xml:space="preserve">, §4.5</w:t>
            </w:r>
            <w:r>
              <w:t xml:space="preserve"> </w:t>
            </w:r>
            <w:r>
              <w:t xml:space="preserve">“</w:t>
            </w:r>
            <w:r>
              <w:t xml:space="preserve">personnel shall be instructed</w:t>
            </w:r>
            <w:r>
              <w:t xml:space="preserve">”</w:t>
            </w:r>
          </w:p>
        </w:tc>
        <w:tc>
          <w:tcPr/>
          <w:p>
            <w:pPr>
              <w:pStyle w:val="Compact"/>
              <w:jc w:val="left"/>
            </w:pPr>
            <w:r>
              <w:t xml:space="preserve">✅ CONFORM</w:t>
            </w:r>
          </w:p>
        </w:tc>
        <w:tc>
          <w:tcPr/>
          <w:p>
            <w:pPr>
              <w:pStyle w:val="Compact"/>
              <w:jc w:val="left"/>
            </w:pPr>
            <w:r>
              <w:t xml:space="preserve">🟢</w:t>
            </w:r>
          </w:p>
        </w:tc>
        <w:tc>
          <w:tcPr/>
          <w:p>
            <w:pPr>
              <w:pStyle w:val="Compact"/>
              <w:jc w:val="left"/>
            </w:pPr>
            <w:r>
              <w:t xml:space="preserve">Procedure vereist briefing vóór aanvang en training. Conform.</w:t>
            </w:r>
          </w:p>
        </w:tc>
      </w:tr>
      <w:tr>
        <w:tc>
          <w:tcPr/>
          <w:p>
            <w:pPr>
              <w:pStyle w:val="Compact"/>
              <w:jc w:val="left"/>
            </w:pPr>
            <w:r>
              <w:t xml:space="preserve">25</w:t>
            </w:r>
          </w:p>
        </w:tc>
        <w:tc>
          <w:tcPr/>
          <w:p>
            <w:pPr>
              <w:pStyle w:val="Compact"/>
              <w:jc w:val="left"/>
            </w:pPr>
            <w:r>
              <w:rPr>
                <w:b/>
                <w:bCs/>
              </w:rPr>
              <w:t xml:space="preserve">Periodieke metingen van blootstelling</w:t>
            </w:r>
          </w:p>
        </w:tc>
        <w:tc>
          <w:tcPr/>
          <w:p>
            <w:pPr>
              <w:pStyle w:val="Compact"/>
              <w:jc w:val="left"/>
            </w:pPr>
            <w:r>
              <w:t xml:space="preserve">§4.1.4.C</w:t>
            </w:r>
          </w:p>
        </w:tc>
        <w:tc>
          <w:tcPr/>
          <w:p>
            <w:pPr>
              <w:pStyle w:val="Compact"/>
              <w:jc w:val="left"/>
            </w:pPr>
            <w:r>
              <w:t xml:space="preserve">§5</w:t>
            </w:r>
            <w:r>
              <w:t xml:space="preserve"> </w:t>
            </w:r>
            <w:r>
              <w:t xml:space="preserve">“</w:t>
            </w:r>
            <w:r>
              <w:t xml:space="preserve">exposure monitoring records</w:t>
            </w:r>
            <w:r>
              <w:t xml:space="preserve">”</w:t>
            </w:r>
          </w:p>
        </w:tc>
        <w:tc>
          <w:tcPr/>
          <w:p>
            <w:pPr>
              <w:pStyle w:val="Compact"/>
              <w:jc w:val="left"/>
            </w:pPr>
            <w:r>
              <w:t xml:space="preserve">⚠️ AFWIJK</w:t>
            </w:r>
          </w:p>
        </w:tc>
        <w:tc>
          <w:tcPr/>
          <w:p>
            <w:pPr>
              <w:pStyle w:val="Compact"/>
              <w:jc w:val="left"/>
            </w:pPr>
            <w:r>
              <w:t xml:space="preserve">🟢</w:t>
            </w:r>
          </w:p>
        </w:tc>
        <w:tc>
          <w:tcPr/>
          <w:p>
            <w:pPr>
              <w:pStyle w:val="Compact"/>
              <w:jc w:val="left"/>
            </w:pPr>
            <w:r>
              <w:t xml:space="preserve">Procedure noemt monitoringrecords maar stelt geen frequentie of methodiek (SCi-548) verplicht.</w:t>
            </w:r>
          </w:p>
        </w:tc>
      </w:tr>
      <w:tr>
        <w:tc>
          <w:tcPr/>
          <w:p>
            <w:pPr>
              <w:pStyle w:val="Compact"/>
              <w:jc w:val="left"/>
            </w:pPr>
            <w:r>
              <w:t xml:space="preserve">26</w:t>
            </w:r>
          </w:p>
        </w:tc>
        <w:tc>
          <w:tcPr/>
          <w:p>
            <w:pPr>
              <w:pStyle w:val="Compact"/>
              <w:jc w:val="left"/>
            </w:pPr>
            <w:r>
              <w:rPr>
                <w:b/>
                <w:bCs/>
              </w:rPr>
              <w:t xml:space="preserve">Bronmaatregelen: stofafzuiging, bevochtigen, impregneren</w:t>
            </w:r>
          </w:p>
        </w:tc>
        <w:tc>
          <w:tcPr/>
          <w:p>
            <w:pPr>
              <w:pStyle w:val="Compact"/>
              <w:jc w:val="left"/>
            </w:pPr>
            <w:r>
              <w:t xml:space="preserve">§4.1.4.A, §9.4.1</w:t>
            </w:r>
          </w:p>
        </w:tc>
        <w:tc>
          <w:tcPr/>
          <w:p>
            <w:pPr>
              <w:pStyle w:val="Compact"/>
              <w:jc w:val="left"/>
            </w:pPr>
            <w:r>
              <w:t xml:space="preserve">§4.6.1</w:t>
            </w:r>
            <w:r>
              <w:t xml:space="preserve"> </w:t>
            </w:r>
            <w:r>
              <w:t xml:space="preserve">“</w:t>
            </w:r>
            <w:r>
              <w:t xml:space="preserve">minimise release</w:t>
            </w:r>
            <w:r>
              <w:t xml:space="preserve">”</w:t>
            </w:r>
            <w:r>
              <w:t xml:space="preserve">, §4.6.2 Batteryspray</w:t>
            </w:r>
          </w:p>
        </w:tc>
        <w:tc>
          <w:tcPr/>
          <w:p>
            <w:pPr>
              <w:pStyle w:val="Compact"/>
              <w:jc w:val="left"/>
            </w:pPr>
            <w:r>
              <w:t xml:space="preserve">✅ CONFORM</w:t>
            </w:r>
          </w:p>
        </w:tc>
        <w:tc>
          <w:tcPr/>
          <w:p>
            <w:pPr>
              <w:pStyle w:val="Compact"/>
              <w:jc w:val="left"/>
            </w:pPr>
            <w:r>
              <w:t xml:space="preserve">🟢</w:t>
            </w:r>
          </w:p>
        </w:tc>
        <w:tc>
          <w:tcPr/>
          <w:p>
            <w:pPr>
              <w:pStyle w:val="Compact"/>
              <w:jc w:val="left"/>
            </w:pPr>
            <w:r>
              <w:t xml:space="preserve">Procedure vereist minimalisatie van vezelvrijkomst en bevat de Batteryspray-methode als bronmaatregel.</w:t>
            </w:r>
          </w:p>
        </w:tc>
      </w:tr>
      <w:tr>
        <w:tc>
          <w:tcPr/>
          <w:p>
            <w:pPr>
              <w:pStyle w:val="Compact"/>
              <w:jc w:val="left"/>
            </w:pPr>
            <w:r>
              <w:t xml:space="preserve">27</w:t>
            </w:r>
          </w:p>
        </w:tc>
        <w:tc>
          <w:tcPr/>
          <w:p>
            <w:pPr>
              <w:pStyle w:val="Compact"/>
              <w:jc w:val="left"/>
            </w:pPr>
            <w:r>
              <w:rPr>
                <w:b/>
                <w:bCs/>
              </w:rPr>
              <w:t xml:space="preserve">NEN 2990 als norm voor eindcontrole</w:t>
            </w:r>
          </w:p>
        </w:tc>
        <w:tc>
          <w:tcPr/>
          <w:p>
            <w:pPr>
              <w:pStyle w:val="Compact"/>
              <w:jc w:val="left"/>
            </w:pPr>
            <w:r>
              <w:t xml:space="preserve">§4.1.5.G, §9.4.2, §12.3</w:t>
            </w:r>
          </w:p>
        </w:tc>
        <w:tc>
          <w:tcPr/>
          <w:p>
            <w:pPr>
              <w:pStyle w:val="Compact"/>
              <w:jc w:val="left"/>
            </w:pPr>
            <w:r>
              <w:t xml:space="preserve">§7</w:t>
            </w:r>
            <w:r>
              <w:t xml:space="preserve"> </w:t>
            </w:r>
            <w:r>
              <w:t xml:space="preserve">“</w:t>
            </w:r>
            <w:r>
              <w:t xml:space="preserve">References: NEN 2990</w:t>
            </w:r>
            <w:r>
              <w:t xml:space="preserve">”</w:t>
            </w:r>
          </w:p>
        </w:tc>
        <w:tc>
          <w:tcPr/>
          <w:p>
            <w:pPr>
              <w:pStyle w:val="Compact"/>
              <w:jc w:val="left"/>
            </w:pPr>
            <w:r>
              <w:t xml:space="preserve">✅ CONFORM</w:t>
            </w:r>
          </w:p>
        </w:tc>
        <w:tc>
          <w:tcPr/>
          <w:p>
            <w:pPr>
              <w:pStyle w:val="Compact"/>
              <w:jc w:val="left"/>
            </w:pPr>
            <w:r>
              <w:t xml:space="preserve">🟢</w:t>
            </w:r>
          </w:p>
        </w:tc>
        <w:tc>
          <w:tcPr/>
          <w:p>
            <w:pPr>
              <w:pStyle w:val="Compact"/>
              <w:jc w:val="left"/>
            </w:pPr>
            <w:r>
              <w:t xml:space="preserve">NEN 2990 wordt genoemd in de referentielijst. Goed.</w:t>
            </w:r>
          </w:p>
        </w:tc>
      </w:tr>
      <w:tr>
        <w:tc>
          <w:tcPr/>
          <w:p>
            <w:pPr>
              <w:pStyle w:val="Compact"/>
              <w:jc w:val="left"/>
            </w:pPr>
            <w:r>
              <w:t xml:space="preserve">28</w:t>
            </w:r>
          </w:p>
        </w:tc>
        <w:tc>
          <w:tcPr/>
          <w:p>
            <w:pPr>
              <w:pStyle w:val="Compact"/>
              <w:jc w:val="left"/>
            </w:pPr>
            <w:r>
              <w:rPr>
                <w:b/>
                <w:bCs/>
              </w:rPr>
              <w:t xml:space="preserve">Transitprocedure alleen wanneer drietraps niet mogelijk</w:t>
            </w:r>
          </w:p>
        </w:tc>
        <w:tc>
          <w:tcPr/>
          <w:p>
            <w:pPr>
              <w:pStyle w:val="Compact"/>
              <w:jc w:val="left"/>
            </w:pPr>
            <w:r>
              <w:t xml:space="preserve">§6.4.1</w:t>
            </w:r>
          </w:p>
        </w:tc>
        <w:tc>
          <w:tcPr/>
          <w:p>
            <w:pPr>
              <w:pStyle w:val="Compact"/>
              <w:jc w:val="left"/>
            </w:pPr>
            <w:r>
              <w:t xml:space="preserve">Niet vermeld</w:t>
            </w:r>
          </w:p>
        </w:tc>
        <w:tc>
          <w:tcPr/>
          <w:p>
            <w:pPr>
              <w:pStyle w:val="Compact"/>
              <w:jc w:val="left"/>
            </w:pPr>
            <w:r>
              <w:t xml:space="preserve">❌ ONTBREEKT</w:t>
            </w:r>
          </w:p>
        </w:tc>
        <w:tc>
          <w:tcPr/>
          <w:p>
            <w:pPr>
              <w:pStyle w:val="Compact"/>
              <w:jc w:val="left"/>
            </w:pPr>
            <w:r>
              <w:t xml:space="preserve">🟠</w:t>
            </w:r>
          </w:p>
        </w:tc>
        <w:tc>
          <w:tcPr/>
          <w:p>
            <w:pPr>
              <w:pStyle w:val="Compact"/>
              <w:jc w:val="left"/>
            </w:pPr>
            <w:r>
              <w:t xml:space="preserve">Procedure geeft geen richtlijn voor situaties waar drietraps-deco-unit niet mogelijk is.</w:t>
            </w:r>
          </w:p>
        </w:tc>
      </w:tr>
      <w:tr>
        <w:tc>
          <w:tcPr/>
          <w:p>
            <w:pPr>
              <w:pStyle w:val="Compact"/>
              <w:jc w:val="left"/>
            </w:pPr>
            <w:r>
              <w:t xml:space="preserve">29</w:t>
            </w:r>
          </w:p>
        </w:tc>
        <w:tc>
          <w:tcPr/>
          <w:p>
            <w:pPr>
              <w:pStyle w:val="Compact"/>
              <w:jc w:val="left"/>
            </w:pPr>
            <w:r>
              <w:rPr>
                <w:b/>
                <w:bCs/>
              </w:rPr>
              <w:t xml:space="preserve">Legionellapreventie bij deco-units</w:t>
            </w:r>
          </w:p>
        </w:tc>
        <w:tc>
          <w:tcPr/>
          <w:p>
            <w:pPr>
              <w:pStyle w:val="Compact"/>
              <w:jc w:val="left"/>
            </w:pPr>
            <w:r>
              <w:t xml:space="preserve">§6.6</w:t>
            </w:r>
          </w:p>
        </w:tc>
        <w:tc>
          <w:tcPr/>
          <w:p>
            <w:pPr>
              <w:pStyle w:val="Compact"/>
              <w:jc w:val="left"/>
            </w:pPr>
            <w:r>
              <w:t xml:space="preserve">Niet vermeld</w:t>
            </w:r>
          </w:p>
        </w:tc>
        <w:tc>
          <w:tcPr/>
          <w:p>
            <w:pPr>
              <w:pStyle w:val="Compact"/>
              <w:jc w:val="left"/>
            </w:pPr>
            <w:r>
              <w:t xml:space="preserve">❌ ONTBREEKT</w:t>
            </w:r>
          </w:p>
        </w:tc>
        <w:tc>
          <w:tcPr/>
          <w:p>
            <w:pPr>
              <w:pStyle w:val="Compact"/>
              <w:jc w:val="left"/>
            </w:pPr>
            <w:r>
              <w:t xml:space="preserve">🟢</w:t>
            </w:r>
          </w:p>
        </w:tc>
        <w:tc>
          <w:tcPr/>
          <w:p>
            <w:pPr>
              <w:pStyle w:val="Compact"/>
              <w:jc w:val="left"/>
            </w:pPr>
            <w:r>
              <w:t xml:space="preserve">Procedure bevat geen legionellapreventie. Alleen relevant indien deco-units met watertanks worden gebruikt.</w:t>
            </w:r>
          </w:p>
        </w:tc>
      </w:tr>
      <w:tr>
        <w:tc>
          <w:tcPr/>
          <w:p>
            <w:pPr>
              <w:pStyle w:val="Compact"/>
              <w:jc w:val="left"/>
            </w:pPr>
            <w:r>
              <w:t xml:space="preserve">30</w:t>
            </w:r>
          </w:p>
        </w:tc>
        <w:tc>
          <w:tcPr/>
          <w:p>
            <w:pPr>
              <w:pStyle w:val="Compact"/>
              <w:jc w:val="left"/>
            </w:pPr>
            <w:r>
              <w:rPr>
                <w:b/>
                <w:bCs/>
              </w:rPr>
              <w:t xml:space="preserve">Werktuigen &gt;100 omw/min voorzien van afzuigsysteem</w:t>
            </w:r>
          </w:p>
        </w:tc>
        <w:tc>
          <w:tcPr/>
          <w:p>
            <w:pPr>
              <w:pStyle w:val="Compact"/>
              <w:jc w:val="left"/>
            </w:pPr>
            <w:r>
              <w:t xml:space="preserve">§9.4.2 (RK2)</w:t>
            </w:r>
          </w:p>
        </w:tc>
        <w:tc>
          <w:tcPr/>
          <w:p>
            <w:pPr>
              <w:pStyle w:val="Compact"/>
              <w:jc w:val="left"/>
            </w:pPr>
            <w:r>
              <w:t xml:space="preserve">Niet vermeld</w:t>
            </w:r>
          </w:p>
        </w:tc>
        <w:tc>
          <w:tcPr/>
          <w:p>
            <w:pPr>
              <w:pStyle w:val="Compact"/>
              <w:jc w:val="left"/>
            </w:pPr>
            <w:r>
              <w:t xml:space="preserve">❌ ONTBREEKT</w:t>
            </w:r>
          </w:p>
        </w:tc>
        <w:tc>
          <w:tcPr/>
          <w:p>
            <w:pPr>
              <w:pStyle w:val="Compact"/>
              <w:jc w:val="left"/>
            </w:pPr>
            <w:r>
              <w:t xml:space="preserve">🟠</w:t>
            </w:r>
          </w:p>
        </w:tc>
        <w:tc>
          <w:tcPr/>
          <w:p>
            <w:pPr>
              <w:pStyle w:val="Compact"/>
              <w:jc w:val="left"/>
            </w:pPr>
            <w:r>
              <w:t xml:space="preserve">Procedure geeft geen specifieke eisen aan gereedschap met hoog toerental en afzuiging.</w:t>
            </w:r>
          </w:p>
        </w:tc>
      </w:tr>
      <w:tr>
        <w:tc>
          <w:tcPr/>
          <w:p>
            <w:pPr>
              <w:pStyle w:val="Compact"/>
              <w:jc w:val="left"/>
            </w:pPr>
            <w:r>
              <w:t xml:space="preserve">31</w:t>
            </w:r>
          </w:p>
        </w:tc>
        <w:tc>
          <w:tcPr/>
          <w:p>
            <w:pPr>
              <w:pStyle w:val="Compact"/>
              <w:jc w:val="left"/>
            </w:pPr>
            <w:r>
              <w:rPr>
                <w:b/>
                <w:bCs/>
              </w:rPr>
              <w:t xml:space="preserve">Bewaartermijn medische dossiers: minimaal 40 jaar</w:t>
            </w:r>
          </w:p>
        </w:tc>
        <w:tc>
          <w:tcPr/>
          <w:p>
            <w:pPr>
              <w:pStyle w:val="Compact"/>
              <w:jc w:val="left"/>
            </w:pPr>
            <w:r>
              <w:t xml:space="preserve">§7.5</w:t>
            </w:r>
          </w:p>
        </w:tc>
        <w:tc>
          <w:tcPr/>
          <w:p>
            <w:pPr>
              <w:pStyle w:val="Compact"/>
              <w:jc w:val="left"/>
            </w:pPr>
            <w:r>
              <w:t xml:space="preserve">Niet vermeld</w:t>
            </w:r>
          </w:p>
        </w:tc>
        <w:tc>
          <w:tcPr/>
          <w:p>
            <w:pPr>
              <w:pStyle w:val="Compact"/>
              <w:jc w:val="left"/>
            </w:pPr>
            <w:r>
              <w:t xml:space="preserve">❌ ONTBREEKT</w:t>
            </w:r>
          </w:p>
        </w:tc>
        <w:tc>
          <w:tcPr/>
          <w:p>
            <w:pPr>
              <w:pStyle w:val="Compact"/>
              <w:jc w:val="left"/>
            </w:pPr>
            <w:r>
              <w:t xml:space="preserve">🟠</w:t>
            </w:r>
          </w:p>
        </w:tc>
        <w:tc>
          <w:tcPr/>
          <w:p>
            <w:pPr>
              <w:pStyle w:val="Compact"/>
              <w:jc w:val="left"/>
            </w:pPr>
            <w:r>
              <w:t xml:space="preserve">Procedure noemt</w:t>
            </w:r>
            <w:r>
              <w:t xml:space="preserve"> </w:t>
            </w:r>
            <w:r>
              <w:t xml:space="preserve">“</w:t>
            </w:r>
            <w:r>
              <w:t xml:space="preserve">retention in accordance with applicable legal, client, and company requirements</w:t>
            </w:r>
            <w:r>
              <w:t xml:space="preserve">”</w:t>
            </w:r>
            <w:r>
              <w:t xml:space="preserve"> </w:t>
            </w:r>
            <w:r>
              <w:t xml:space="preserve">maar specificeert niet de 40-jaar termijn.</w:t>
            </w:r>
          </w:p>
        </w:tc>
      </w:tr>
      <w:tr>
        <w:tc>
          <w:tcPr/>
          <w:p>
            <w:pPr>
              <w:pStyle w:val="Compact"/>
              <w:jc w:val="left"/>
            </w:pPr>
            <w:r>
              <w:t xml:space="preserve">32</w:t>
            </w:r>
          </w:p>
        </w:tc>
        <w:tc>
          <w:tcPr/>
          <w:p>
            <w:pPr>
              <w:pStyle w:val="Compact"/>
              <w:jc w:val="left"/>
            </w:pPr>
            <w:r>
              <w:rPr>
                <w:b/>
                <w:bCs/>
              </w:rPr>
              <w:t xml:space="preserve">Arbocatalogus</w:t>
            </w:r>
            <w:r>
              <w:rPr>
                <w:b/>
                <w:bCs/>
              </w:rPr>
              <w:t xml:space="preserve"> </w:t>
            </w:r>
            <w:r>
              <w:rPr>
                <w:b/>
                <w:bCs/>
              </w:rPr>
              <w:t xml:space="preserve">“</w:t>
            </w:r>
            <w:r>
              <w:rPr>
                <w:b/>
                <w:bCs/>
              </w:rPr>
              <w:t xml:space="preserve">Asbest in installatie- en isolatiebranches</w:t>
            </w:r>
            <w:r>
              <w:rPr>
                <w:b/>
                <w:bCs/>
              </w:rPr>
              <w:t xml:space="preserve">”</w:t>
            </w:r>
          </w:p>
        </w:tc>
        <w:tc>
          <w:tcPr/>
          <w:p>
            <w:pPr>
              <w:pStyle w:val="Compact"/>
              <w:jc w:val="left"/>
            </w:pPr>
            <w:r>
              <w:t xml:space="preserve">§13.2</w:t>
            </w:r>
          </w:p>
        </w:tc>
        <w:tc>
          <w:tcPr/>
          <w:p>
            <w:pPr>
              <w:pStyle w:val="Compact"/>
              <w:jc w:val="left"/>
            </w:pPr>
            <w:r>
              <w:t xml:space="preserve">Niet vermeld</w:t>
            </w:r>
          </w:p>
        </w:tc>
        <w:tc>
          <w:tcPr/>
          <w:p>
            <w:pPr>
              <w:pStyle w:val="Compact"/>
              <w:jc w:val="left"/>
            </w:pPr>
            <w:r>
              <w:t xml:space="preserve">❌ ONTBREEKT</w:t>
            </w:r>
          </w:p>
        </w:tc>
        <w:tc>
          <w:tcPr/>
          <w:p>
            <w:pPr>
              <w:pStyle w:val="Compact"/>
              <w:jc w:val="left"/>
            </w:pPr>
            <w:r>
              <w:t xml:space="preserve">🟢</w:t>
            </w:r>
          </w:p>
        </w:tc>
        <w:tc>
          <w:tcPr/>
          <w:p>
            <w:pPr>
              <w:pStyle w:val="Compact"/>
              <w:jc w:val="left"/>
            </w:pPr>
            <w:r>
              <w:t xml:space="preserve">De branchearbocatalogus wordt niet als referentie genoemd.</w:t>
            </w:r>
          </w:p>
        </w:tc>
      </w:tr>
    </w:tbl>
    <w:bookmarkEnd w:id="24"/>
    <w:bookmarkStart w:id="25" w:name="arbowet-toetsing"/>
    <w:p>
      <w:pPr>
        <w:pStyle w:val="Heading3"/>
      </w:pPr>
      <w:r>
        <w:t xml:space="preserve">2.2 Arbowet-toetsing</w:t>
      </w:r>
    </w:p>
    <w:tbl>
      <w:tblPr>
        <w:tblStyle w:val="Table"/>
        <w:tblW w:type="pct" w:w="5000"/>
        <w:jc w:val="left"/>
        <w:tblLayout w:type="fixed"/>
        <w:tblLook w:firstRow="1" w:lastRow="0" w:firstColumn="0" w:lastColumn="0" w:noHBand="0" w:noVBand="0" w:val="0020"/>
      </w:tblPr>
      <w:tblGrid>
        <w:gridCol w:w="371"/>
        <w:gridCol w:w="1485"/>
        <w:gridCol w:w="742"/>
        <w:gridCol w:w="1732"/>
        <w:gridCol w:w="990"/>
        <w:gridCol w:w="990"/>
        <w:gridCol w:w="1608"/>
      </w:tblGrid>
      <w:tr>
        <w:trPr>
          <w:tblHeader w:val="on"/>
        </w:trPr>
        <w:tc>
          <w:tcPr/>
          <w:p>
            <w:pPr>
              <w:pStyle w:val="Compact"/>
              <w:jc w:val="left"/>
            </w:pPr>
            <w:r>
              <w:t xml:space="preserve">#</w:t>
            </w:r>
          </w:p>
        </w:tc>
        <w:tc>
          <w:tcPr/>
          <w:p>
            <w:pPr>
              <w:pStyle w:val="Compact"/>
              <w:jc w:val="left"/>
            </w:pPr>
            <w:r>
              <w:t xml:space="preserve">Arbowet-eis</w:t>
            </w:r>
          </w:p>
        </w:tc>
        <w:tc>
          <w:tcPr/>
          <w:p>
            <w:pPr>
              <w:pStyle w:val="Compact"/>
              <w:jc w:val="left"/>
            </w:pPr>
            <w:r>
              <w:t xml:space="preserve">Bron</w:t>
            </w:r>
          </w:p>
        </w:tc>
        <w:tc>
          <w:tcPr/>
          <w:p>
            <w:pPr>
              <w:pStyle w:val="Compact"/>
              <w:jc w:val="left"/>
            </w:pPr>
            <w:r>
              <w:t xml:space="preserve">Procedure-ref</w:t>
            </w:r>
          </w:p>
        </w:tc>
        <w:tc>
          <w:tcPr/>
          <w:p>
            <w:pPr>
              <w:pStyle w:val="Compact"/>
              <w:jc w:val="left"/>
            </w:pPr>
            <w:r>
              <w:t xml:space="preserve">Status</w:t>
            </w:r>
          </w:p>
        </w:tc>
        <w:tc>
          <w:tcPr/>
          <w:p>
            <w:pPr>
              <w:pStyle w:val="Compact"/>
              <w:jc w:val="left"/>
            </w:pPr>
            <w:r>
              <w:t xml:space="preserve">Risico</w:t>
            </w:r>
          </w:p>
        </w:tc>
        <w:tc>
          <w:tcPr/>
          <w:p>
            <w:pPr>
              <w:pStyle w:val="Compact"/>
              <w:jc w:val="left"/>
            </w:pPr>
            <w:r>
              <w:t xml:space="preserve">Toelichting</w:t>
            </w:r>
          </w:p>
        </w:tc>
      </w:tr>
      <w:tr>
        <w:tc>
          <w:tcPr/>
          <w:p>
            <w:pPr>
              <w:pStyle w:val="Compact"/>
              <w:jc w:val="left"/>
            </w:pPr>
            <w:r>
              <w:t xml:space="preserve">A1</w:t>
            </w:r>
          </w:p>
        </w:tc>
        <w:tc>
          <w:tcPr/>
          <w:p>
            <w:pPr>
              <w:pStyle w:val="Compact"/>
              <w:jc w:val="left"/>
            </w:pPr>
            <w:r>
              <w:rPr>
                <w:b/>
                <w:bCs/>
              </w:rPr>
              <w:t xml:space="preserve">Art. 3: Zorgplicht werkgever voor veilige werkplek</w:t>
            </w:r>
          </w:p>
        </w:tc>
        <w:tc>
          <w:tcPr/>
          <w:p>
            <w:pPr>
              <w:pStyle w:val="Compact"/>
              <w:jc w:val="left"/>
            </w:pPr>
            <w:r>
              <w:t xml:space="preserve">Arbowet art. 3</w:t>
            </w:r>
          </w:p>
        </w:tc>
        <w:tc>
          <w:tcPr/>
          <w:p>
            <w:pPr>
              <w:pStyle w:val="Compact"/>
              <w:jc w:val="left"/>
            </w:pPr>
            <w:r>
              <w:t xml:space="preserve">§1</w:t>
            </w:r>
            <w:r>
              <w:t xml:space="preserve"> </w:t>
            </w:r>
            <w:r>
              <w:t xml:space="preserve">“</w:t>
            </w:r>
            <w:r>
              <w:t xml:space="preserve">Purpose and Scope</w:t>
            </w:r>
            <w:r>
              <w:t xml:space="preserve">”</w:t>
            </w:r>
            <w:r>
              <w:t xml:space="preserve">, §3</w:t>
            </w:r>
            <w:r>
              <w:t xml:space="preserve"> </w:t>
            </w:r>
            <w:r>
              <w:t xml:space="preserve">“</w:t>
            </w:r>
            <w:r>
              <w:t xml:space="preserve">Roles</w:t>
            </w:r>
            <w:r>
              <w:t xml:space="preserve">”</w:t>
            </w:r>
          </w:p>
        </w:tc>
        <w:tc>
          <w:tcPr/>
          <w:p>
            <w:pPr>
              <w:pStyle w:val="Compact"/>
              <w:jc w:val="left"/>
            </w:pPr>
            <w:r>
              <w:t xml:space="preserve">✅ CONFORM</w:t>
            </w:r>
          </w:p>
        </w:tc>
        <w:tc>
          <w:tcPr/>
          <w:p>
            <w:pPr>
              <w:pStyle w:val="Compact"/>
              <w:jc w:val="left"/>
            </w:pPr>
            <w:r>
              <w:t xml:space="preserve">🟢</w:t>
            </w:r>
          </w:p>
        </w:tc>
        <w:tc>
          <w:tcPr/>
          <w:p>
            <w:pPr>
              <w:pStyle w:val="Compact"/>
              <w:jc w:val="left"/>
            </w:pPr>
            <w:r>
              <w:t xml:space="preserve">Procedure toont zorgplicht via rolverdeling, planning en vereisten.</w:t>
            </w:r>
          </w:p>
        </w:tc>
      </w:tr>
      <w:tr>
        <w:tc>
          <w:tcPr/>
          <w:p>
            <w:pPr>
              <w:pStyle w:val="Compact"/>
              <w:jc w:val="left"/>
            </w:pPr>
            <w:r>
              <w:t xml:space="preserve">A2</w:t>
            </w:r>
          </w:p>
        </w:tc>
        <w:tc>
          <w:tcPr/>
          <w:p>
            <w:pPr>
              <w:pStyle w:val="Compact"/>
              <w:jc w:val="left"/>
            </w:pPr>
            <w:r>
              <w:rPr>
                <w:b/>
                <w:bCs/>
              </w:rPr>
              <w:t xml:space="preserve">Art. 4: Systematische aanpak gevaarlijke stoffen (RI&amp;E)</w:t>
            </w:r>
          </w:p>
        </w:tc>
        <w:tc>
          <w:tcPr/>
          <w:p>
            <w:pPr>
              <w:pStyle w:val="Compact"/>
              <w:jc w:val="left"/>
            </w:pPr>
            <w:r>
              <w:t xml:space="preserve">Arbowet art. 4, Arbobesluit §4.2</w:t>
            </w:r>
          </w:p>
        </w:tc>
        <w:tc>
          <w:tcPr/>
          <w:p>
            <w:pPr>
              <w:pStyle w:val="Compact"/>
              <w:jc w:val="left"/>
            </w:pPr>
            <w:r>
              <w:t xml:space="preserve">§4.1</w:t>
            </w:r>
            <w:r>
              <w:t xml:space="preserve"> </w:t>
            </w:r>
            <w:r>
              <w:t xml:space="preserve">“</w:t>
            </w:r>
            <w:r>
              <w:t xml:space="preserve">risk assessments</w:t>
            </w:r>
            <w:r>
              <w:t xml:space="preserve">”</w:t>
            </w:r>
            <w:r>
              <w:t xml:space="preserve">, §4.2</w:t>
            </w:r>
            <w:r>
              <w:t xml:space="preserve"> </w:t>
            </w:r>
            <w:r>
              <w:t xml:space="preserve">“</w:t>
            </w:r>
            <w:r>
              <w:t xml:space="preserve">Risk Classification</w:t>
            </w:r>
            <w:r>
              <w:t xml:space="preserve">”</w:t>
            </w:r>
          </w:p>
        </w:tc>
        <w:tc>
          <w:tcPr/>
          <w:p>
            <w:pPr>
              <w:pStyle w:val="Compact"/>
              <w:jc w:val="left"/>
            </w:pPr>
            <w:r>
              <w:t xml:space="preserve">✅ CONFORM</w:t>
            </w:r>
          </w:p>
        </w:tc>
        <w:tc>
          <w:tcPr/>
          <w:p>
            <w:pPr>
              <w:pStyle w:val="Compact"/>
              <w:jc w:val="left"/>
            </w:pPr>
            <w:r>
              <w:t xml:space="preserve">🟢</w:t>
            </w:r>
          </w:p>
        </w:tc>
        <w:tc>
          <w:tcPr/>
          <w:p>
            <w:pPr>
              <w:pStyle w:val="Compact"/>
              <w:jc w:val="left"/>
            </w:pPr>
            <w:r>
              <w:t xml:space="preserve">Procedure vereist risico-inventarisatie en classificatie vóór aanvang.</w:t>
            </w:r>
          </w:p>
        </w:tc>
      </w:tr>
      <w:tr>
        <w:tc>
          <w:tcPr/>
          <w:p>
            <w:pPr>
              <w:pStyle w:val="Compact"/>
              <w:jc w:val="left"/>
            </w:pPr>
            <w:r>
              <w:t xml:space="preserve">A3</w:t>
            </w:r>
          </w:p>
        </w:tc>
        <w:tc>
          <w:tcPr/>
          <w:p>
            <w:pPr>
              <w:pStyle w:val="Compact"/>
              <w:jc w:val="left"/>
            </w:pPr>
            <w:r>
              <w:rPr>
                <w:b/>
                <w:bCs/>
              </w:rPr>
              <w:t xml:space="preserve">Arbobesluit 4.44-4.47c: Risicoklasse 1-regime</w:t>
            </w:r>
          </w:p>
        </w:tc>
        <w:tc>
          <w:tcPr/>
          <w:p>
            <w:pPr>
              <w:pStyle w:val="Compact"/>
              <w:jc w:val="left"/>
            </w:pPr>
            <w:r>
              <w:t xml:space="preserve">Arbobesluit §4.3</w:t>
            </w:r>
          </w:p>
        </w:tc>
        <w:tc>
          <w:tcPr/>
          <w:p>
            <w:pPr>
              <w:pStyle w:val="Compact"/>
              <w:jc w:val="left"/>
            </w:pPr>
            <w:r>
              <w:t xml:space="preserve">§4.2</w:t>
            </w:r>
            <w:r>
              <w:t xml:space="preserve"> </w:t>
            </w:r>
            <w:r>
              <w:t xml:space="preserve">“</w:t>
            </w:r>
            <w:r>
              <w:t xml:space="preserve">Risk Classification</w:t>
            </w:r>
            <w:r>
              <w:t xml:space="preserve">”</w:t>
            </w:r>
          </w:p>
        </w:tc>
        <w:tc>
          <w:tcPr/>
          <w:p>
            <w:pPr>
              <w:pStyle w:val="Compact"/>
              <w:jc w:val="left"/>
            </w:pPr>
            <w:r>
              <w:t xml:space="preserve">⚠️ AFWIJK</w:t>
            </w:r>
          </w:p>
        </w:tc>
        <w:tc>
          <w:tcPr/>
          <w:p>
            <w:pPr>
              <w:pStyle w:val="Compact"/>
              <w:jc w:val="left"/>
            </w:pPr>
            <w:r>
              <w:t xml:space="preserve">🟠</w:t>
            </w:r>
          </w:p>
        </w:tc>
        <w:tc>
          <w:tcPr/>
          <w:p>
            <w:pPr>
              <w:pStyle w:val="Compact"/>
              <w:jc w:val="left"/>
            </w:pPr>
            <w:r>
              <w:t xml:space="preserve">Procedure noemt classificatie maar koppelt niet aan de specifieke wettelijke regimes (RK1/RK2/RK2A).</w:t>
            </w:r>
          </w:p>
        </w:tc>
      </w:tr>
      <w:tr>
        <w:tc>
          <w:tcPr/>
          <w:p>
            <w:pPr>
              <w:pStyle w:val="Compact"/>
              <w:jc w:val="left"/>
            </w:pPr>
            <w:r>
              <w:t xml:space="preserve">A4</w:t>
            </w:r>
          </w:p>
        </w:tc>
        <w:tc>
          <w:tcPr/>
          <w:p>
            <w:pPr>
              <w:pStyle w:val="Compact"/>
              <w:jc w:val="left"/>
            </w:pPr>
            <w:r>
              <w:rPr>
                <w:b/>
                <w:bCs/>
              </w:rPr>
              <w:t xml:space="preserve">Arbobesluit 4.48-4.53: Risicoklasse 2-regime (werkplan, DTA, registratie)</w:t>
            </w:r>
          </w:p>
        </w:tc>
        <w:tc>
          <w:tcPr/>
          <w:p>
            <w:pPr>
              <w:pStyle w:val="Compact"/>
              <w:jc w:val="left"/>
            </w:pPr>
            <w:r>
              <w:t xml:space="preserve">Arbobesluit §4.4</w:t>
            </w:r>
          </w:p>
        </w:tc>
        <w:tc>
          <w:tcPr/>
          <w:p>
            <w:pPr>
              <w:pStyle w:val="Compact"/>
              <w:jc w:val="left"/>
            </w:pPr>
            <w:r>
              <w:t xml:space="preserve">Gedeeltelijk in §4.5</w:t>
            </w:r>
          </w:p>
        </w:tc>
        <w:tc>
          <w:tcPr/>
          <w:p>
            <w:pPr>
              <w:pStyle w:val="Compact"/>
              <w:jc w:val="left"/>
            </w:pPr>
            <w:r>
              <w:t xml:space="preserve">⚠️ AFWIJK</w:t>
            </w:r>
          </w:p>
        </w:tc>
        <w:tc>
          <w:tcPr/>
          <w:p>
            <w:pPr>
              <w:pStyle w:val="Compact"/>
              <w:jc w:val="left"/>
            </w:pPr>
            <w:r>
              <w:t xml:space="preserve">🔴</w:t>
            </w:r>
          </w:p>
        </w:tc>
        <w:tc>
          <w:tcPr/>
          <w:p>
            <w:pPr>
              <w:pStyle w:val="Compact"/>
              <w:jc w:val="left"/>
            </w:pPr>
            <w:r>
              <w:t xml:space="preserve">Procedure dekt elementen (werkvoorbereiding, toezicht) maar noemt DTA, gecertificeerd bedrijf en registratie niet expliciet genoeg.</w:t>
            </w:r>
          </w:p>
        </w:tc>
      </w:tr>
      <w:tr>
        <w:tc>
          <w:tcPr/>
          <w:p>
            <w:pPr>
              <w:pStyle w:val="Compact"/>
              <w:jc w:val="left"/>
            </w:pPr>
            <w:r>
              <w:t xml:space="preserve">A5</w:t>
            </w:r>
          </w:p>
        </w:tc>
        <w:tc>
          <w:tcPr/>
          <w:p>
            <w:pPr>
              <w:pStyle w:val="Compact"/>
              <w:jc w:val="left"/>
            </w:pPr>
            <w:r>
              <w:rPr>
                <w:b/>
                <w:bCs/>
              </w:rPr>
              <w:t xml:space="preserve">Arbobesluit 4.53a-c: Risicoklasse 2A (verzwaarde eindbeoordeling SEM)</w:t>
            </w:r>
          </w:p>
        </w:tc>
        <w:tc>
          <w:tcPr/>
          <w:p>
            <w:pPr>
              <w:pStyle w:val="Compact"/>
              <w:jc w:val="left"/>
            </w:pPr>
            <w:r>
              <w:t xml:space="preserve">Arbobesluit §4.5</w:t>
            </w:r>
          </w:p>
        </w:tc>
        <w:tc>
          <w:tcPr/>
          <w:p>
            <w:pPr>
              <w:pStyle w:val="Compact"/>
              <w:jc w:val="left"/>
            </w:pPr>
            <w:r>
              <w:t xml:space="preserve">Niet vermeld</w:t>
            </w:r>
          </w:p>
        </w:tc>
        <w:tc>
          <w:tcPr/>
          <w:p>
            <w:pPr>
              <w:pStyle w:val="Compact"/>
              <w:jc w:val="left"/>
            </w:pPr>
            <w:r>
              <w:t xml:space="preserve">❌ ONTBREEKT</w:t>
            </w:r>
          </w:p>
        </w:tc>
        <w:tc>
          <w:tcPr/>
          <w:p>
            <w:pPr>
              <w:pStyle w:val="Compact"/>
              <w:jc w:val="left"/>
            </w:pPr>
            <w:r>
              <w:t xml:space="preserve">🟠</w:t>
            </w:r>
          </w:p>
        </w:tc>
        <w:tc>
          <w:tcPr/>
          <w:p>
            <w:pPr>
              <w:pStyle w:val="Compact"/>
              <w:jc w:val="left"/>
            </w:pPr>
            <w:r>
              <w:t xml:space="preserve">Geen onderscheid tussen chrysotiel en amfibool asbest in de procedure.</w:t>
            </w:r>
          </w:p>
        </w:tc>
      </w:tr>
      <w:tr>
        <w:tc>
          <w:tcPr/>
          <w:p>
            <w:pPr>
              <w:pStyle w:val="Compact"/>
              <w:jc w:val="left"/>
            </w:pPr>
            <w:r>
              <w:t xml:space="preserve">A6</w:t>
            </w:r>
          </w:p>
        </w:tc>
        <w:tc>
          <w:tcPr/>
          <w:p>
            <w:pPr>
              <w:pStyle w:val="Compact"/>
              <w:jc w:val="left"/>
            </w:pPr>
            <w:r>
              <w:rPr>
                <w:b/>
                <w:bCs/>
              </w:rPr>
              <w:t xml:space="preserve">Arbobesluit 4.54a: Asbestinventarisatie door gecertificeerd bedrijf</w:t>
            </w:r>
          </w:p>
        </w:tc>
        <w:tc>
          <w:tcPr/>
          <w:p>
            <w:pPr>
              <w:pStyle w:val="Compact"/>
              <w:jc w:val="left"/>
            </w:pPr>
            <w:r>
              <w:t xml:space="preserve">Arbobesluit §4.6</w:t>
            </w:r>
          </w:p>
        </w:tc>
        <w:tc>
          <w:tcPr/>
          <w:p>
            <w:pPr>
              <w:pStyle w:val="Compact"/>
              <w:jc w:val="left"/>
            </w:pPr>
            <w:r>
              <w:t xml:space="preserve">§4.1</w:t>
            </w:r>
            <w:r>
              <w:t xml:space="preserve"> </w:t>
            </w:r>
            <w:r>
              <w:t xml:space="preserve">“</w:t>
            </w:r>
            <w:r>
              <w:t xml:space="preserve">approved asbestos inventory</w:t>
            </w:r>
            <w:r>
              <w:t xml:space="preserve">”</w:t>
            </w:r>
          </w:p>
        </w:tc>
        <w:tc>
          <w:tcPr/>
          <w:p>
            <w:pPr>
              <w:pStyle w:val="Compact"/>
              <w:jc w:val="left"/>
            </w:pPr>
            <w:r>
              <w:t xml:space="preserve">⚠️ AFWIJK</w:t>
            </w:r>
          </w:p>
        </w:tc>
        <w:tc>
          <w:tcPr/>
          <w:p>
            <w:pPr>
              <w:pStyle w:val="Compact"/>
              <w:jc w:val="left"/>
            </w:pPr>
            <w:r>
              <w:t xml:space="preserve">🟠</w:t>
            </w:r>
          </w:p>
        </w:tc>
        <w:tc>
          <w:tcPr/>
          <w:p>
            <w:pPr>
              <w:pStyle w:val="Compact"/>
              <w:jc w:val="left"/>
            </w:pPr>
            <w:r>
              <w:t xml:space="preserve">Procedure vereist</w:t>
            </w:r>
            <w:r>
              <w:t xml:space="preserve"> </w:t>
            </w:r>
            <w:r>
              <w:t xml:space="preserve">“</w:t>
            </w:r>
            <w:r>
              <w:t xml:space="preserve">approved</w:t>
            </w:r>
            <w:r>
              <w:t xml:space="preserve">”</w:t>
            </w:r>
            <w:r>
              <w:t xml:space="preserve"> </w:t>
            </w:r>
            <w:r>
              <w:t xml:space="preserve">inventaris maar stelt geen certificeringseis aan het inventarisatiebedrijf.</w:t>
            </w:r>
          </w:p>
        </w:tc>
      </w:tr>
    </w:tbl>
    <w:bookmarkEnd w:id="25"/>
    <w:bookmarkStart w:id="26" w:name="omgevingswet-toetsing"/>
    <w:p>
      <w:pPr>
        <w:pStyle w:val="Heading3"/>
      </w:pPr>
      <w:r>
        <w:t xml:space="preserve">2.3 Omgevingswet-toetsing</w:t>
      </w:r>
    </w:p>
    <w:tbl>
      <w:tblPr>
        <w:tblStyle w:val="Table"/>
        <w:tblW w:type="pct" w:w="5000"/>
        <w:jc w:val="left"/>
        <w:tblLayout w:type="fixed"/>
        <w:tblLook w:firstRow="1" w:lastRow="0" w:firstColumn="0" w:lastColumn="0" w:noHBand="0" w:noVBand="0" w:val="0020"/>
      </w:tblPr>
      <w:tblGrid>
        <w:gridCol w:w="344"/>
        <w:gridCol w:w="1951"/>
        <w:gridCol w:w="688"/>
        <w:gridCol w:w="1606"/>
        <w:gridCol w:w="918"/>
        <w:gridCol w:w="918"/>
        <w:gridCol w:w="1492"/>
      </w:tblGrid>
      <w:tr>
        <w:trPr>
          <w:tblHeader w:val="on"/>
        </w:trPr>
        <w:tc>
          <w:tcPr/>
          <w:p>
            <w:pPr>
              <w:pStyle w:val="Compact"/>
              <w:jc w:val="left"/>
            </w:pPr>
            <w:r>
              <w:t xml:space="preserve">#</w:t>
            </w:r>
          </w:p>
        </w:tc>
        <w:tc>
          <w:tcPr/>
          <w:p>
            <w:pPr>
              <w:pStyle w:val="Compact"/>
              <w:jc w:val="left"/>
            </w:pPr>
            <w:r>
              <w:t xml:space="preserve">Omgevingswet-eis</w:t>
            </w:r>
          </w:p>
        </w:tc>
        <w:tc>
          <w:tcPr/>
          <w:p>
            <w:pPr>
              <w:pStyle w:val="Compact"/>
              <w:jc w:val="left"/>
            </w:pPr>
            <w:r>
              <w:t xml:space="preserve">Bron</w:t>
            </w:r>
          </w:p>
        </w:tc>
        <w:tc>
          <w:tcPr/>
          <w:p>
            <w:pPr>
              <w:pStyle w:val="Compact"/>
              <w:jc w:val="left"/>
            </w:pPr>
            <w:r>
              <w:t xml:space="preserve">Procedure-ref</w:t>
            </w:r>
          </w:p>
        </w:tc>
        <w:tc>
          <w:tcPr/>
          <w:p>
            <w:pPr>
              <w:pStyle w:val="Compact"/>
              <w:jc w:val="left"/>
            </w:pPr>
            <w:r>
              <w:t xml:space="preserve">Status</w:t>
            </w:r>
          </w:p>
        </w:tc>
        <w:tc>
          <w:tcPr/>
          <w:p>
            <w:pPr>
              <w:pStyle w:val="Compact"/>
              <w:jc w:val="left"/>
            </w:pPr>
            <w:r>
              <w:t xml:space="preserve">Risico</w:t>
            </w:r>
          </w:p>
        </w:tc>
        <w:tc>
          <w:tcPr/>
          <w:p>
            <w:pPr>
              <w:pStyle w:val="Compact"/>
              <w:jc w:val="left"/>
            </w:pPr>
            <w:r>
              <w:t xml:space="preserve">Toelichting</w:t>
            </w:r>
          </w:p>
        </w:tc>
      </w:tr>
      <w:tr>
        <w:tc>
          <w:tcPr/>
          <w:p>
            <w:pPr>
              <w:pStyle w:val="Compact"/>
              <w:jc w:val="left"/>
            </w:pPr>
            <w:r>
              <w:t xml:space="preserve">O1</w:t>
            </w:r>
          </w:p>
        </w:tc>
        <w:tc>
          <w:tcPr/>
          <w:p>
            <w:pPr>
              <w:pStyle w:val="Compact"/>
              <w:jc w:val="left"/>
            </w:pPr>
            <w:r>
              <w:rPr>
                <w:b/>
                <w:bCs/>
              </w:rPr>
              <w:t xml:space="preserve">Meldingsplicht asbestverwijdering aan bevoegd gezag</w:t>
            </w:r>
          </w:p>
        </w:tc>
        <w:tc>
          <w:tcPr/>
          <w:p>
            <w:pPr>
              <w:pStyle w:val="Compact"/>
              <w:jc w:val="left"/>
            </w:pPr>
            <w:r>
              <w:t xml:space="preserve">Asbestverwijderingsbesluit 2005, art. 3-4</w:t>
            </w:r>
          </w:p>
        </w:tc>
        <w:tc>
          <w:tcPr/>
          <w:p>
            <w:pPr>
              <w:pStyle w:val="Compact"/>
              <w:jc w:val="left"/>
            </w:pPr>
            <w:r>
              <w:t xml:space="preserve">§4.1</w:t>
            </w:r>
            <w:r>
              <w:t xml:space="preserve"> </w:t>
            </w:r>
            <w:r>
              <w:t xml:space="preserve">“</w:t>
            </w:r>
            <w:r>
              <w:t xml:space="preserve">applicable notifications</w:t>
            </w:r>
            <w:r>
              <w:t xml:space="preserve">”</w:t>
            </w:r>
          </w:p>
        </w:tc>
        <w:tc>
          <w:tcPr/>
          <w:p>
            <w:pPr>
              <w:pStyle w:val="Compact"/>
              <w:jc w:val="left"/>
            </w:pPr>
            <w:r>
              <w:t xml:space="preserve">⚠️ AFWIJK</w:t>
            </w:r>
          </w:p>
        </w:tc>
        <w:tc>
          <w:tcPr/>
          <w:p>
            <w:pPr>
              <w:pStyle w:val="Compact"/>
              <w:jc w:val="left"/>
            </w:pPr>
            <w:r>
              <w:t xml:space="preserve">🟠</w:t>
            </w:r>
          </w:p>
        </w:tc>
        <w:tc>
          <w:tcPr/>
          <w:p>
            <w:pPr>
              <w:pStyle w:val="Compact"/>
              <w:jc w:val="left"/>
            </w:pPr>
            <w:r>
              <w:t xml:space="preserve">Procedure verwijst naar</w:t>
            </w:r>
            <w:r>
              <w:t xml:space="preserve"> </w:t>
            </w:r>
            <w:r>
              <w:t xml:space="preserve">“</w:t>
            </w:r>
            <w:r>
              <w:t xml:space="preserve">notifications</w:t>
            </w:r>
            <w:r>
              <w:t xml:space="preserve">”</w:t>
            </w:r>
            <w:r>
              <w:t xml:space="preserve"> </w:t>
            </w:r>
            <w:r>
              <w:t xml:space="preserve">maar noemt het bevoegd gezag of LAVS niet expliciet.</w:t>
            </w:r>
          </w:p>
        </w:tc>
      </w:tr>
      <w:tr>
        <w:tc>
          <w:tcPr/>
          <w:p>
            <w:pPr>
              <w:pStyle w:val="Compact"/>
              <w:jc w:val="left"/>
            </w:pPr>
            <w:r>
              <w:t xml:space="preserve">O2</w:t>
            </w:r>
          </w:p>
        </w:tc>
        <w:tc>
          <w:tcPr/>
          <w:p>
            <w:pPr>
              <w:pStyle w:val="Compact"/>
              <w:jc w:val="left"/>
            </w:pPr>
            <w:r>
              <w:rPr>
                <w:b/>
                <w:bCs/>
              </w:rPr>
              <w:t xml:space="preserve">Afvoer via geaccrediteerde afvalverwerker met vervoersbewijzen</w:t>
            </w:r>
          </w:p>
        </w:tc>
        <w:tc>
          <w:tcPr/>
          <w:p>
            <w:pPr>
              <w:pStyle w:val="Compact"/>
              <w:jc w:val="left"/>
            </w:pPr>
            <w:r>
              <w:t xml:space="preserve">Wet milieubeheer, §11.3 AI-blad 3</w:t>
            </w:r>
          </w:p>
        </w:tc>
        <w:tc>
          <w:tcPr/>
          <w:p>
            <w:pPr>
              <w:pStyle w:val="Compact"/>
              <w:jc w:val="left"/>
            </w:pPr>
            <w:r>
              <w:t xml:space="preserve">§4.9</w:t>
            </w:r>
            <w:r>
              <w:t xml:space="preserve"> </w:t>
            </w:r>
            <w:r>
              <w:t xml:space="preserve">“</w:t>
            </w:r>
            <w:r>
              <w:t xml:space="preserve">approved waste contractors</w:t>
            </w:r>
            <w:r>
              <w:t xml:space="preserve">”</w:t>
            </w:r>
            <w:r>
              <w:t xml:space="preserve">,</w:t>
            </w:r>
            <w:r>
              <w:t xml:space="preserve"> </w:t>
            </w:r>
            <w:r>
              <w:t xml:space="preserve">“</w:t>
            </w:r>
            <w:r>
              <w:t xml:space="preserve">waste transport documentation</w:t>
            </w:r>
            <w:r>
              <w:t xml:space="preserve">”</w:t>
            </w:r>
          </w:p>
        </w:tc>
        <w:tc>
          <w:tcPr/>
          <w:p>
            <w:pPr>
              <w:pStyle w:val="Compact"/>
              <w:jc w:val="left"/>
            </w:pPr>
            <w:r>
              <w:t xml:space="preserve">✅ CONFORM</w:t>
            </w:r>
          </w:p>
        </w:tc>
        <w:tc>
          <w:tcPr/>
          <w:p>
            <w:pPr>
              <w:pStyle w:val="Compact"/>
              <w:jc w:val="left"/>
            </w:pPr>
            <w:r>
              <w:t xml:space="preserve">🟢</w:t>
            </w:r>
          </w:p>
        </w:tc>
        <w:tc>
          <w:tcPr/>
          <w:p>
            <w:pPr>
              <w:pStyle w:val="Compact"/>
              <w:jc w:val="left"/>
            </w:pPr>
            <w:r>
              <w:t xml:space="preserve">Procedure dekt afvoer en documentatie adequaat af.</w:t>
            </w:r>
          </w:p>
        </w:tc>
      </w:tr>
      <w:tr>
        <w:tc>
          <w:tcPr/>
          <w:p>
            <w:pPr>
              <w:pStyle w:val="Compact"/>
              <w:jc w:val="left"/>
            </w:pPr>
            <w:r>
              <w:t xml:space="preserve">O3</w:t>
            </w:r>
          </w:p>
        </w:tc>
        <w:tc>
          <w:tcPr/>
          <w:p>
            <w:pPr>
              <w:pStyle w:val="Compact"/>
              <w:jc w:val="left"/>
            </w:pPr>
            <w:r>
              <w:rPr>
                <w:b/>
                <w:bCs/>
              </w:rPr>
              <w:t xml:space="preserve">Verpakkingsvoorschriften: dubbel, luchtdicht, asbestetiket</w:t>
            </w:r>
          </w:p>
        </w:tc>
        <w:tc>
          <w:tcPr/>
          <w:p>
            <w:pPr>
              <w:pStyle w:val="Compact"/>
              <w:jc w:val="left"/>
            </w:pPr>
            <w:r>
              <w:t xml:space="preserve">Productenbesluit asbest, §11.2 AI-blad 3</w:t>
            </w:r>
          </w:p>
        </w:tc>
        <w:tc>
          <w:tcPr/>
          <w:p>
            <w:pPr>
              <w:pStyle w:val="Compact"/>
              <w:jc w:val="left"/>
            </w:pPr>
            <w:r>
              <w:t xml:space="preserve">§4.9</w:t>
            </w:r>
            <w:r>
              <w:t xml:space="preserve"> </w:t>
            </w:r>
            <w:r>
              <w:t xml:space="preserve">“</w:t>
            </w:r>
            <w:r>
              <w:t xml:space="preserve">sealed in suitable airtight packaging, clearly labelled</w:t>
            </w:r>
            <w:r>
              <w:t xml:space="preserve">”</w:t>
            </w:r>
          </w:p>
        </w:tc>
        <w:tc>
          <w:tcPr/>
          <w:p>
            <w:pPr>
              <w:pStyle w:val="Compact"/>
              <w:jc w:val="left"/>
            </w:pPr>
            <w:r>
              <w:t xml:space="preserve">⚠️ AFWIJK</w:t>
            </w:r>
          </w:p>
        </w:tc>
        <w:tc>
          <w:tcPr/>
          <w:p>
            <w:pPr>
              <w:pStyle w:val="Compact"/>
              <w:jc w:val="left"/>
            </w:pPr>
            <w:r>
              <w:t xml:space="preserve">🟢</w:t>
            </w:r>
          </w:p>
        </w:tc>
        <w:tc>
          <w:tcPr/>
          <w:p>
            <w:pPr>
              <w:pStyle w:val="Compact"/>
              <w:jc w:val="left"/>
            </w:pPr>
            <w:r>
              <w:t xml:space="preserve">Procedure vereist luchtdichte verpakking met etiket, maar noemt niet expliciet</w:t>
            </w:r>
            <w:r>
              <w:t xml:space="preserve"> </w:t>
            </w:r>
            <w:r>
              <w:t xml:space="preserve">“</w:t>
            </w:r>
            <w:r>
              <w:t xml:space="preserve">dubbel verpakken</w:t>
            </w:r>
            <w:r>
              <w:t xml:space="preserve">”</w:t>
            </w:r>
            <w:r>
              <w:t xml:space="preserve"> </w:t>
            </w:r>
            <w:r>
              <w:t xml:space="preserve">zoals AI-blad 3 voorschrijft.</w:t>
            </w:r>
          </w:p>
        </w:tc>
      </w:tr>
      <w:tr>
        <w:tc>
          <w:tcPr/>
          <w:p>
            <w:pPr>
              <w:pStyle w:val="Compact"/>
              <w:jc w:val="left"/>
            </w:pPr>
            <w:r>
              <w:t xml:space="preserve">O4</w:t>
            </w:r>
          </w:p>
        </w:tc>
        <w:tc>
          <w:tcPr/>
          <w:p>
            <w:pPr>
              <w:pStyle w:val="Compact"/>
              <w:jc w:val="left"/>
            </w:pPr>
            <w:r>
              <w:rPr>
                <w:b/>
                <w:bCs/>
              </w:rPr>
              <w:t xml:space="preserve">Tussenopslag: afgesloten terrein, geen milieuverontreiniging</w:t>
            </w:r>
          </w:p>
        </w:tc>
        <w:tc>
          <w:tcPr/>
          <w:p>
            <w:pPr>
              <w:pStyle w:val="Compact"/>
              <w:jc w:val="left"/>
            </w:pPr>
            <w:r>
              <w:t xml:space="preserve">§11.5.2 AI-blad 3</w:t>
            </w:r>
          </w:p>
        </w:tc>
        <w:tc>
          <w:tcPr/>
          <w:p>
            <w:pPr>
              <w:pStyle w:val="Compact"/>
              <w:jc w:val="left"/>
            </w:pPr>
            <w:r>
              <w:t xml:space="preserve">§4.9</w:t>
            </w:r>
            <w:r>
              <w:t xml:space="preserve"> </w:t>
            </w:r>
            <w:r>
              <w:t xml:space="preserve">“</w:t>
            </w:r>
            <w:r>
              <w:t xml:space="preserve">designated containers, lockable storage</w:t>
            </w:r>
            <w:r>
              <w:t xml:space="preserve">”</w:t>
            </w:r>
          </w:p>
        </w:tc>
        <w:tc>
          <w:tcPr/>
          <w:p>
            <w:pPr>
              <w:pStyle w:val="Compact"/>
              <w:jc w:val="left"/>
            </w:pPr>
            <w:r>
              <w:t xml:space="preserve">✅ CONFORM</w:t>
            </w:r>
          </w:p>
        </w:tc>
        <w:tc>
          <w:tcPr/>
          <w:p>
            <w:pPr>
              <w:pStyle w:val="Compact"/>
              <w:jc w:val="left"/>
            </w:pPr>
            <w:r>
              <w:t xml:space="preserve">🟢</w:t>
            </w:r>
          </w:p>
        </w:tc>
        <w:tc>
          <w:tcPr/>
          <w:p>
            <w:pPr>
              <w:pStyle w:val="Compact"/>
              <w:jc w:val="left"/>
            </w:pPr>
            <w:r>
              <w:t xml:space="preserve">Conform.</w:t>
            </w:r>
          </w:p>
        </w:tc>
      </w:tr>
      <w:tr>
        <w:tc>
          <w:tcPr/>
          <w:p>
            <w:pPr>
              <w:pStyle w:val="Compact"/>
              <w:jc w:val="left"/>
            </w:pPr>
            <w:r>
              <w:t xml:space="preserve">O5</w:t>
            </w:r>
          </w:p>
        </w:tc>
        <w:tc>
          <w:tcPr/>
          <w:p>
            <w:pPr>
              <w:pStyle w:val="Compact"/>
              <w:jc w:val="left"/>
            </w:pPr>
            <w:r>
              <w:rPr>
                <w:b/>
                <w:bCs/>
              </w:rPr>
              <w:t xml:space="preserve">Transport: gevarenkaart, vrachtbrief, ADR-etikettering</w:t>
            </w:r>
          </w:p>
        </w:tc>
        <w:tc>
          <w:tcPr/>
          <w:p>
            <w:pPr>
              <w:pStyle w:val="Compact"/>
              <w:jc w:val="left"/>
            </w:pPr>
            <w:r>
              <w:t xml:space="preserve">§11.3 AI-blad 3</w:t>
            </w:r>
          </w:p>
        </w:tc>
        <w:tc>
          <w:tcPr/>
          <w:p>
            <w:pPr>
              <w:pStyle w:val="Compact"/>
              <w:jc w:val="left"/>
            </w:pPr>
            <w:r>
              <w:t xml:space="preserve">§4.9</w:t>
            </w:r>
            <w:r>
              <w:t xml:space="preserve"> </w:t>
            </w:r>
            <w:r>
              <w:t xml:space="preserve">“</w:t>
            </w:r>
            <w:r>
              <w:t xml:space="preserve">waste transport documentation shall be completed</w:t>
            </w:r>
            <w:r>
              <w:t xml:space="preserve">”</w:t>
            </w:r>
          </w:p>
        </w:tc>
        <w:tc>
          <w:tcPr/>
          <w:p>
            <w:pPr>
              <w:pStyle w:val="Compact"/>
              <w:jc w:val="left"/>
            </w:pPr>
            <w:r>
              <w:t xml:space="preserve">⚠️ AFWIJK</w:t>
            </w:r>
          </w:p>
        </w:tc>
        <w:tc>
          <w:tcPr/>
          <w:p>
            <w:pPr>
              <w:pStyle w:val="Compact"/>
              <w:jc w:val="left"/>
            </w:pPr>
            <w:r>
              <w:t xml:space="preserve">🟢</w:t>
            </w:r>
          </w:p>
        </w:tc>
        <w:tc>
          <w:tcPr/>
          <w:p>
            <w:pPr>
              <w:pStyle w:val="Compact"/>
              <w:jc w:val="left"/>
            </w:pPr>
            <w:r>
              <w:t xml:space="preserve">Procedure noemt documentatie maar specificeert niet ADR-etikettering en gevarenkaarten.</w:t>
            </w:r>
          </w:p>
        </w:tc>
      </w:tr>
    </w:tbl>
    <w:p>
      <w:r>
        <w:pict>
          <v:rect style="width:0;height:1.5pt" o:hralign="center" o:hrstd="t" o:hr="t"/>
        </w:pict>
      </w:r>
    </w:p>
    <w:bookmarkEnd w:id="26"/>
    <w:bookmarkEnd w:id="27"/>
    <w:bookmarkStart w:id="33" w:name="top-5-kritieke-bevindingen-rood"/>
    <w:p>
      <w:pPr>
        <w:pStyle w:val="Heading2"/>
      </w:pPr>
      <w:r>
        <w:t xml:space="preserve">3. Top 5 Kritieke Bevindingen (ROOD)</w:t>
      </w:r>
    </w:p>
    <w:bookmarkStart w:id="28" w:name="Xf60453fe9ecde697ffeb870d1174838e691812e"/>
    <w:p>
      <w:pPr>
        <w:pStyle w:val="Heading3"/>
      </w:pPr>
      <w:r>
        <w:t xml:space="preserve">🔴 1. LAVS-melding niet expliciet voorgeschreven</w:t>
      </w:r>
    </w:p>
    <w:p>
      <w:pPr>
        <w:pStyle w:val="FirstParagraph"/>
      </w:pPr>
      <w:r>
        <w:rPr>
          <w:b/>
          <w:bCs/>
        </w:rPr>
        <w:t xml:space="preserve">Probleem:</w:t>
      </w:r>
      <w:r>
        <w:t xml:space="preserve"> </w:t>
      </w:r>
      <w:r>
        <w:t xml:space="preserve">De procedure verwijst naar</w:t>
      </w:r>
      <w:r>
        <w:t xml:space="preserve"> </w:t>
      </w:r>
      <w:r>
        <w:t xml:space="preserve">“</w:t>
      </w:r>
      <w:r>
        <w:t xml:space="preserve">applicable notifications</w:t>
      </w:r>
      <w:r>
        <w:t xml:space="preserve">”</w:t>
      </w:r>
      <w:r>
        <w:t xml:space="preserve"> </w:t>
      </w:r>
      <w:r>
        <w:t xml:space="preserve">maar noemt het Landelijk Asbestvolgsysteem (LAVS) niet. Sinds 1 maart 2017 is LAVS wettelijk verplicht voor alle asbestverwijderingsmeldingen.</w:t>
      </w:r>
      <w:r>
        <w:t xml:space="preserve"> </w:t>
      </w:r>
      <w:r>
        <w:rPr>
          <w:b/>
          <w:bCs/>
        </w:rPr>
        <w:t xml:space="preserve">Risico:</w:t>
      </w:r>
      <w:r>
        <w:t xml:space="preserve"> </w:t>
      </w:r>
      <w:r>
        <w:t xml:space="preserve">Niet-nakoming van wettelijke meldingsplicht; handhavingsrisico door Arbeidsinspectie; ontraceerbare asbestverwijdering.</w:t>
      </w:r>
      <w:r>
        <w:t xml:space="preserve"> </w:t>
      </w:r>
      <w:r>
        <w:rPr>
          <w:b/>
          <w:bCs/>
        </w:rPr>
        <w:t xml:space="preserve">Aanbeveling:</w:t>
      </w:r>
      <w:r>
        <w:t xml:space="preserve"> </w:t>
      </w:r>
      <w:r>
        <w:t xml:space="preserve">Voeg expliciete verwijzing naar LAVS-melding toe in §4.1, inclusief de wettelijke termijn (minimaal 2 werkdagen vóór aanvang).</w:t>
      </w:r>
    </w:p>
    <w:bookmarkEnd w:id="28"/>
    <w:bookmarkStart w:id="29" w:name="grenswaarde-2.000-vezelsm³-niet-vermeld"/>
    <w:p>
      <w:pPr>
        <w:pStyle w:val="Heading3"/>
      </w:pPr>
      <w:r>
        <w:t xml:space="preserve">🔴 2. Grenswaarde (2.000 vezels/m³) niet vermeld</w:t>
      </w:r>
    </w:p>
    <w:p>
      <w:pPr>
        <w:pStyle w:val="FirstParagraph"/>
      </w:pPr>
      <w:r>
        <w:rPr>
          <w:b/>
          <w:bCs/>
        </w:rPr>
        <w:t xml:space="preserve">Probleem:</w:t>
      </w:r>
      <w:r>
        <w:t xml:space="preserve"> </w:t>
      </w:r>
      <w:r>
        <w:t xml:space="preserve">De procedure bevat niet de wettelijke grenswaarde voor asbestblootstelling (2.000 vezels/m³ als 8-uursgemiddelde). Dit is de fundamentele norm waarop het gehele beschermingsregime is gebaseerd.</w:t>
      </w:r>
      <w:r>
        <w:t xml:space="preserve"> </w:t>
      </w:r>
      <w:r>
        <w:rPr>
          <w:b/>
          <w:bCs/>
        </w:rPr>
        <w:t xml:space="preserve">Risico:</w:t>
      </w:r>
      <w:r>
        <w:t xml:space="preserve"> </w:t>
      </w:r>
      <w:r>
        <w:t xml:space="preserve">Personeel en toezichthouders kennen de wettelijke norm niet; onduidelijk wanneer aanvullende maatregelen nodig zijn.</w:t>
      </w:r>
      <w:r>
        <w:t xml:space="preserve"> </w:t>
      </w:r>
      <w:r>
        <w:rPr>
          <w:b/>
          <w:bCs/>
        </w:rPr>
        <w:t xml:space="preserve">Aanbeveling:</w:t>
      </w:r>
      <w:r>
        <w:t xml:space="preserve"> </w:t>
      </w:r>
      <w:r>
        <w:t xml:space="preserve">Neem de grenswaarde expliciet op in §4.2</w:t>
      </w:r>
      <w:r>
        <w:t xml:space="preserve"> </w:t>
      </w:r>
      <w:r>
        <w:t xml:space="preserve">“</w:t>
      </w:r>
      <w:r>
        <w:t xml:space="preserve">Risk Classification</w:t>
      </w:r>
      <w:r>
        <w:t xml:space="preserve">”</w:t>
      </w:r>
      <w:r>
        <w:t xml:space="preserve"> </w:t>
      </w:r>
      <w:r>
        <w:t xml:space="preserve">met verwijzing naar de risicoklasse-indeling.</w:t>
      </w:r>
    </w:p>
    <w:bookmarkEnd w:id="29"/>
    <w:bookmarkStart w:id="30" w:name="X47fdefcaf6c44a3e779d8a94f4f774ac945abd4"/>
    <w:p>
      <w:pPr>
        <w:pStyle w:val="Heading3"/>
      </w:pPr>
      <w:r>
        <w:t xml:space="preserve">🔴 3. Certificeringseisen (DTA, DAV, SC-530) niet voorgeschreven</w:t>
      </w:r>
    </w:p>
    <w:p>
      <w:pPr>
        <w:pStyle w:val="FirstParagraph"/>
      </w:pPr>
      <w:r>
        <w:rPr>
          <w:b/>
          <w:bCs/>
        </w:rPr>
        <w:t xml:space="preserve">Probleem:</w:t>
      </w:r>
      <w:r>
        <w:t xml:space="preserve"> </w:t>
      </w:r>
      <w:r>
        <w:t xml:space="preserve">De procedure noemt</w:t>
      </w:r>
      <w:r>
        <w:t xml:space="preserve"> </w:t>
      </w:r>
      <w:r>
        <w:t xml:space="preserve">“</w:t>
      </w:r>
      <w:r>
        <w:t xml:space="preserve">competent personnel</w:t>
      </w:r>
      <w:r>
        <w:t xml:space="preserve">”</w:t>
      </w:r>
      <w:r>
        <w:t xml:space="preserve"> </w:t>
      </w:r>
      <w:r>
        <w:t xml:space="preserve">maar schrijft niet voor dat:</w:t>
      </w:r>
      <w:r>
        <w:t xml:space="preserve"> </w:t>
      </w:r>
      <w:r>
        <w:t xml:space="preserve">- Het uitvoerende bedrijf een procescertificaat asbestverwijdering (SC-530) moet hebben</w:t>
      </w:r>
      <w:r>
        <w:t xml:space="preserve"> </w:t>
      </w:r>
      <w:r>
        <w:t xml:space="preserve">- Een DTA (Deskundig Toezichthouder Asbestverwijdering) aanwezig moet zijn</w:t>
      </w:r>
      <w:r>
        <w:t xml:space="preserve"> </w:t>
      </w:r>
      <w:r>
        <w:t xml:space="preserve">- Uitvoerend personeel DAV-gecertificeerd (SC-520) moet zijn</w:t>
      </w:r>
      <w:r>
        <w:t xml:space="preserve"> </w:t>
      </w:r>
      <w:r>
        <w:rPr>
          <w:b/>
          <w:bCs/>
        </w:rPr>
        <w:t xml:space="preserve">Risico:</w:t>
      </w:r>
      <w:r>
        <w:t xml:space="preserve"> </w:t>
      </w:r>
      <w:r>
        <w:t xml:space="preserve">Asbestverwijdering kan worden uitgevoerd door onbevoegd personeel; strafrechtelijke aansprakelijkheid; invalide verzekering.</w:t>
      </w:r>
      <w:r>
        <w:t xml:space="preserve"> </w:t>
      </w:r>
      <w:r>
        <w:rPr>
          <w:b/>
          <w:bCs/>
        </w:rPr>
        <w:t xml:space="preserve">Aanbeveling:</w:t>
      </w:r>
      <w:r>
        <w:t xml:space="preserve"> </w:t>
      </w:r>
      <w:r>
        <w:t xml:space="preserve">Voeg een sectie</w:t>
      </w:r>
      <w:r>
        <w:t xml:space="preserve"> </w:t>
      </w:r>
      <w:r>
        <w:t xml:space="preserve">“</w:t>
      </w:r>
      <w:r>
        <w:t xml:space="preserve">Certificeringseisen</w:t>
      </w:r>
      <w:r>
        <w:t xml:space="preserve">”</w:t>
      </w:r>
      <w:r>
        <w:t xml:space="preserve"> </w:t>
      </w:r>
      <w:r>
        <w:t xml:space="preserve">toe met expliciete vereisten voor DTA, DAV en bedrijfsprocescertificaat, inclusief vereiste dat certificaten op de werkplek aanwezig zijn.</w:t>
      </w:r>
    </w:p>
    <w:bookmarkEnd w:id="30"/>
    <w:bookmarkStart w:id="31" w:name="X763ddcacf2abbfc3a8452906c33a140cd7091a7"/>
    <w:p>
      <w:pPr>
        <w:pStyle w:val="Heading3"/>
      </w:pPr>
      <w:r>
        <w:t xml:space="preserve">🔴 4. Decontaminatie-unit (deco-unit) niet vermeld</w:t>
      </w:r>
    </w:p>
    <w:p>
      <w:pPr>
        <w:pStyle w:val="FirstParagraph"/>
      </w:pPr>
      <w:r>
        <w:rPr>
          <w:b/>
          <w:bCs/>
        </w:rPr>
        <w:t xml:space="preserve">Probleem:</w:t>
      </w:r>
      <w:r>
        <w:t xml:space="preserve"> </w:t>
      </w:r>
      <w:r>
        <w:t xml:space="preserve">De procedure bevat geen vereisten voor een drietraps-decontaminatie-unit bij RK 2/2A-werkzaamheden. Dit is een wettelijk verplichte voorziening voor ontsmetting van personeel.</w:t>
      </w:r>
      <w:r>
        <w:t xml:space="preserve"> </w:t>
      </w:r>
      <w:r>
        <w:rPr>
          <w:b/>
          <w:bCs/>
        </w:rPr>
        <w:t xml:space="preserve">Risico:</w:t>
      </w:r>
      <w:r>
        <w:t xml:space="preserve"> </w:t>
      </w:r>
      <w:r>
        <w:t xml:space="preserve">Onvoldoende decontaminatie van personeel; verspreiding van asbestvezels buiten de werkzone; blootstelling van derden.</w:t>
      </w:r>
      <w:r>
        <w:t xml:space="preserve"> </w:t>
      </w:r>
      <w:r>
        <w:rPr>
          <w:b/>
          <w:bCs/>
        </w:rPr>
        <w:t xml:space="preserve">Aanbeveling:</w:t>
      </w:r>
      <w:r>
        <w:t xml:space="preserve"> </w:t>
      </w:r>
      <w:r>
        <w:t xml:space="preserve">Voeg §4.x</w:t>
      </w:r>
      <w:r>
        <w:t xml:space="preserve"> </w:t>
      </w:r>
      <w:r>
        <w:t xml:space="preserve">“</w:t>
      </w:r>
      <w:r>
        <w:t xml:space="preserve">Decontamination Facilities</w:t>
      </w:r>
      <w:r>
        <w:t xml:space="preserve">”</w:t>
      </w:r>
      <w:r>
        <w:t xml:space="preserve"> </w:t>
      </w:r>
      <w:r>
        <w:t xml:space="preserve">toe met vereisten voor drietraps-deco-unit, ontsmettingsprocedure, en uitzonderingsregels voor transitprocedure.</w:t>
      </w:r>
    </w:p>
    <w:bookmarkEnd w:id="31"/>
    <w:bookmarkStart w:id="32" w:name="Xd42cc7680a20826e38687f7efb6b966e7d42e8e"/>
    <w:p>
      <w:pPr>
        <w:pStyle w:val="Heading3"/>
      </w:pPr>
      <w:r>
        <w:t xml:space="preserve">🔴 5. Gecertificeerd asbestverwijderingsbedrijf niet verplicht</w:t>
      </w:r>
    </w:p>
    <w:p>
      <w:pPr>
        <w:pStyle w:val="FirstParagraph"/>
      </w:pPr>
      <w:r>
        <w:rPr>
          <w:b/>
          <w:bCs/>
        </w:rPr>
        <w:t xml:space="preserve">Probleem:</w:t>
      </w:r>
      <w:r>
        <w:t xml:space="preserve"> </w:t>
      </w:r>
      <w:r>
        <w:t xml:space="preserve">De procedure schrijft niet voor dat asbestverwijdering in RK 2/2A uitsluitend door een gecertificeerd bedrijf (procescertificaat asbestverwijdering) mag worden uitgevoerd.</w:t>
      </w:r>
      <w:r>
        <w:t xml:space="preserve"> </w:t>
      </w:r>
      <w:r>
        <w:rPr>
          <w:b/>
          <w:bCs/>
        </w:rPr>
        <w:t xml:space="preserve">Risico:</w:t>
      </w:r>
      <w:r>
        <w:t xml:space="preserve"> </w:t>
      </w:r>
      <w:r>
        <w:t xml:space="preserve">Opdracht toegekend aan niet-gecertificeerde aannemer; wettelijke overtreding; aansprakelijkheid bij incidenten.</w:t>
      </w:r>
      <w:r>
        <w:t xml:space="preserve"> </w:t>
      </w:r>
      <w:r>
        <w:rPr>
          <w:b/>
          <w:bCs/>
        </w:rPr>
        <w:t xml:space="preserve">Aanbeveling:</w:t>
      </w:r>
      <w:r>
        <w:t xml:space="preserve"> </w:t>
      </w:r>
      <w:r>
        <w:t xml:space="preserve">Voeg expliciete vereiste toe dat RK 2/2A-werkzaamheden alleen door gecertificeerde bedrijven mogen worden uitgevoerd, met verwijzing naar het Certificatieschema.</w:t>
      </w:r>
    </w:p>
    <w:p>
      <w:r>
        <w:pict>
          <v:rect style="width:0;height:1.5pt" o:hralign="center" o:hrstd="t" o:hr="t"/>
        </w:pict>
      </w:r>
    </w:p>
    <w:bookmarkEnd w:id="32"/>
    <w:bookmarkEnd w:id="33"/>
    <w:bookmarkStart w:id="36" w:name="risicoclassificatie-bevindingen"/>
    <w:p>
      <w:pPr>
        <w:pStyle w:val="Heading2"/>
      </w:pPr>
      <w:r>
        <w:t xml:space="preserve">4. Risicoclassificatie Bevindingen</w:t>
      </w:r>
    </w:p>
    <w:bookmarkStart w:id="34" w:name="oranje-substantieel-8-bevindingen"/>
    <w:p>
      <w:pPr>
        <w:pStyle w:val="Heading3"/>
      </w:pPr>
      <w:r>
        <w:t xml:space="preserve">🟠 ORANJE (Substantieel) — 8 bevindingen</w:t>
      </w:r>
    </w:p>
    <w:p>
      <w:pPr>
        <w:pStyle w:val="Compact"/>
        <w:numPr>
          <w:ilvl w:val="0"/>
          <w:numId w:val="1001"/>
        </w:numPr>
      </w:pPr>
      <w:r>
        <w:rPr>
          <w:b/>
          <w:bCs/>
        </w:rPr>
        <w:t xml:space="preserve">SMA-rt niet bij naam genoemd</w:t>
      </w:r>
      <w:r>
        <w:t xml:space="preserve"> </w:t>
      </w:r>
      <w:r>
        <w:t xml:space="preserve">als instrument voor risicoklassebepaling (§4.2)</w:t>
      </w:r>
    </w:p>
    <w:p>
      <w:pPr>
        <w:pStyle w:val="Compact"/>
        <w:numPr>
          <w:ilvl w:val="0"/>
          <w:numId w:val="1001"/>
        </w:numPr>
      </w:pPr>
      <w:r>
        <w:rPr>
          <w:b/>
          <w:bCs/>
        </w:rPr>
        <w:t xml:space="preserve">DAV-certificering niet expliciet</w:t>
      </w:r>
      <w:r>
        <w:t xml:space="preserve"> </w:t>
      </w:r>
      <w:r>
        <w:t xml:space="preserve">—</w:t>
      </w:r>
      <w:r>
        <w:t xml:space="preserve"> </w:t>
      </w:r>
      <w:r>
        <w:t xml:space="preserve">“</w:t>
      </w:r>
      <w:r>
        <w:t xml:space="preserve">competent personnel</w:t>
      </w:r>
      <w:r>
        <w:t xml:space="preserve">”</w:t>
      </w:r>
      <w:r>
        <w:t xml:space="preserve"> </w:t>
      </w:r>
      <w:r>
        <w:t xml:space="preserve">is te vaag (§3)</w:t>
      </w:r>
    </w:p>
    <w:p>
      <w:pPr>
        <w:pStyle w:val="Compact"/>
        <w:numPr>
          <w:ilvl w:val="0"/>
          <w:numId w:val="1001"/>
        </w:numPr>
      </w:pPr>
      <w:r>
        <w:rPr>
          <w:b/>
          <w:bCs/>
        </w:rPr>
        <w:t xml:space="preserve">Werkplan-inhoudseisen niet gedetailleerd</w:t>
      </w:r>
      <w:r>
        <w:t xml:space="preserve"> </w:t>
      </w:r>
      <w:r>
        <w:t xml:space="preserve">— art. 4.50 lid 4 Arbobesluit niet gevolgd (§4.5)</w:t>
      </w:r>
    </w:p>
    <w:p>
      <w:pPr>
        <w:pStyle w:val="Compact"/>
        <w:numPr>
          <w:ilvl w:val="0"/>
          <w:numId w:val="1001"/>
        </w:numPr>
      </w:pPr>
      <w:r>
        <w:rPr>
          <w:b/>
          <w:bCs/>
        </w:rPr>
        <w:t xml:space="preserve">P3-filterkwaliteit en jaarlijkse fittest niet voorgeschreven</w:t>
      </w:r>
      <w:r>
        <w:t xml:space="preserve"> </w:t>
      </w:r>
      <w:r>
        <w:t xml:space="preserve">(§4.8.2)</w:t>
      </w:r>
    </w:p>
    <w:p>
      <w:pPr>
        <w:pStyle w:val="Compact"/>
        <w:numPr>
          <w:ilvl w:val="0"/>
          <w:numId w:val="1001"/>
        </w:numPr>
      </w:pPr>
      <w:r>
        <w:rPr>
          <w:b/>
          <w:bCs/>
        </w:rPr>
        <w:t xml:space="preserve">Containment met onderdruk niet expliciet vereist</w:t>
      </w:r>
      <w:r>
        <w:t xml:space="preserve"> </w:t>
      </w:r>
      <w:r>
        <w:t xml:space="preserve">voor RK 2/2A (§4.5)</w:t>
      </w:r>
    </w:p>
    <w:p>
      <w:pPr>
        <w:pStyle w:val="Compact"/>
        <w:numPr>
          <w:ilvl w:val="0"/>
          <w:numId w:val="1001"/>
        </w:numPr>
      </w:pPr>
      <w:r>
        <w:rPr>
          <w:b/>
          <w:bCs/>
        </w:rPr>
        <w:t xml:space="preserve">Technische containment-specs (20 Pa, 6x/uur, 99,997% filter)</w:t>
      </w:r>
      <w:r>
        <w:t xml:space="preserve"> </w:t>
      </w:r>
      <w:r>
        <w:t xml:space="preserve">ontbreken</w:t>
      </w:r>
    </w:p>
    <w:p>
      <w:pPr>
        <w:pStyle w:val="Compact"/>
        <w:numPr>
          <w:ilvl w:val="0"/>
          <w:numId w:val="1001"/>
        </w:numPr>
      </w:pPr>
      <w:r>
        <w:rPr>
          <w:b/>
          <w:bCs/>
        </w:rPr>
        <w:t xml:space="preserve">NEN 2990 en vrijgavegrenzen niet in procedure opgenomen</w:t>
      </w:r>
      <w:r>
        <w:t xml:space="preserve"> </w:t>
      </w:r>
      <w:r>
        <w:t xml:space="preserve">(§4.7)</w:t>
      </w:r>
    </w:p>
    <w:p>
      <w:pPr>
        <w:pStyle w:val="Compact"/>
        <w:numPr>
          <w:ilvl w:val="0"/>
          <w:numId w:val="1001"/>
        </w:numPr>
      </w:pPr>
      <w:r>
        <w:rPr>
          <w:b/>
          <w:bCs/>
        </w:rPr>
        <w:t xml:space="preserve">Arbeidsgezondheidskundig onderzoek niet vermeld</w:t>
      </w:r>
      <w:r>
        <w:t xml:space="preserve"> </w:t>
      </w:r>
      <w:r>
        <w:t xml:space="preserve">(§5)</w:t>
      </w:r>
    </w:p>
    <w:bookmarkEnd w:id="34"/>
    <w:bookmarkStart w:id="35" w:name="groen-minor-4-bevindingen"/>
    <w:p>
      <w:pPr>
        <w:pStyle w:val="Heading3"/>
      </w:pPr>
      <w:r>
        <w:t xml:space="preserve">🟢 GROEN (Minor) — 4 bevindingen</w:t>
      </w:r>
    </w:p>
    <w:p>
      <w:pPr>
        <w:pStyle w:val="Compact"/>
        <w:numPr>
          <w:ilvl w:val="0"/>
          <w:numId w:val="1002"/>
        </w:numPr>
      </w:pPr>
      <w:r>
        <w:rPr>
          <w:b/>
          <w:bCs/>
        </w:rPr>
        <w:t xml:space="preserve">Periodieke meetfrequentie</w:t>
      </w:r>
      <w:r>
        <w:t xml:space="preserve"> </w:t>
      </w:r>
      <w:r>
        <w:t xml:space="preserve">niet gespecificeerd (SCi-548)</w:t>
      </w:r>
    </w:p>
    <w:p>
      <w:pPr>
        <w:pStyle w:val="Compact"/>
        <w:numPr>
          <w:ilvl w:val="0"/>
          <w:numId w:val="1002"/>
        </w:numPr>
      </w:pPr>
      <w:r>
        <w:rPr>
          <w:b/>
          <w:bCs/>
        </w:rPr>
        <w:t xml:space="preserve">Legionellapreventie</w:t>
      </w:r>
      <w:r>
        <w:t xml:space="preserve"> </w:t>
      </w:r>
      <w:r>
        <w:t xml:space="preserve">bij deco-units niet vermeld (alleen relevant met watertanks)</w:t>
      </w:r>
    </w:p>
    <w:p>
      <w:pPr>
        <w:pStyle w:val="Compact"/>
        <w:numPr>
          <w:ilvl w:val="0"/>
          <w:numId w:val="1002"/>
        </w:numPr>
      </w:pPr>
      <w:r>
        <w:rPr>
          <w:b/>
          <w:bCs/>
        </w:rPr>
        <w:t xml:space="preserve">Dubbele verpakking</w:t>
      </w:r>
      <w:r>
        <w:t xml:space="preserve"> </w:t>
      </w:r>
      <w:r>
        <w:t xml:space="preserve">niet expliciet (enkelvoudig</w:t>
      </w:r>
      <w:r>
        <w:t xml:space="preserve"> </w:t>
      </w:r>
      <w:r>
        <w:t xml:space="preserve">“</w:t>
      </w:r>
      <w:r>
        <w:t xml:space="preserve">airtight</w:t>
      </w:r>
      <w:r>
        <w:t xml:space="preserve">”</w:t>
      </w:r>
      <w:r>
        <w:t xml:space="preserve"> </w:t>
      </w:r>
      <w:r>
        <w:t xml:space="preserve">voldoet bijna)</w:t>
      </w:r>
    </w:p>
    <w:p>
      <w:pPr>
        <w:pStyle w:val="Compact"/>
        <w:numPr>
          <w:ilvl w:val="0"/>
          <w:numId w:val="1002"/>
        </w:numPr>
      </w:pPr>
      <w:r>
        <w:rPr>
          <w:b/>
          <w:bCs/>
        </w:rPr>
        <w:t xml:space="preserve">Arbocatalogus referentie</w:t>
      </w:r>
      <w:r>
        <w:t xml:space="preserve"> </w:t>
      </w:r>
      <w:r>
        <w:t xml:space="preserve">ontbreekt</w:t>
      </w:r>
    </w:p>
    <w:p>
      <w:r>
        <w:pict>
          <v:rect style="width:0;height:1.5pt" o:hralign="center" o:hrstd="t" o:hr="t"/>
        </w:pict>
      </w:r>
    </w:p>
    <w:bookmarkEnd w:id="35"/>
    <w:bookmarkEnd w:id="36"/>
    <w:bookmarkStart w:id="40" w:name="aanbevelingen-geprioriteerd"/>
    <w:p>
      <w:pPr>
        <w:pStyle w:val="Heading2"/>
      </w:pPr>
      <w:r>
        <w:t xml:space="preserve">5. Aanbevelingen (Geprioriteerd)</w:t>
      </w:r>
    </w:p>
    <w:bookmarkStart w:id="37" w:name="X0bdb6316638a59d6ebafeabeb917459071cd7d7"/>
    <w:p>
      <w:pPr>
        <w:pStyle w:val="Heading3"/>
      </w:pPr>
      <w:r>
        <w:t xml:space="preserve">Prioriteit 1: Onmiddellijk aanpassen (vóór volgende revisie)</w:t>
      </w:r>
    </w:p>
    <w:tbl>
      <w:tblPr>
        <w:tblStyle w:val="Table"/>
        <w:tblW w:type="pct" w:w="5000"/>
        <w:jc w:val="left"/>
        <w:tblLayout w:type="fixed"/>
        <w:tblLook w:firstRow="1" w:lastRow="0" w:firstColumn="0" w:lastColumn="0" w:noHBand="0" w:noVBand="0" w:val="0020"/>
      </w:tblPr>
      <w:tblGrid>
        <w:gridCol w:w="540"/>
        <w:gridCol w:w="1260"/>
        <w:gridCol w:w="3960"/>
        <w:gridCol w:w="2160"/>
      </w:tblGrid>
      <w:tr>
        <w:trPr>
          <w:tblHeader w:val="on"/>
        </w:trPr>
        <w:tc>
          <w:tcPr/>
          <w:p>
            <w:pPr>
              <w:pStyle w:val="Compact"/>
              <w:jc w:val="left"/>
            </w:pPr>
            <w:r>
              <w:t xml:space="preserve">#</w:t>
            </w:r>
          </w:p>
        </w:tc>
        <w:tc>
          <w:tcPr/>
          <w:p>
            <w:pPr>
              <w:pStyle w:val="Compact"/>
              <w:jc w:val="left"/>
            </w:pPr>
            <w:r>
              <w:t xml:space="preserve">Actie</w:t>
            </w:r>
          </w:p>
        </w:tc>
        <w:tc>
          <w:tcPr/>
          <w:p>
            <w:pPr>
              <w:pStyle w:val="Compact"/>
              <w:jc w:val="left"/>
            </w:pPr>
            <w:r>
              <w:t xml:space="preserve">Wijziging in procedure</w:t>
            </w:r>
          </w:p>
        </w:tc>
        <w:tc>
          <w:tcPr/>
          <w:p>
            <w:pPr>
              <w:pStyle w:val="Compact"/>
              <w:jc w:val="left"/>
            </w:pPr>
            <w:r>
              <w:t xml:space="preserve">Referentie</w:t>
            </w:r>
          </w:p>
        </w:tc>
      </w:tr>
      <w:tr>
        <w:tc>
          <w:tcPr/>
          <w:p>
            <w:pPr>
              <w:pStyle w:val="Compact"/>
              <w:jc w:val="left"/>
            </w:pPr>
            <w:r>
              <w:t xml:space="preserve">1.1</w:t>
            </w:r>
          </w:p>
        </w:tc>
        <w:tc>
          <w:tcPr/>
          <w:p>
            <w:pPr>
              <w:pStyle w:val="Compact"/>
              <w:jc w:val="left"/>
            </w:pPr>
            <w:r>
              <w:t xml:space="preserve">Voeg LAVS-melding toe</w:t>
            </w:r>
          </w:p>
        </w:tc>
        <w:tc>
          <w:tcPr/>
          <w:p>
            <w:pPr>
              <w:pStyle w:val="Compact"/>
              <w:jc w:val="left"/>
            </w:pPr>
            <w:r>
              <w:t xml:space="preserve">§4.1:</w:t>
            </w:r>
            <w:r>
              <w:t xml:space="preserve"> </w:t>
            </w:r>
            <w:r>
              <w:t xml:space="preserve">“</w:t>
            </w:r>
            <w:r>
              <w:t xml:space="preserve">Asbestos removal activities shall be notified via the Landelijk Asbestvolgsysteem (LAVS) to the Nederlandse Arbeidsinspectie at least 2 working days before commencement</w:t>
            </w:r>
            <w:r>
              <w:t xml:space="preserve">”</w:t>
            </w:r>
          </w:p>
        </w:tc>
        <w:tc>
          <w:tcPr/>
          <w:p>
            <w:pPr>
              <w:pStyle w:val="Compact"/>
              <w:jc w:val="left"/>
            </w:pPr>
            <w:r>
              <w:t xml:space="preserve">AI-blad 3 §9.3.3</w:t>
            </w:r>
          </w:p>
        </w:tc>
      </w:tr>
      <w:tr>
        <w:tc>
          <w:tcPr/>
          <w:p>
            <w:pPr>
              <w:pStyle w:val="Compact"/>
              <w:jc w:val="left"/>
            </w:pPr>
            <w:r>
              <w:t xml:space="preserve">1.2</w:t>
            </w:r>
          </w:p>
        </w:tc>
        <w:tc>
          <w:tcPr/>
          <w:p>
            <w:pPr>
              <w:pStyle w:val="Compact"/>
              <w:jc w:val="left"/>
            </w:pPr>
            <w:r>
              <w:t xml:space="preserve">Voeg grenswaarde toe</w:t>
            </w:r>
          </w:p>
        </w:tc>
        <w:tc>
          <w:tcPr/>
          <w:p>
            <w:pPr>
              <w:pStyle w:val="Compact"/>
              <w:jc w:val="left"/>
            </w:pPr>
            <w:r>
              <w:t xml:space="preserve">§4.2:</w:t>
            </w:r>
            <w:r>
              <w:t xml:space="preserve"> </w:t>
            </w:r>
            <w:r>
              <w:t xml:space="preserve">“</w:t>
            </w:r>
            <w:r>
              <w:t xml:space="preserve">The statutory exposure limit for asbestos is 2.000 fibres/m³ as an 8-hour TWA</w:t>
            </w:r>
            <w:r>
              <w:t xml:space="preserve">”</w:t>
            </w:r>
          </w:p>
        </w:tc>
        <w:tc>
          <w:tcPr/>
          <w:p>
            <w:pPr>
              <w:pStyle w:val="Compact"/>
              <w:jc w:val="left"/>
            </w:pPr>
            <w:r>
              <w:t xml:space="preserve">AI-blad 3 §12.1</w:t>
            </w:r>
          </w:p>
        </w:tc>
      </w:tr>
      <w:tr>
        <w:tc>
          <w:tcPr/>
          <w:p>
            <w:pPr>
              <w:pStyle w:val="Compact"/>
              <w:jc w:val="left"/>
            </w:pPr>
            <w:r>
              <w:t xml:space="preserve">1.3</w:t>
            </w:r>
          </w:p>
        </w:tc>
        <w:tc>
          <w:tcPr/>
          <w:p>
            <w:pPr>
              <w:pStyle w:val="Compact"/>
              <w:jc w:val="left"/>
            </w:pPr>
            <w:r>
              <w:t xml:space="preserve">Voeg certificeringseisen toe</w:t>
            </w:r>
          </w:p>
        </w:tc>
        <w:tc>
          <w:tcPr/>
          <w:p>
            <w:pPr>
              <w:pStyle w:val="Compact"/>
              <w:jc w:val="left"/>
            </w:pPr>
            <w:r>
              <w:t xml:space="preserve">Nieuwe §4.x:</w:t>
            </w:r>
            <w:r>
              <w:t xml:space="preserve"> </w:t>
            </w:r>
            <w:r>
              <w:t xml:space="preserve">“</w:t>
            </w:r>
            <w:r>
              <w:t xml:space="preserve">RK 2/2A work shall only be performed by a certified asbestos removal company (SC-530) with DTA supervision (SC-510) and DAV-certified personnel (SC-520)</w:t>
            </w:r>
            <w:r>
              <w:t xml:space="preserve">”</w:t>
            </w:r>
          </w:p>
        </w:tc>
        <w:tc>
          <w:tcPr/>
          <w:p>
            <w:pPr>
              <w:pStyle w:val="Compact"/>
              <w:jc w:val="left"/>
            </w:pPr>
            <w:r>
              <w:t xml:space="preserve">AI-blad 3 §8.2, §9.3.4</w:t>
            </w:r>
          </w:p>
        </w:tc>
      </w:tr>
      <w:tr>
        <w:tc>
          <w:tcPr/>
          <w:p>
            <w:pPr>
              <w:pStyle w:val="Compact"/>
              <w:jc w:val="left"/>
            </w:pPr>
            <w:r>
              <w:t xml:space="preserve">1.4</w:t>
            </w:r>
          </w:p>
        </w:tc>
        <w:tc>
          <w:tcPr/>
          <w:p>
            <w:pPr>
              <w:pStyle w:val="Compact"/>
              <w:jc w:val="left"/>
            </w:pPr>
            <w:r>
              <w:t xml:space="preserve">Voeg deco-unit vereisten toe</w:t>
            </w:r>
          </w:p>
        </w:tc>
        <w:tc>
          <w:tcPr/>
          <w:p>
            <w:pPr>
              <w:pStyle w:val="Compact"/>
              <w:jc w:val="left"/>
            </w:pPr>
            <w:r>
              <w:t xml:space="preserve">Nieuwe §4.x:</w:t>
            </w:r>
            <w:r>
              <w:t xml:space="preserve"> </w:t>
            </w:r>
            <w:r>
              <w:t xml:space="preserve">“</w:t>
            </w:r>
            <w:r>
              <w:t xml:space="preserve">For indoor RK 2/2A activities, a three-compartment decontamination unit shall be provided, coupled directly to the containment</w:t>
            </w:r>
            <w:r>
              <w:t xml:space="preserve">”</w:t>
            </w:r>
          </w:p>
        </w:tc>
        <w:tc>
          <w:tcPr/>
          <w:p>
            <w:pPr>
              <w:pStyle w:val="Compact"/>
              <w:jc w:val="left"/>
            </w:pPr>
            <w:r>
              <w:t xml:space="preserve">AI-blad 3 §6.4.1</w:t>
            </w:r>
          </w:p>
        </w:tc>
      </w:tr>
      <w:tr>
        <w:tc>
          <w:tcPr/>
          <w:p>
            <w:pPr>
              <w:pStyle w:val="Compact"/>
              <w:jc w:val="left"/>
            </w:pPr>
            <w:r>
              <w:t xml:space="preserve">1.5</w:t>
            </w:r>
          </w:p>
        </w:tc>
        <w:tc>
          <w:tcPr/>
          <w:p>
            <w:pPr>
              <w:pStyle w:val="Compact"/>
              <w:jc w:val="left"/>
            </w:pPr>
            <w:r>
              <w:t xml:space="preserve">Voeg risicoklasse-specifieke eisen toe</w:t>
            </w:r>
          </w:p>
        </w:tc>
        <w:tc>
          <w:tcPr/>
          <w:p>
            <w:pPr>
              <w:pStyle w:val="Compact"/>
              <w:jc w:val="left"/>
            </w:pPr>
            <w:r>
              <w:t xml:space="preserve">§4.2: Detail per RK1/RK2/RK2A: containment, onderdruk 20 Pa, ventilatie 6x/uur, eindbeoordeling</w:t>
            </w:r>
          </w:p>
        </w:tc>
        <w:tc>
          <w:tcPr/>
          <w:p>
            <w:pPr>
              <w:pStyle w:val="Compact"/>
              <w:jc w:val="left"/>
            </w:pPr>
            <w:r>
              <w:t xml:space="preserve">AI-blad 3 §9.4.2</w:t>
            </w:r>
          </w:p>
        </w:tc>
      </w:tr>
    </w:tbl>
    <w:bookmarkEnd w:id="37"/>
    <w:bookmarkStart w:id="38" w:name="prioriteit-2-bij-eerstvolgende-revisie"/>
    <w:p>
      <w:pPr>
        <w:pStyle w:val="Heading3"/>
      </w:pPr>
      <w:r>
        <w:t xml:space="preserve">Prioriteit 2: Bij eerstvolgende revisie</w:t>
      </w:r>
    </w:p>
    <w:tbl>
      <w:tblPr>
        <w:tblStyle w:val="Table"/>
        <w:tblW w:type="auto" w:w="0"/>
        <w:jc w:val="left"/>
        <w:tblLook w:firstRow="1" w:lastRow="0" w:firstColumn="0" w:lastColumn="0" w:noHBand="0" w:noVBand="0" w:val="0020"/>
      </w:tblPr>
      <w:tblGrid>
        <w:gridCol w:w="2640"/>
        <w:gridCol w:w="2640"/>
        <w:gridCol w:w="2640"/>
      </w:tblGrid>
      <w:tr>
        <w:trPr>
          <w:tblHeader w:val="on"/>
        </w:trPr>
        <w:tc>
          <w:tcPr/>
          <w:p>
            <w:pPr>
              <w:pStyle w:val="Compact"/>
              <w:jc w:val="left"/>
            </w:pPr>
            <w:r>
              <w:t xml:space="preserve">#</w:t>
            </w:r>
          </w:p>
        </w:tc>
        <w:tc>
          <w:tcPr/>
          <w:p>
            <w:pPr>
              <w:pStyle w:val="Compact"/>
              <w:jc w:val="left"/>
            </w:pPr>
            <w:r>
              <w:t xml:space="preserve">Actie</w:t>
            </w:r>
          </w:p>
        </w:tc>
        <w:tc>
          <w:tcPr/>
          <w:p>
            <w:pPr>
              <w:pStyle w:val="Compact"/>
              <w:jc w:val="left"/>
            </w:pPr>
            <w:r>
              <w:t xml:space="preserve">Wijziging in procedure</w:t>
            </w:r>
          </w:p>
        </w:tc>
      </w:tr>
      <w:tr>
        <w:tc>
          <w:tcPr/>
          <w:p>
            <w:pPr>
              <w:pStyle w:val="Compact"/>
              <w:jc w:val="left"/>
            </w:pPr>
            <w:r>
              <w:t xml:space="preserve">2.1</w:t>
            </w:r>
          </w:p>
        </w:tc>
        <w:tc>
          <w:tcPr/>
          <w:p>
            <w:pPr>
              <w:pStyle w:val="Compact"/>
              <w:jc w:val="left"/>
            </w:pPr>
            <w:r>
              <w:t xml:space="preserve">Specificeer SMA-rt als instrument voor risicoklassebepaling</w:t>
            </w:r>
          </w:p>
        </w:tc>
        <w:tc>
          <w:tcPr/>
          <w:p>
            <w:pPr>
              <w:pStyle w:val="Compact"/>
            </w:pPr>
          </w:p>
        </w:tc>
      </w:tr>
      <w:tr>
        <w:tc>
          <w:tcPr/>
          <w:p>
            <w:pPr>
              <w:pStyle w:val="Compact"/>
              <w:jc w:val="left"/>
            </w:pPr>
            <w:r>
              <w:t xml:space="preserve">2.2</w:t>
            </w:r>
          </w:p>
        </w:tc>
        <w:tc>
          <w:tcPr/>
          <w:p>
            <w:pPr>
              <w:pStyle w:val="Compact"/>
              <w:jc w:val="left"/>
            </w:pPr>
            <w:r>
              <w:t xml:space="preserve">Neem P3-filterkwaliteit en jaarlijkse fittest op in §4.8.2</w:t>
            </w:r>
          </w:p>
        </w:tc>
        <w:tc>
          <w:tcPr/>
          <w:p>
            <w:pPr>
              <w:pStyle w:val="Compact"/>
            </w:pPr>
          </w:p>
        </w:tc>
      </w:tr>
      <w:tr>
        <w:tc>
          <w:tcPr/>
          <w:p>
            <w:pPr>
              <w:pStyle w:val="Compact"/>
              <w:jc w:val="left"/>
            </w:pPr>
            <w:r>
              <w:t xml:space="preserve">2.3</w:t>
            </w:r>
          </w:p>
        </w:tc>
        <w:tc>
          <w:tcPr/>
          <w:p>
            <w:pPr>
              <w:pStyle w:val="Compact"/>
              <w:jc w:val="left"/>
            </w:pPr>
            <w:r>
              <w:t xml:space="preserve">Detailleer werkplan-eisen conform art. 4.50 lid 4 Arbobesluit</w:t>
            </w:r>
          </w:p>
        </w:tc>
        <w:tc>
          <w:tcPr/>
          <w:p>
            <w:pPr>
              <w:pStyle w:val="Compact"/>
            </w:pPr>
          </w:p>
        </w:tc>
      </w:tr>
      <w:tr>
        <w:tc>
          <w:tcPr/>
          <w:p>
            <w:pPr>
              <w:pStyle w:val="Compact"/>
              <w:jc w:val="left"/>
            </w:pPr>
            <w:r>
              <w:t xml:space="preserve">2.4</w:t>
            </w:r>
          </w:p>
        </w:tc>
        <w:tc>
          <w:tcPr/>
          <w:p>
            <w:pPr>
              <w:pStyle w:val="Compact"/>
              <w:jc w:val="left"/>
            </w:pPr>
            <w:r>
              <w:t xml:space="preserve">Neem vrijgavegrenzen op (10.000 vz/m³ RK2, 2.000 vz/m³ RK2A)</w:t>
            </w:r>
          </w:p>
        </w:tc>
        <w:tc>
          <w:tcPr/>
          <w:p>
            <w:pPr>
              <w:pStyle w:val="Compact"/>
            </w:pPr>
          </w:p>
        </w:tc>
      </w:tr>
      <w:tr>
        <w:tc>
          <w:tcPr/>
          <w:p>
            <w:pPr>
              <w:pStyle w:val="Compact"/>
              <w:jc w:val="left"/>
            </w:pPr>
            <w:r>
              <w:t xml:space="preserve">2.5</w:t>
            </w:r>
          </w:p>
        </w:tc>
        <w:tc>
          <w:tcPr/>
          <w:p>
            <w:pPr>
              <w:pStyle w:val="Compact"/>
              <w:jc w:val="left"/>
            </w:pPr>
            <w:r>
              <w:t xml:space="preserve">Voeg verwijzing naar arbeidsgezondheidskundig onderzoek toe</w:t>
            </w:r>
          </w:p>
        </w:tc>
        <w:tc>
          <w:tcPr/>
          <w:p>
            <w:pPr>
              <w:pStyle w:val="Compact"/>
            </w:pPr>
          </w:p>
        </w:tc>
      </w:tr>
      <w:tr>
        <w:tc>
          <w:tcPr/>
          <w:p>
            <w:pPr>
              <w:pStyle w:val="Compact"/>
              <w:jc w:val="left"/>
            </w:pPr>
            <w:r>
              <w:t xml:space="preserve">2.6</w:t>
            </w:r>
          </w:p>
        </w:tc>
        <w:tc>
          <w:tcPr/>
          <w:p>
            <w:pPr>
              <w:pStyle w:val="Compact"/>
              <w:jc w:val="left"/>
            </w:pPr>
            <w:r>
              <w:t xml:space="preserve">Voeg rook/eten/drinkverbod expliciet toe</w:t>
            </w:r>
          </w:p>
        </w:tc>
        <w:tc>
          <w:tcPr/>
          <w:p>
            <w:pPr>
              <w:pStyle w:val="Compact"/>
            </w:pPr>
          </w:p>
        </w:tc>
      </w:tr>
      <w:tr>
        <w:tc>
          <w:tcPr/>
          <w:p>
            <w:pPr>
              <w:pStyle w:val="Compact"/>
              <w:jc w:val="left"/>
            </w:pPr>
            <w:r>
              <w:t xml:space="preserve">2.7</w:t>
            </w:r>
          </w:p>
        </w:tc>
        <w:tc>
          <w:tcPr/>
          <w:p>
            <w:pPr>
              <w:pStyle w:val="Compact"/>
              <w:jc w:val="left"/>
            </w:pPr>
            <w:r>
              <w:t xml:space="preserve">Specificeer NEN 2990 als norm voor eindcontrole</w:t>
            </w:r>
          </w:p>
        </w:tc>
        <w:tc>
          <w:tcPr/>
          <w:p>
            <w:pPr>
              <w:pStyle w:val="Compact"/>
            </w:pPr>
          </w:p>
        </w:tc>
      </w:tr>
      <w:tr>
        <w:tc>
          <w:tcPr/>
          <w:p>
            <w:pPr>
              <w:pStyle w:val="Compact"/>
              <w:jc w:val="left"/>
            </w:pPr>
            <w:r>
              <w:t xml:space="preserve">2.8</w:t>
            </w:r>
          </w:p>
        </w:tc>
        <w:tc>
          <w:tcPr/>
          <w:p>
            <w:pPr>
              <w:pStyle w:val="Compact"/>
              <w:jc w:val="left"/>
            </w:pPr>
            <w:r>
              <w:t xml:space="preserve">Voeg bewaartermijn medische dossiers (40 jaar) toe</w:t>
            </w:r>
          </w:p>
        </w:tc>
        <w:tc>
          <w:tcPr/>
          <w:p>
            <w:pPr>
              <w:pStyle w:val="Compact"/>
            </w:pPr>
          </w:p>
        </w:tc>
      </w:tr>
    </w:tbl>
    <w:bookmarkEnd w:id="38"/>
    <w:bookmarkStart w:id="39" w:name="prioriteit-3-aanbevolen-verbeteringen"/>
    <w:p>
      <w:pPr>
        <w:pStyle w:val="Heading3"/>
      </w:pPr>
      <w:r>
        <w:t xml:space="preserve">Prioriteit 3: Aanbevolen verbeteringen</w:t>
      </w:r>
    </w:p>
    <w:p>
      <w:pPr>
        <w:pStyle w:val="Compact"/>
        <w:numPr>
          <w:ilvl w:val="0"/>
          <w:numId w:val="1003"/>
        </w:numPr>
      </w:pPr>
      <w:r>
        <w:t xml:space="preserve">Voeg Arbocatalogus</w:t>
      </w:r>
      <w:r>
        <w:t xml:space="preserve"> </w:t>
      </w:r>
      <w:r>
        <w:t xml:space="preserve">“</w:t>
      </w:r>
      <w:r>
        <w:t xml:space="preserve">Asbest in installatie- en isolatiebranches</w:t>
      </w:r>
      <w:r>
        <w:t xml:space="preserve">”</w:t>
      </w:r>
      <w:r>
        <w:t xml:space="preserve"> </w:t>
      </w:r>
      <w:r>
        <w:t xml:space="preserve">toe aan referenties</w:t>
      </w:r>
    </w:p>
    <w:p>
      <w:pPr>
        <w:pStyle w:val="Compact"/>
        <w:numPr>
          <w:ilvl w:val="0"/>
          <w:numId w:val="1003"/>
        </w:numPr>
      </w:pPr>
      <w:r>
        <w:t xml:space="preserve">Voeg ADR-etiketteringseisen voor transport toe</w:t>
      </w:r>
    </w:p>
    <w:p>
      <w:pPr>
        <w:pStyle w:val="Compact"/>
        <w:numPr>
          <w:ilvl w:val="0"/>
          <w:numId w:val="1003"/>
        </w:numPr>
      </w:pPr>
      <w:r>
        <w:t xml:space="preserve">Voeg legionellapreventie-richtlijn toe voor deco-units</w:t>
      </w:r>
    </w:p>
    <w:p>
      <w:pPr>
        <w:pStyle w:val="Compact"/>
        <w:numPr>
          <w:ilvl w:val="0"/>
          <w:numId w:val="1003"/>
        </w:numPr>
      </w:pPr>
      <w:r>
        <w:t xml:space="preserve">Voeg eisen voor gereedschap met hoog toeretal (&gt;100 omw/min) en afzuiging toe</w:t>
      </w:r>
    </w:p>
    <w:p>
      <w:r>
        <w:pict>
          <v:rect style="width:0;height:1.5pt" o:hralign="center" o:hrstd="t" o:hr="t"/>
        </w:pict>
      </w:r>
    </w:p>
    <w:bookmarkEnd w:id="39"/>
    <w:bookmarkEnd w:id="40"/>
    <w:bookmarkStart w:id="41" w:name="conclusie"/>
    <w:p>
      <w:pPr>
        <w:pStyle w:val="Heading2"/>
      </w:pPr>
      <w:r>
        <w:t xml:space="preserve">6. Conclusie</w:t>
      </w:r>
    </w:p>
    <w:p>
      <w:pPr>
        <w:pStyle w:val="FirstParagraph"/>
      </w:pPr>
      <w:r>
        <w:t xml:space="preserve">De Asbestos Removal Procedure 003.059 biedt een goed algemeen kader voor asbestverwijdering bij Koole Offshore Operations. De procedure is echter</w:t>
      </w:r>
      <w:r>
        <w:t xml:space="preserve"> </w:t>
      </w:r>
      <w:r>
        <w:rPr>
          <w:b/>
          <w:bCs/>
        </w:rPr>
        <w:t xml:space="preserve">te algemeen en ontbeert kritieke wettelijke specificaties</w:t>
      </w:r>
      <w:r>
        <w:t xml:space="preserve"> </w:t>
      </w:r>
      <w:r>
        <w:t xml:space="preserve">die in AI-blad 3 en het Arbobesluit zijn voorgeschreven. De procedure functioneert als een</w:t>
      </w:r>
      <w:r>
        <w:t xml:space="preserve"> </w:t>
      </w:r>
      <w:r>
        <w:t xml:space="preserve">“</w:t>
      </w:r>
      <w:r>
        <w:t xml:space="preserve">higher-level document</w:t>
      </w:r>
      <w:r>
        <w:t xml:space="preserve">”</w:t>
      </w:r>
      <w:r>
        <w:t xml:space="preserve"> </w:t>
      </w:r>
      <w:r>
        <w:t xml:space="preserve">dat verwijst naar project-specifieke documentatie, maar zou bij uitvoering in risicoklasse 2/2A niet voldoende waarborgen bieden zonder aanvullende projectprocedures.</w:t>
      </w:r>
    </w:p>
    <w:p>
      <w:pPr>
        <w:pStyle w:val="BodyText"/>
      </w:pPr>
      <w:r>
        <w:rPr>
          <w:b/>
          <w:bCs/>
        </w:rPr>
        <w:t xml:space="preserve">Aanbeveling:</w:t>
      </w:r>
      <w:r>
        <w:t xml:space="preserve"> </w:t>
      </w:r>
      <w:r>
        <w:t xml:space="preserve">Herzien de procedure bij de eerstvolgende revisie met de Prioriteit 1-aanpassingen. Overweeg de procedure te splitsen in een algemeen kaderdocument en gedetailleerde uitvoeringsprocedures per risicoklasse.</w:t>
      </w:r>
    </w:p>
    <w:p>
      <w:r>
        <w:pict>
          <v:rect style="width:0;height:1.5pt" o:hralign="center" o:hrstd="t" o:hr="t"/>
        </w:pict>
      </w:r>
    </w:p>
    <w:bookmarkEnd w:id="41"/>
    <w:bookmarkStart w:id="42" w:name="bronverwijzingen"/>
    <w:p>
      <w:pPr>
        <w:pStyle w:val="Heading2"/>
      </w:pPr>
      <w:r>
        <w:t xml:space="preserve">7. Bronverwijzingen</w:t>
      </w:r>
    </w:p>
    <w:tbl>
      <w:tblPr>
        <w:tblStyle w:val="Table"/>
        <w:tblW w:type="pct" w:w="5000"/>
        <w:jc w:val="left"/>
        <w:tblLayout w:type="fixed"/>
        <w:tblLook w:firstRow="1" w:lastRow="0" w:firstColumn="0" w:lastColumn="0" w:noHBand="0" w:noVBand="0" w:val="0020"/>
      </w:tblPr>
      <w:tblGrid>
        <w:gridCol w:w="1080"/>
        <w:gridCol w:w="2160"/>
        <w:gridCol w:w="4680"/>
      </w:tblGrid>
      <w:tr>
        <w:trPr>
          <w:tblHeader w:val="on"/>
        </w:trPr>
        <w:tc>
          <w:tcPr/>
          <w:p>
            <w:pPr>
              <w:pStyle w:val="Compact"/>
              <w:jc w:val="left"/>
            </w:pPr>
            <w:r>
              <w:t xml:space="preserve">#</w:t>
            </w:r>
          </w:p>
        </w:tc>
        <w:tc>
          <w:tcPr/>
          <w:p>
            <w:pPr>
              <w:pStyle w:val="Compact"/>
              <w:jc w:val="left"/>
            </w:pPr>
            <w:r>
              <w:t xml:space="preserve">Bron</w:t>
            </w:r>
          </w:p>
        </w:tc>
        <w:tc>
          <w:tcPr/>
          <w:p>
            <w:pPr>
              <w:pStyle w:val="Compact"/>
              <w:jc w:val="left"/>
            </w:pPr>
            <w:r>
              <w:t xml:space="preserve">Beschrijving</w:t>
            </w:r>
          </w:p>
        </w:tc>
      </w:tr>
      <w:tr>
        <w:tc>
          <w:tcPr/>
          <w:p>
            <w:pPr>
              <w:pStyle w:val="Compact"/>
              <w:jc w:val="left"/>
            </w:pPr>
            <w:r>
              <w:t xml:space="preserve">[1]</w:t>
            </w:r>
          </w:p>
        </w:tc>
        <w:tc>
          <w:tcPr/>
          <w:p>
            <w:pPr>
              <w:pStyle w:val="Compact"/>
              <w:jc w:val="left"/>
            </w:pPr>
            <w:r>
              <w:t xml:space="preserve">003.059 Asbestos Removal Procedure Rev 1, KOO B.V., 19 mei 2026</w:t>
            </w:r>
          </w:p>
        </w:tc>
        <w:tc>
          <w:tcPr/>
          <w:p>
            <w:pPr>
              <w:pStyle w:val="Compact"/>
              <w:jc w:val="left"/>
            </w:pPr>
            <w:r>
              <w:t xml:space="preserve">Brondocument</w:t>
            </w:r>
          </w:p>
        </w:tc>
      </w:tr>
      <w:tr>
        <w:tc>
          <w:tcPr/>
          <w:p>
            <w:pPr>
              <w:pStyle w:val="Compact"/>
              <w:jc w:val="left"/>
            </w:pPr>
            <w:r>
              <w:t xml:space="preserve">[2]</w:t>
            </w:r>
          </w:p>
        </w:tc>
        <w:tc>
          <w:tcPr/>
          <w:p>
            <w:pPr>
              <w:pStyle w:val="Compact"/>
              <w:jc w:val="left"/>
            </w:pPr>
            <w:r>
              <w:t xml:space="preserve">AI-blad 3</w:t>
            </w:r>
            <w:r>
              <w:t xml:space="preserve"> </w:t>
            </w:r>
            <w:r>
              <w:t xml:space="preserve">“</w:t>
            </w:r>
            <w:r>
              <w:t xml:space="preserve">Asbest</w:t>
            </w:r>
            <w:r>
              <w:t xml:space="preserve">”</w:t>
            </w:r>
            <w:r>
              <w:t xml:space="preserve">, Sdu HSE, bijgewerkt juli 2022</w:t>
            </w:r>
          </w:p>
        </w:tc>
        <w:tc>
          <w:tcPr/>
          <w:p>
            <w:pPr>
              <w:pStyle w:val="Compact"/>
              <w:jc w:val="left"/>
            </w:pPr>
            <w:r>
              <w:t xml:space="preserve">Referentiekader</w:t>
            </w:r>
          </w:p>
        </w:tc>
      </w:tr>
      <w:tr>
        <w:tc>
          <w:tcPr/>
          <w:p>
            <w:pPr>
              <w:pStyle w:val="Compact"/>
              <w:jc w:val="left"/>
            </w:pPr>
            <w:r>
              <w:t xml:space="preserve">[3]</w:t>
            </w:r>
          </w:p>
        </w:tc>
        <w:tc>
          <w:tcPr/>
          <w:p>
            <w:pPr>
              <w:pStyle w:val="Compact"/>
              <w:jc w:val="left"/>
            </w:pPr>
            <w:r>
              <w:t xml:space="preserve">Arbeidsomstandighedenwet (Arbowet)</w:t>
            </w:r>
          </w:p>
        </w:tc>
        <w:tc>
          <w:tcPr/>
          <w:p>
            <w:pPr>
              <w:pStyle w:val="Compact"/>
              <w:jc w:val="left"/>
            </w:pPr>
            <w:r>
              <w:t xml:space="preserve">Wettelijk kader</w:t>
            </w:r>
          </w:p>
        </w:tc>
      </w:tr>
      <w:tr>
        <w:tc>
          <w:tcPr/>
          <w:p>
            <w:pPr>
              <w:pStyle w:val="Compact"/>
              <w:jc w:val="left"/>
            </w:pPr>
            <w:r>
              <w:t xml:space="preserve">[4]</w:t>
            </w:r>
          </w:p>
        </w:tc>
        <w:tc>
          <w:tcPr/>
          <w:p>
            <w:pPr>
              <w:pStyle w:val="Compact"/>
              <w:jc w:val="left"/>
            </w:pPr>
            <w:r>
              <w:t xml:space="preserve">Arbeidsomstandighedenbesluit, Hoofdstuk 4, Afdeling 5</w:t>
            </w:r>
          </w:p>
        </w:tc>
        <w:tc>
          <w:tcPr/>
          <w:p>
            <w:pPr>
              <w:pStyle w:val="Compact"/>
              <w:jc w:val="left"/>
            </w:pPr>
            <w:r>
              <w:t xml:space="preserve">Asbestregeling</w:t>
            </w:r>
          </w:p>
        </w:tc>
      </w:tr>
      <w:tr>
        <w:tc>
          <w:tcPr/>
          <w:p>
            <w:pPr>
              <w:pStyle w:val="Compact"/>
              <w:jc w:val="left"/>
            </w:pPr>
            <w:r>
              <w:t xml:space="preserve">[5]</w:t>
            </w:r>
          </w:p>
        </w:tc>
        <w:tc>
          <w:tcPr/>
          <w:p>
            <w:pPr>
              <w:pStyle w:val="Compact"/>
              <w:jc w:val="left"/>
            </w:pPr>
            <w:r>
              <w:t xml:space="preserve">Asbestverwijderingsbesluit 2005</w:t>
            </w:r>
          </w:p>
        </w:tc>
        <w:tc>
          <w:tcPr/>
          <w:p>
            <w:pPr>
              <w:pStyle w:val="Compact"/>
              <w:jc w:val="left"/>
            </w:pPr>
            <w:r>
              <w:t xml:space="preserve">Meldeplicht en procedures</w:t>
            </w:r>
          </w:p>
        </w:tc>
      </w:tr>
      <w:tr>
        <w:tc>
          <w:tcPr/>
          <w:p>
            <w:pPr>
              <w:pStyle w:val="Compact"/>
              <w:jc w:val="left"/>
            </w:pPr>
            <w:r>
              <w:t xml:space="preserve">[6]</w:t>
            </w:r>
          </w:p>
        </w:tc>
        <w:tc>
          <w:tcPr/>
          <w:p>
            <w:pPr>
              <w:pStyle w:val="Compact"/>
              <w:jc w:val="left"/>
            </w:pPr>
            <w:r>
              <w:t xml:space="preserve">Productenbesluit asbest</w:t>
            </w:r>
          </w:p>
        </w:tc>
        <w:tc>
          <w:tcPr/>
          <w:p>
            <w:pPr>
              <w:pStyle w:val="Compact"/>
              <w:jc w:val="left"/>
            </w:pPr>
            <w:r>
              <w:t xml:space="preserve">Verpakkings- etiketteereisen</w:t>
            </w:r>
          </w:p>
        </w:tc>
      </w:tr>
      <w:tr>
        <w:tc>
          <w:tcPr/>
          <w:p>
            <w:pPr>
              <w:pStyle w:val="Compact"/>
              <w:jc w:val="left"/>
            </w:pPr>
            <w:r>
              <w:t xml:space="preserve">[7]</w:t>
            </w:r>
          </w:p>
        </w:tc>
        <w:tc>
          <w:tcPr/>
          <w:p>
            <w:pPr>
              <w:pStyle w:val="Compact"/>
              <w:jc w:val="left"/>
            </w:pPr>
            <w:r>
              <w:t xml:space="preserve">NEN 2990</w:t>
            </w:r>
          </w:p>
        </w:tc>
        <w:tc>
          <w:tcPr/>
          <w:p>
            <w:pPr>
              <w:pStyle w:val="Compact"/>
              <w:jc w:val="left"/>
            </w:pPr>
            <w:r>
              <w:t xml:space="preserve">Norm voor eindcontrole asbestverwijdering</w:t>
            </w:r>
          </w:p>
        </w:tc>
      </w:tr>
      <w:tr>
        <w:tc>
          <w:tcPr/>
          <w:p>
            <w:pPr>
              <w:pStyle w:val="Compact"/>
              <w:jc w:val="left"/>
            </w:pPr>
            <w:r>
              <w:t xml:space="preserve">[8]</w:t>
            </w:r>
          </w:p>
        </w:tc>
        <w:tc>
          <w:tcPr/>
          <w:p>
            <w:pPr>
              <w:pStyle w:val="Compact"/>
              <w:jc w:val="left"/>
            </w:pPr>
            <w:r>
              <w:t xml:space="preserve">Certificatieschema voor de Procescertificaten Asbestinventarisatie en Asbestverwijdering</w:t>
            </w:r>
          </w:p>
        </w:tc>
        <w:tc>
          <w:tcPr/>
          <w:p>
            <w:pPr>
              <w:pStyle w:val="Compact"/>
              <w:jc w:val="left"/>
            </w:pPr>
            <w:r>
              <w:t xml:space="preserve">Certificeringseisen</w:t>
            </w:r>
          </w:p>
        </w:tc>
      </w:tr>
    </w:tbl>
    <w:p>
      <w:r>
        <w:pict>
          <v:rect style="width:0;height:1.5pt" o:hralign="center" o:hrstd="t" o:hr="t"/>
        </w:pict>
      </w:r>
    </w:p>
    <w:p>
      <w:pPr>
        <w:pStyle w:val="FirstParagraph"/>
      </w:pPr>
      <w:r>
        <w:rPr>
          <w:i/>
          <w:iCs/>
        </w:rPr>
        <w:t xml:space="preserve">Rapport gegenereerd door Kas (Director of Operations) — JvG Consultancy</w:t>
      </w:r>
      <w:r>
        <w:t xml:space="preserve"> </w:t>
      </w:r>
      <w:r>
        <w:rPr>
          <w:i/>
          <w:iCs/>
        </w:rPr>
        <w:t xml:space="preserve">Auditdatum: 11 augustus 2026</w:t>
      </w:r>
      <w:r>
        <w:t xml:space="preserve"> </w:t>
      </w:r>
      <w:r>
        <w:rPr>
          <w:i/>
          <w:iCs/>
        </w:rPr>
        <w:t xml:space="preserve">Volgende review: Na implementatie van Prioriteit 1-aanpassingen</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Compliance Audit — Asbest 003.059</dc:title>
  <dc:creator/>
  <cp:keywords/>
  <dcterms:created xsi:type="dcterms:W3CDTF">2026-08-11T19:00:35Z</dcterms:created>
  <dcterms:modified xsi:type="dcterms:W3CDTF">2026-08-11T19:00:35Z</dcterms:modified>
</cp:coreProperties>
</file>

<file path=docProps/custom.xml><?xml version="1.0" encoding="utf-8"?>
<Properties xmlns="http://schemas.openxmlformats.org/officeDocument/2006/custom-properties" xmlns:vt="http://schemas.openxmlformats.org/officeDocument/2006/docPropsVTypes"/>
</file>