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b/>
          <w:color w:val="1A3A5C"/>
          <w:sz w:val="56"/>
        </w:rPr>
        <w:t>JvG CONSULTANCY</w:t>
      </w:r>
    </w:p>
    <w:p>
      <w:pPr>
        <w:jc w:val="center"/>
      </w:pPr>
      <w:r>
        <w:rPr>
          <w:color w:val="E67E22"/>
          <w:sz w:val="28"/>
        </w:rPr>
        <w:t>HSEQ Kennisdossier</w:t>
      </w:r>
    </w:p>
    <w:p/>
    <w:p>
      <w:pPr>
        <w:jc w:val="center"/>
      </w:pPr>
      <w:r>
        <w:rPr>
          <w:b/>
          <w:color w:val="1A3A5C"/>
          <w:sz w:val="40"/>
        </w:rPr>
        <w:t>Asbestverwijdering Offshore</w:t>
      </w:r>
    </w:p>
    <w:p>
      <w:pPr>
        <w:jc w:val="center"/>
      </w:pPr>
      <w:r>
        <w:rPr>
          <w:i/>
          <w:sz w:val="24"/>
        </w:rPr>
        <w:t>Audit Project: Koole 003.059 / Wintershall Decommissioning</w:t>
      </w:r>
    </w:p>
    <w:p/>
    <w:p/>
    <w:tbl>
      <w:tblPr>
        <w:tblStyle w:val="TableGrid"/>
        <w:tblW w:type="auto" w:w="0"/>
        <w:jc w:val="center"/>
        <w:tblLook w:firstColumn="1" w:firstRow="1" w:lastColumn="0" w:lastRow="0" w:noHBand="0" w:noVBand="1" w:val="04A0"/>
      </w:tblPr>
      <w:tblGrid>
        <w:gridCol w:w="4703"/>
        <w:gridCol w:w="4703"/>
      </w:tblGrid>
      <w:tr>
        <w:tc>
          <w:tcPr>
            <w:tcW w:type="dxa" w:w="4703"/>
            <w:shd w:fill="1a3a5c"/>
          </w:tcPr>
          <w:p>
            <w:pPr>
              <w:jc w:val="left"/>
            </w:pPr>
            <w:r>
              <w:rPr>
                <w:color w:val="FFFFFF"/>
              </w:rPr>
            </w:r>
            <w:r>
              <w:rPr>
                <w:rFonts w:ascii="Calibri" w:hAnsi="Calibri"/>
                <w:b/>
                <w:color w:val="2C3E50"/>
                <w:sz w:val="20"/>
              </w:rPr>
              <w:t>Projectnummer:</w:t>
            </w:r>
          </w:p>
        </w:tc>
        <w:tc>
          <w:tcPr>
            <w:tcW w:type="dxa" w:w="4703"/>
          </w:tcPr>
          <w:p>
            <w:pPr>
              <w:jc w:val="left"/>
            </w:pPr>
            <w:r/>
            <w:r>
              <w:rPr>
                <w:rFonts w:ascii="Calibri" w:hAnsi="Calibri"/>
                <w:b w:val="0"/>
                <w:color w:val="2C3E50"/>
                <w:sz w:val="20"/>
              </w:rPr>
              <w:t>2026-hseq-asbest-audit-koole</w:t>
            </w:r>
          </w:p>
        </w:tc>
      </w:tr>
      <w:tr>
        <w:tc>
          <w:tcPr>
            <w:tcW w:type="dxa" w:w="4703"/>
            <w:shd w:fill="1a3a5c"/>
          </w:tcPr>
          <w:p>
            <w:pPr>
              <w:jc w:val="left"/>
            </w:pPr>
            <w:r>
              <w:rPr>
                <w:color w:val="FFFFFF"/>
              </w:rPr>
            </w:r>
            <w:r>
              <w:rPr>
                <w:rFonts w:ascii="Calibri" w:hAnsi="Calibri"/>
                <w:b/>
                <w:color w:val="2C3E50"/>
                <w:sz w:val="20"/>
              </w:rPr>
              <w:t>Versie:</w:t>
            </w:r>
          </w:p>
        </w:tc>
        <w:tc>
          <w:tcPr>
            <w:tcW w:type="dxa" w:w="4703"/>
          </w:tcPr>
          <w:p>
            <w:pPr>
              <w:jc w:val="left"/>
            </w:pPr>
            <w:r/>
            <w:r>
              <w:rPr>
                <w:rFonts w:ascii="Calibri" w:hAnsi="Calibri"/>
                <w:b w:val="0"/>
                <w:color w:val="2C3E50"/>
                <w:sz w:val="20"/>
              </w:rPr>
              <w:t>1.0</w:t>
            </w:r>
          </w:p>
        </w:tc>
      </w:tr>
      <w:tr>
        <w:tc>
          <w:tcPr>
            <w:tcW w:type="dxa" w:w="4703"/>
            <w:shd w:fill="1a3a5c"/>
          </w:tcPr>
          <w:p>
            <w:pPr>
              <w:jc w:val="left"/>
            </w:pPr>
            <w:r>
              <w:rPr>
                <w:color w:val="FFFFFF"/>
              </w:rPr>
            </w:r>
            <w:r>
              <w:rPr>
                <w:rFonts w:ascii="Calibri" w:hAnsi="Calibri"/>
                <w:b/>
                <w:color w:val="2C3E50"/>
                <w:sz w:val="20"/>
              </w:rPr>
              <w:t>Datum:</w:t>
            </w:r>
          </w:p>
        </w:tc>
        <w:tc>
          <w:tcPr>
            <w:tcW w:type="dxa" w:w="4703"/>
          </w:tcPr>
          <w:p>
            <w:pPr>
              <w:jc w:val="left"/>
            </w:pPr>
            <w:r/>
            <w:r>
              <w:rPr>
                <w:rFonts w:ascii="Calibri" w:hAnsi="Calibri"/>
                <w:b w:val="0"/>
                <w:color w:val="2C3E50"/>
                <w:sz w:val="20"/>
              </w:rPr>
              <w:t>7 augustus 2026</w:t>
            </w:r>
          </w:p>
        </w:tc>
      </w:tr>
      <w:tr>
        <w:tc>
          <w:tcPr>
            <w:tcW w:type="dxa" w:w="4703"/>
            <w:shd w:fill="1a3a5c"/>
          </w:tcPr>
          <w:p>
            <w:pPr>
              <w:jc w:val="left"/>
            </w:pPr>
            <w:r>
              <w:rPr>
                <w:color w:val="FFFFFF"/>
              </w:rPr>
            </w:r>
            <w:r>
              <w:rPr>
                <w:rFonts w:ascii="Calibri" w:hAnsi="Calibri"/>
                <w:b/>
                <w:color w:val="2C3E50"/>
                <w:sz w:val="20"/>
              </w:rPr>
              <w:t>Auteur:</w:t>
            </w:r>
          </w:p>
        </w:tc>
        <w:tc>
          <w:tcPr>
            <w:tcW w:type="dxa" w:w="4703"/>
          </w:tcPr>
          <w:p>
            <w:pPr>
              <w:jc w:val="left"/>
            </w:pPr>
            <w:r/>
            <w:r>
              <w:rPr>
                <w:rFonts w:ascii="Calibri" w:hAnsi="Calibri"/>
                <w:b w:val="0"/>
                <w:color w:val="2C3E50"/>
                <w:sz w:val="20"/>
              </w:rPr>
              <w:t>Kas — JvG Consultancy</w:t>
            </w:r>
          </w:p>
        </w:tc>
      </w:tr>
      <w:tr>
        <w:tc>
          <w:tcPr>
            <w:tcW w:type="dxa" w:w="4703"/>
            <w:shd w:fill="1a3a5c"/>
          </w:tcPr>
          <w:p>
            <w:pPr>
              <w:jc w:val="left"/>
            </w:pPr>
            <w:r>
              <w:rPr>
                <w:color w:val="FFFFFF"/>
              </w:rPr>
            </w:r>
            <w:r>
              <w:rPr>
                <w:rFonts w:ascii="Calibri" w:hAnsi="Calibri"/>
                <w:b/>
                <w:color w:val="2C3E50"/>
                <w:sz w:val="20"/>
              </w:rPr>
              <w:t>Classificatie:</w:t>
            </w:r>
          </w:p>
        </w:tc>
        <w:tc>
          <w:tcPr>
            <w:tcW w:type="dxa" w:w="4703"/>
          </w:tcPr>
          <w:p>
            <w:pPr>
              <w:jc w:val="left"/>
            </w:pPr>
            <w:r/>
            <w:r>
              <w:rPr>
                <w:rFonts w:ascii="Calibri" w:hAnsi="Calibri"/>
                <w:b w:val="0"/>
                <w:color w:val="2C3E50"/>
                <w:sz w:val="20"/>
              </w:rPr>
              <w:t>CONFIDENTIEEL</w:t>
            </w:r>
          </w:p>
        </w:tc>
      </w:tr>
    </w:tbl>
    <w:p>
      <w:r>
        <w:br w:type="page"/>
      </w:r>
    </w:p>
    <w:p>
      <w:r>
        <w:rPr>
          <w:b/>
          <w:color w:val="1A3A5C"/>
          <w:sz w:val="32"/>
        </w:rPr>
        <w:t>1. Management Samenvatting</w:t>
      </w:r>
    </w:p>
    <w:p>
      <w:r>
        <w:rPr>
          <w:b w:val="0"/>
          <w:i w:val="0"/>
          <w:color w:val="2C3E50"/>
          <w:sz w:val="22"/>
        </w:rPr>
        <w:t>Dit kennisdossier is samengesteld ter ondersteuning van de audit van de Koole Procedure 003.059 "Asbestos Removal Procedure" voor het Wintershall offshore decommissioning project. Het dossier consolideert de actuele Nederlandse asbestregelgeving (Arbobesluit, AI-blad Asbest AI-03) en toetst deze aan de procedure van Koole.</w:t>
      </w:r>
    </w:p>
    <w:p>
      <w:r>
        <w:rPr>
          <w:b w:val="0"/>
          <w:i w:val="0"/>
          <w:color w:val="2C3E50"/>
          <w:sz w:val="22"/>
        </w:rPr>
      </w:r>
    </w:p>
    <w:p>
      <w:r>
        <w:rPr>
          <w:b w:val="0"/>
          <w:i w:val="0"/>
          <w:color w:val="2C3E50"/>
          <w:sz w:val="22"/>
        </w:rPr>
        <w:t>De belangrijkste conclusie is dat de procedure van Koole, hoewel deze een algemeen raamwerk biedt voor asbestverwijdering, onvoldoende aansluit bij de specifieke Nederlandse wettelijke eisen. Er zijn 9 kritieke non-conformiteiten geïdentificeerd, waaronder het ontbreken van de wettelijke risicoklassen (1/2/2A), de verplichte SMA-rt risicoklassebepaling, LAVS-melding, certificeringseisen, arbeidsgezondheidskundig onderzoek en blootstellingsregistratie.</w:t>
      </w:r>
    </w:p>
    <w:p>
      <w:r>
        <w:rPr>
          <w:b/>
          <w:color w:val="1A3A5C"/>
          <w:sz w:val="32"/>
        </w:rPr>
        <w:t>2. Asbest: Eigenschappen en Gevaren</w:t>
      </w:r>
    </w:p>
    <w:p>
      <w:r>
        <w:rPr>
          <w:b/>
          <w:color w:val="1A3A5C"/>
          <w:sz w:val="26"/>
        </w:rPr>
        <w:t>2.1 Wat is asbest?</w:t>
      </w:r>
    </w:p>
    <w:p>
      <w:r>
        <w:rPr>
          <w:b w:val="0"/>
          <w:i w:val="0"/>
          <w:color w:val="2C3E50"/>
          <w:sz w:val="22"/>
        </w:rPr>
        <w:t>Asbest is een verzamelnaam voor zes vezelvormige silicaten. De drie commercieel belangrijkste soorten:</w:t>
      </w:r>
    </w:p>
    <w:p>
      <w:r>
        <w:rPr>
          <w:b w:val="0"/>
          <w:i w:val="0"/>
          <w:color w:val="2C3E50"/>
          <w:sz w:val="22"/>
        </w:rPr>
        <w:t>• Chrysotiel (witte asbest, CAS 12001-29-5) — serpentijntype, meest gebruikt</w:t>
      </w:r>
    </w:p>
    <w:p>
      <w:r>
        <w:rPr>
          <w:b w:val="0"/>
          <w:i w:val="0"/>
          <w:color w:val="2C3E50"/>
          <w:sz w:val="22"/>
        </w:rPr>
        <w:t>• Amosiet (bruine asbest, CAS 12172-73-5) — amfibooltype</w:t>
      </w:r>
    </w:p>
    <w:p>
      <w:r>
        <w:rPr>
          <w:b w:val="0"/>
          <w:i w:val="0"/>
          <w:color w:val="2C3E50"/>
          <w:sz w:val="22"/>
        </w:rPr>
        <w:t>• Crocidoliet (blauwe asbest, CAS 12001-28-4) — amfibooltype, meest carcinogeen</w:t>
      </w:r>
    </w:p>
    <w:p>
      <w:r>
        <w:rPr>
          <w:b w:val="0"/>
          <w:i w:val="0"/>
          <w:color w:val="2C3E50"/>
          <w:sz w:val="22"/>
        </w:rPr>
      </w:r>
    </w:p>
    <w:p>
      <w:r>
        <w:rPr>
          <w:b w:val="0"/>
          <w:i w:val="0"/>
          <w:color w:val="2C3E50"/>
          <w:sz w:val="22"/>
        </w:rPr>
        <w:t>Het risico op mesothelioom na blootstelling aan dezelfde hoeveelheid vezels: Chrysotiel : Amosiet : Crocidoliet = 1 : 14 : 54</w:t>
      </w:r>
    </w:p>
    <w:p>
      <w:r>
        <w:rPr>
          <w:b/>
          <w:color w:val="1A3A5C"/>
          <w:sz w:val="26"/>
        </w:rPr>
        <w:t>2.2 Gezondheidseffecten</w:t>
      </w:r>
    </w:p>
    <w:p>
      <w:r>
        <w:rPr>
          <w:b w:val="0"/>
          <w:i w:val="0"/>
          <w:color w:val="2C3E50"/>
          <w:sz w:val="22"/>
        </w:rPr>
        <w:t>• Mesothelioom: dodelijke kanker van long-/buikvlies. Latentietijd 10-60 jaar.</w:t>
      </w:r>
    </w:p>
    <w:p>
      <w:r>
        <w:rPr>
          <w:b w:val="0"/>
          <w:i w:val="0"/>
          <w:color w:val="2C3E50"/>
          <w:sz w:val="22"/>
        </w:rPr>
        <w:t>• Longkanker: verhoogd risico, multiplicatief effect met roken</w:t>
      </w:r>
    </w:p>
    <w:p>
      <w:r>
        <w:rPr>
          <w:b w:val="0"/>
          <w:i w:val="0"/>
          <w:color w:val="2C3E50"/>
          <w:sz w:val="22"/>
        </w:rPr>
        <w:t>• Asbestose: longfibrose bij hoge blootstelling</w:t>
      </w:r>
    </w:p>
    <w:p>
      <w:r>
        <w:rPr>
          <w:b w:val="0"/>
          <w:i w:val="0"/>
          <w:color w:val="2C3E50"/>
          <w:sz w:val="22"/>
        </w:rPr>
        <w:t>• Pleurale plaques: verdikkingen borstvlies (indicator blootstelling)</w:t>
      </w:r>
    </w:p>
    <w:p>
      <w:r>
        <w:rPr>
          <w:b w:val="0"/>
          <w:i w:val="0"/>
          <w:color w:val="2C3E50"/>
          <w:sz w:val="22"/>
        </w:rPr>
      </w:r>
    </w:p>
    <w:p>
      <w:r>
        <w:rPr>
          <w:b w:val="0"/>
          <w:i w:val="0"/>
          <w:color w:val="2C3E50"/>
          <w:sz w:val="22"/>
        </w:rPr>
        <w:t>Sterfte Nederland: ~500 doden/jaar aan mesothelioom (CBS).</w:t>
      </w:r>
    </w:p>
    <w:p>
      <w:r>
        <w:rPr>
          <w:b/>
          <w:color w:val="1A3A5C"/>
          <w:sz w:val="32"/>
        </w:rPr>
        <w:t>3. Wettelijk Kader</w:t>
      </w:r>
    </w:p>
    <w:p>
      <w:r>
        <w:rPr>
          <w:b/>
          <w:color w:val="1A3A5C"/>
          <w:sz w:val="26"/>
        </w:rPr>
        <w:t>3.1 Primaire Wetgeving</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18"/>
              </w:rPr>
              <w:t>Wet/Regeling</w:t>
            </w:r>
          </w:p>
        </w:tc>
        <w:tc>
          <w:tcPr>
            <w:tcW w:type="dxa" w:w="3135"/>
            <w:shd w:fill="1a3a5c"/>
          </w:tcPr>
          <w:p>
            <w:pPr>
              <w:jc w:val="center"/>
            </w:pPr>
            <w:r/>
            <w:r>
              <w:rPr>
                <w:rFonts w:ascii="Calibri" w:hAnsi="Calibri"/>
                <w:b/>
                <w:color w:val="FFFFFF"/>
                <w:sz w:val="18"/>
              </w:rPr>
              <w:t>Referentie</w:t>
            </w:r>
          </w:p>
        </w:tc>
        <w:tc>
          <w:tcPr>
            <w:tcW w:type="dxa" w:w="3135"/>
            <w:shd w:fill="1a3a5c"/>
          </w:tcPr>
          <w:p>
            <w:pPr>
              <w:jc w:val="center"/>
            </w:pPr>
            <w:r/>
            <w:r>
              <w:rPr>
                <w:rFonts w:ascii="Calibri" w:hAnsi="Calibri"/>
                <w:b/>
                <w:color w:val="FFFFFF"/>
                <w:sz w:val="18"/>
              </w:rPr>
              <w:t>Toepassing</w:t>
            </w:r>
          </w:p>
        </w:tc>
      </w:tr>
      <w:tr>
        <w:tc>
          <w:tcPr>
            <w:tcW w:type="dxa" w:w="3135"/>
          </w:tcPr>
          <w:p>
            <w:pPr>
              <w:jc w:val="left"/>
            </w:pPr>
            <w:r/>
            <w:r>
              <w:rPr>
                <w:rFonts w:ascii="Calibri" w:hAnsi="Calibri"/>
                <w:b w:val="0"/>
                <w:color w:val="2C3E50"/>
                <w:sz w:val="18"/>
              </w:rPr>
              <w:t>Arbeidsomstandighedenwet</w:t>
            </w:r>
          </w:p>
        </w:tc>
        <w:tc>
          <w:tcPr>
            <w:tcW w:type="dxa" w:w="3135"/>
          </w:tcPr>
          <w:p>
            <w:pPr>
              <w:jc w:val="left"/>
            </w:pPr>
            <w:r/>
            <w:r>
              <w:rPr>
                <w:rFonts w:ascii="Calibri" w:hAnsi="Calibri"/>
                <w:b w:val="0"/>
                <w:color w:val="2C3E50"/>
                <w:sz w:val="18"/>
              </w:rPr>
              <w:t>Arbowet</w:t>
            </w:r>
          </w:p>
        </w:tc>
        <w:tc>
          <w:tcPr>
            <w:tcW w:type="dxa" w:w="3135"/>
          </w:tcPr>
          <w:p>
            <w:pPr>
              <w:jc w:val="left"/>
            </w:pPr>
            <w:r/>
            <w:r>
              <w:rPr>
                <w:rFonts w:ascii="Calibri" w:hAnsi="Calibri"/>
                <w:b w:val="0"/>
                <w:color w:val="2C3E50"/>
                <w:sz w:val="18"/>
              </w:rPr>
              <w:t>Kaderwet beroepsmatige blootstelling</w:t>
            </w:r>
          </w:p>
        </w:tc>
      </w:tr>
      <w:tr>
        <w:tc>
          <w:tcPr>
            <w:tcW w:type="dxa" w:w="3135"/>
          </w:tcPr>
          <w:p>
            <w:pPr>
              <w:jc w:val="left"/>
            </w:pPr>
            <w:r/>
            <w:r>
              <w:rPr>
                <w:rFonts w:ascii="Calibri" w:hAnsi="Calibri"/>
                <w:b w:val="0"/>
                <w:color w:val="2C3E50"/>
                <w:sz w:val="18"/>
              </w:rPr>
              <w:t>Arbobesluit Hoofdstuk 4 Afd. 2</w:t>
            </w:r>
          </w:p>
        </w:tc>
        <w:tc>
          <w:tcPr>
            <w:tcW w:type="dxa" w:w="3135"/>
          </w:tcPr>
          <w:p>
            <w:pPr>
              <w:jc w:val="left"/>
            </w:pPr>
            <w:r/>
            <w:r>
              <w:rPr>
                <w:rFonts w:ascii="Calibri" w:hAnsi="Calibri"/>
                <w:b w:val="0"/>
                <w:color w:val="2C3E50"/>
                <w:sz w:val="18"/>
              </w:rPr>
              <w:t>Art. 4.1-4.42</w:t>
            </w:r>
          </w:p>
        </w:tc>
        <w:tc>
          <w:tcPr>
            <w:tcW w:type="dxa" w:w="3135"/>
          </w:tcPr>
          <w:p>
            <w:pPr>
              <w:jc w:val="left"/>
            </w:pPr>
            <w:r/>
            <w:r>
              <w:rPr>
                <w:rFonts w:ascii="Calibri" w:hAnsi="Calibri"/>
                <w:b w:val="0"/>
                <w:color w:val="2C3E50"/>
                <w:sz w:val="18"/>
              </w:rPr>
              <w:t>Gevaarlijke stoffen — RI&amp;E plicht</w:t>
            </w:r>
          </w:p>
        </w:tc>
      </w:tr>
      <w:tr>
        <w:tc>
          <w:tcPr>
            <w:tcW w:type="dxa" w:w="3135"/>
          </w:tcPr>
          <w:p>
            <w:pPr>
              <w:jc w:val="left"/>
            </w:pPr>
            <w:r/>
            <w:r>
              <w:rPr>
                <w:rFonts w:ascii="Calibri" w:hAnsi="Calibri"/>
                <w:b w:val="0"/>
                <w:color w:val="2C3E50"/>
                <w:sz w:val="18"/>
              </w:rPr>
              <w:t>Arbobesluit Hoofdstuk 4 Afd. 5</w:t>
            </w:r>
          </w:p>
        </w:tc>
        <w:tc>
          <w:tcPr>
            <w:tcW w:type="dxa" w:w="3135"/>
          </w:tcPr>
          <w:p>
            <w:pPr>
              <w:jc w:val="left"/>
            </w:pPr>
            <w:r/>
            <w:r>
              <w:rPr>
                <w:rFonts w:ascii="Calibri" w:hAnsi="Calibri"/>
                <w:b w:val="0"/>
                <w:color w:val="2C3E50"/>
                <w:sz w:val="18"/>
              </w:rPr>
              <w:t>Art. 4.44-4.53c</w:t>
            </w:r>
          </w:p>
        </w:tc>
        <w:tc>
          <w:tcPr>
            <w:tcW w:type="dxa" w:w="3135"/>
          </w:tcPr>
          <w:p>
            <w:pPr>
              <w:jc w:val="left"/>
            </w:pPr>
            <w:r/>
            <w:r>
              <w:rPr>
                <w:rFonts w:ascii="Calibri" w:hAnsi="Calibri"/>
                <w:b w:val="0"/>
                <w:color w:val="2C3E50"/>
                <w:sz w:val="18"/>
              </w:rPr>
              <w:t>Asbestspecifieke eisen</w:t>
            </w:r>
          </w:p>
        </w:tc>
      </w:tr>
      <w:tr>
        <w:tc>
          <w:tcPr>
            <w:tcW w:type="dxa" w:w="3135"/>
          </w:tcPr>
          <w:p>
            <w:pPr>
              <w:jc w:val="left"/>
            </w:pPr>
            <w:r/>
            <w:r>
              <w:rPr>
                <w:rFonts w:ascii="Calibri" w:hAnsi="Calibri"/>
                <w:b w:val="0"/>
                <w:color w:val="2C3E50"/>
                <w:sz w:val="18"/>
              </w:rPr>
              <w:t>Arbeidsomstandighedenregeling</w:t>
            </w:r>
          </w:p>
        </w:tc>
        <w:tc>
          <w:tcPr>
            <w:tcW w:type="dxa" w:w="3135"/>
          </w:tcPr>
          <w:p>
            <w:pPr>
              <w:jc w:val="left"/>
            </w:pPr>
            <w:r/>
            <w:r>
              <w:rPr>
                <w:rFonts w:ascii="Calibri" w:hAnsi="Calibri"/>
                <w:b w:val="0"/>
                <w:color w:val="2C3E50"/>
                <w:sz w:val="18"/>
              </w:rPr>
              <w:t>Certificatieschema</w:t>
            </w:r>
          </w:p>
        </w:tc>
        <w:tc>
          <w:tcPr>
            <w:tcW w:type="dxa" w:w="3135"/>
          </w:tcPr>
          <w:p>
            <w:pPr>
              <w:jc w:val="left"/>
            </w:pPr>
            <w:r/>
            <w:r>
              <w:rPr>
                <w:rFonts w:ascii="Calibri" w:hAnsi="Calibri"/>
                <w:b w:val="0"/>
                <w:color w:val="2C3E50"/>
                <w:sz w:val="18"/>
              </w:rPr>
              <w:t>Procescertificaten Asbest</w:t>
            </w:r>
          </w:p>
        </w:tc>
      </w:tr>
      <w:tr>
        <w:tc>
          <w:tcPr>
            <w:tcW w:type="dxa" w:w="3135"/>
          </w:tcPr>
          <w:p>
            <w:pPr>
              <w:jc w:val="left"/>
            </w:pPr>
            <w:r/>
            <w:r>
              <w:rPr>
                <w:rFonts w:ascii="Calibri" w:hAnsi="Calibri"/>
                <w:b w:val="0"/>
                <w:color w:val="2C3E50"/>
                <w:sz w:val="18"/>
              </w:rPr>
              <w:t>Productenbesluit asbest</w:t>
            </w:r>
          </w:p>
        </w:tc>
        <w:tc>
          <w:tcPr>
            <w:tcW w:type="dxa" w:w="3135"/>
          </w:tcPr>
          <w:p>
            <w:pPr>
              <w:jc w:val="left"/>
            </w:pPr>
            <w:r/>
            <w:r>
              <w:rPr>
                <w:rFonts w:ascii="Calibri" w:hAnsi="Calibri"/>
                <w:b w:val="0"/>
                <w:color w:val="2C3E50"/>
                <w:sz w:val="18"/>
              </w:rPr>
              <w:t>—</w:t>
            </w:r>
          </w:p>
        </w:tc>
        <w:tc>
          <w:tcPr>
            <w:tcW w:type="dxa" w:w="3135"/>
          </w:tcPr>
          <w:p>
            <w:pPr>
              <w:jc w:val="left"/>
            </w:pPr>
            <w:r/>
            <w:r>
              <w:rPr>
                <w:rFonts w:ascii="Calibri" w:hAnsi="Calibri"/>
                <w:b w:val="0"/>
                <w:color w:val="2C3E50"/>
                <w:sz w:val="18"/>
              </w:rPr>
              <w:t>Etikettering asbesthoudende producten</w:t>
            </w:r>
          </w:p>
        </w:tc>
      </w:tr>
      <w:tr>
        <w:tc>
          <w:tcPr>
            <w:tcW w:type="dxa" w:w="3135"/>
          </w:tcPr>
          <w:p>
            <w:pPr>
              <w:jc w:val="left"/>
            </w:pPr>
            <w:r/>
            <w:r>
              <w:rPr>
                <w:rFonts w:ascii="Calibri" w:hAnsi="Calibri"/>
                <w:b w:val="0"/>
                <w:color w:val="2C3E50"/>
                <w:sz w:val="18"/>
              </w:rPr>
              <w:t>Asbestverwijderingsbesluit 2005</w:t>
            </w:r>
          </w:p>
        </w:tc>
        <w:tc>
          <w:tcPr>
            <w:tcW w:type="dxa" w:w="3135"/>
          </w:tcPr>
          <w:p>
            <w:pPr>
              <w:jc w:val="left"/>
            </w:pPr>
            <w:r/>
            <w:r>
              <w:rPr>
                <w:rFonts w:ascii="Calibri" w:hAnsi="Calibri"/>
                <w:b w:val="0"/>
                <w:color w:val="2C3E50"/>
                <w:sz w:val="18"/>
              </w:rPr>
              <w:t>—</w:t>
            </w:r>
          </w:p>
        </w:tc>
        <w:tc>
          <w:tcPr>
            <w:tcW w:type="dxa" w:w="3135"/>
          </w:tcPr>
          <w:p>
            <w:pPr>
              <w:jc w:val="left"/>
            </w:pPr>
            <w:r/>
            <w:r>
              <w:rPr>
                <w:rFonts w:ascii="Calibri" w:hAnsi="Calibri"/>
                <w:b w:val="0"/>
                <w:color w:val="2C3E50"/>
                <w:sz w:val="18"/>
              </w:rPr>
              <w:t>Milieuaspecten asbestverwijdering</w:t>
            </w:r>
          </w:p>
        </w:tc>
      </w:tr>
      <w:tr>
        <w:tc>
          <w:tcPr>
            <w:tcW w:type="dxa" w:w="3135"/>
          </w:tcPr>
          <w:p>
            <w:pPr>
              <w:jc w:val="left"/>
            </w:pPr>
            <w:r/>
            <w:r>
              <w:rPr>
                <w:rFonts w:ascii="Calibri" w:hAnsi="Calibri"/>
                <w:b w:val="0"/>
                <w:color w:val="2C3E50"/>
                <w:sz w:val="18"/>
              </w:rPr>
              <w:t>EG-richtlijn 1999/77/EG</w:t>
            </w:r>
          </w:p>
        </w:tc>
        <w:tc>
          <w:tcPr>
            <w:tcW w:type="dxa" w:w="3135"/>
          </w:tcPr>
          <w:p>
            <w:pPr>
              <w:jc w:val="left"/>
            </w:pPr>
            <w:r/>
            <w:r>
              <w:rPr>
                <w:rFonts w:ascii="Calibri" w:hAnsi="Calibri"/>
                <w:b w:val="0"/>
                <w:color w:val="2C3E50"/>
                <w:sz w:val="18"/>
              </w:rPr>
              <w:t>—</w:t>
            </w:r>
          </w:p>
        </w:tc>
        <w:tc>
          <w:tcPr>
            <w:tcW w:type="dxa" w:w="3135"/>
          </w:tcPr>
          <w:p>
            <w:pPr>
              <w:jc w:val="left"/>
            </w:pPr>
            <w:r/>
            <w:r>
              <w:rPr>
                <w:rFonts w:ascii="Calibri" w:hAnsi="Calibri"/>
                <w:b w:val="0"/>
                <w:color w:val="2C3E50"/>
                <w:sz w:val="18"/>
              </w:rPr>
              <w:t>EU-asbestverbod</w:t>
            </w:r>
          </w:p>
        </w:tc>
      </w:tr>
    </w:tbl>
    <w:p>
      <w:r>
        <w:rPr>
          <w:b/>
          <w:color w:val="1A3A5C"/>
          <w:sz w:val="26"/>
        </w:rPr>
        <w:t>3.2 Risicoklassen</w:t>
      </w:r>
    </w:p>
    <w:p>
      <w:r>
        <w:rPr>
          <w:b/>
          <w:i w:val="0"/>
          <w:color w:val="2C3E50"/>
          <w:sz w:val="22"/>
        </w:rPr>
        <w:t>Wettelijke grenswaarde: 2.000 vezels/m³ (Arbobesluit art. 4.44)</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1a3a5c"/>
          </w:tcPr>
          <w:p>
            <w:pPr>
              <w:jc w:val="left"/>
            </w:pPr>
            <w:r/>
            <w:r>
              <w:rPr>
                <w:rFonts w:ascii="Calibri" w:hAnsi="Calibri"/>
                <w:b/>
                <w:color w:val="FFFFFF"/>
                <w:sz w:val="18"/>
              </w:rPr>
              <w:t>Risicoklasse</w:t>
            </w:r>
          </w:p>
        </w:tc>
        <w:tc>
          <w:tcPr>
            <w:tcW w:type="dxa" w:w="2351"/>
            <w:shd w:fill="1a3a5c"/>
          </w:tcPr>
          <w:p>
            <w:pPr>
              <w:jc w:val="center"/>
            </w:pPr>
            <w:r/>
            <w:r>
              <w:rPr>
                <w:rFonts w:ascii="Calibri" w:hAnsi="Calibri"/>
                <w:b/>
                <w:color w:val="FFFFFF"/>
                <w:sz w:val="18"/>
              </w:rPr>
              <w:t>Voorwaarde</w:t>
            </w:r>
          </w:p>
        </w:tc>
        <w:tc>
          <w:tcPr>
            <w:tcW w:type="dxa" w:w="2351"/>
            <w:shd w:fill="1a3a5c"/>
          </w:tcPr>
          <w:p>
            <w:pPr>
              <w:jc w:val="center"/>
            </w:pPr>
            <w:r/>
            <w:r>
              <w:rPr>
                <w:rFonts w:ascii="Calibri" w:hAnsi="Calibri"/>
                <w:b/>
                <w:color w:val="FFFFFF"/>
                <w:sz w:val="18"/>
              </w:rPr>
              <w:t>Wetgeving</w:t>
            </w:r>
          </w:p>
        </w:tc>
        <w:tc>
          <w:tcPr>
            <w:tcW w:type="dxa" w:w="2351"/>
            <w:shd w:fill="1a3a5c"/>
          </w:tcPr>
          <w:p>
            <w:pPr>
              <w:jc w:val="center"/>
            </w:pPr>
            <w:r/>
            <w:r>
              <w:rPr>
                <w:rFonts w:ascii="Calibri" w:hAnsi="Calibri"/>
                <w:b/>
                <w:color w:val="FFFFFF"/>
                <w:sz w:val="18"/>
              </w:rPr>
              <w:t>Extra Eisen</w:t>
            </w:r>
          </w:p>
        </w:tc>
      </w:tr>
      <w:tr>
        <w:tc>
          <w:tcPr>
            <w:tcW w:type="dxa" w:w="2351"/>
          </w:tcPr>
          <w:p>
            <w:pPr>
              <w:jc w:val="left"/>
            </w:pPr>
            <w:r/>
            <w:r>
              <w:rPr>
                <w:rFonts w:ascii="Calibri" w:hAnsi="Calibri"/>
                <w:b w:val="0"/>
                <w:color w:val="2C3E50"/>
                <w:sz w:val="18"/>
              </w:rPr>
              <w:t>1</w:t>
            </w:r>
          </w:p>
        </w:tc>
        <w:tc>
          <w:tcPr>
            <w:tcW w:type="dxa" w:w="2351"/>
          </w:tcPr>
          <w:p>
            <w:pPr>
              <w:jc w:val="left"/>
            </w:pPr>
            <w:r/>
            <w:r>
              <w:rPr>
                <w:rFonts w:ascii="Calibri" w:hAnsi="Calibri"/>
                <w:b w:val="0"/>
                <w:color w:val="2C3E50"/>
                <w:sz w:val="18"/>
              </w:rPr>
              <w:t>&lt; 2.000 vezels/m³</w:t>
            </w:r>
          </w:p>
        </w:tc>
        <w:tc>
          <w:tcPr>
            <w:tcW w:type="dxa" w:w="2351"/>
          </w:tcPr>
          <w:p>
            <w:pPr>
              <w:jc w:val="left"/>
            </w:pPr>
            <w:r/>
            <w:r>
              <w:rPr>
                <w:rFonts w:ascii="Calibri" w:hAnsi="Calibri"/>
                <w:b w:val="0"/>
                <w:color w:val="2C3E50"/>
                <w:sz w:val="18"/>
              </w:rPr>
              <w:t>Art. 4.44-4.47c</w:t>
            </w:r>
          </w:p>
        </w:tc>
        <w:tc>
          <w:tcPr>
            <w:tcW w:type="dxa" w:w="2351"/>
          </w:tcPr>
          <w:p>
            <w:pPr>
              <w:jc w:val="left"/>
            </w:pPr>
            <w:r/>
            <w:r>
              <w:rPr>
                <w:rFonts w:ascii="Calibri" w:hAnsi="Calibri"/>
                <w:b w:val="0"/>
                <w:color w:val="2C3E50"/>
                <w:sz w:val="18"/>
              </w:rPr>
              <w:t>Standaard maatregelen, ALARA, DTA (verlicht)</w:t>
            </w:r>
          </w:p>
        </w:tc>
      </w:tr>
      <w:tr>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Chrysotiel &gt; 2.000 vezels/m³</w:t>
            </w:r>
          </w:p>
        </w:tc>
        <w:tc>
          <w:tcPr>
            <w:tcW w:type="dxa" w:w="2351"/>
          </w:tcPr>
          <w:p>
            <w:pPr>
              <w:jc w:val="left"/>
            </w:pPr>
            <w:r/>
            <w:r>
              <w:rPr>
                <w:rFonts w:ascii="Calibri" w:hAnsi="Calibri"/>
                <w:b w:val="0"/>
                <w:color w:val="2C3E50"/>
                <w:sz w:val="18"/>
              </w:rPr>
              <w:t>Art. 4.48-4.53</w:t>
            </w:r>
          </w:p>
        </w:tc>
        <w:tc>
          <w:tcPr>
            <w:tcW w:type="dxa" w:w="2351"/>
          </w:tcPr>
          <w:p>
            <w:pPr>
              <w:jc w:val="left"/>
            </w:pPr>
            <w:r/>
            <w:r>
              <w:rPr>
                <w:rFonts w:ascii="Calibri" w:hAnsi="Calibri"/>
                <w:b w:val="0"/>
                <w:color w:val="2C3E50"/>
                <w:sz w:val="18"/>
              </w:rPr>
              <w:t>Gecertificeerd bedrijf, DTA, werkplan, P3, NEN 2990</w:t>
            </w:r>
          </w:p>
        </w:tc>
      </w:tr>
      <w:tr>
        <w:tc>
          <w:tcPr>
            <w:tcW w:type="dxa" w:w="2351"/>
          </w:tcPr>
          <w:p>
            <w:pPr>
              <w:jc w:val="left"/>
            </w:pPr>
            <w:r/>
            <w:r>
              <w:rPr>
                <w:rFonts w:ascii="Calibri" w:hAnsi="Calibri"/>
                <w:b w:val="0"/>
                <w:color w:val="2C3E50"/>
                <w:sz w:val="18"/>
              </w:rPr>
              <w:t>2A</w:t>
            </w:r>
          </w:p>
        </w:tc>
        <w:tc>
          <w:tcPr>
            <w:tcW w:type="dxa" w:w="2351"/>
          </w:tcPr>
          <w:p>
            <w:pPr>
              <w:jc w:val="left"/>
            </w:pPr>
            <w:r/>
            <w:r>
              <w:rPr>
                <w:rFonts w:ascii="Calibri" w:hAnsi="Calibri"/>
                <w:b w:val="0"/>
                <w:color w:val="2C3E50"/>
                <w:sz w:val="18"/>
              </w:rPr>
              <w:t>Amfibool &gt; 2.000 vezels/m³</w:t>
            </w:r>
          </w:p>
        </w:tc>
        <w:tc>
          <w:tcPr>
            <w:tcW w:type="dxa" w:w="2351"/>
          </w:tcPr>
          <w:p>
            <w:pPr>
              <w:jc w:val="left"/>
            </w:pPr>
            <w:r/>
            <w:r>
              <w:rPr>
                <w:rFonts w:ascii="Calibri" w:hAnsi="Calibri"/>
                <w:b w:val="0"/>
                <w:color w:val="2C3E50"/>
                <w:sz w:val="18"/>
              </w:rPr>
              <w:t>Art. 4.53a-c</w:t>
            </w:r>
          </w:p>
        </w:tc>
        <w:tc>
          <w:tcPr>
            <w:tcW w:type="dxa" w:w="2351"/>
          </w:tcPr>
          <w:p>
            <w:pPr>
              <w:jc w:val="left"/>
            </w:pPr>
            <w:r/>
            <w:r>
              <w:rPr>
                <w:rFonts w:ascii="Calibri" w:hAnsi="Calibri"/>
                <w:b w:val="0"/>
                <w:color w:val="2C3E50"/>
                <w:sz w:val="18"/>
              </w:rPr>
              <w:t>Als klasse 2 + verzwaarde eindbeoordeling (EM)</w:t>
            </w:r>
          </w:p>
        </w:tc>
      </w:tr>
    </w:tbl>
    <w:p>
      <w:r>
        <w:rPr>
          <w:b/>
          <w:color w:val="1A3A5C"/>
          <w:sz w:val="26"/>
        </w:rPr>
        <w:t>3.3 Certificeringseisen</w:t>
      </w:r>
    </w:p>
    <w:tbl>
      <w:tblPr>
        <w:tblStyle w:val="TableGrid"/>
        <w:tblW w:type="auto" w:w="0"/>
        <w:tblLook w:firstColumn="1" w:firstRow="1" w:lastColumn="0" w:lastRow="0" w:noHBand="0" w:noVBand="1" w:val="04A0"/>
      </w:tblPr>
      <w:tblGrid>
        <w:gridCol w:w="3135"/>
        <w:gridCol w:w="3135"/>
        <w:gridCol w:w="3135"/>
      </w:tblGrid>
      <w:tr>
        <w:tc>
          <w:tcPr>
            <w:tcW w:type="dxa" w:w="3135"/>
            <w:shd w:fill="1a3a5c"/>
          </w:tcPr>
          <w:p>
            <w:pPr>
              <w:jc w:val="left"/>
            </w:pPr>
            <w:r/>
            <w:r>
              <w:rPr>
                <w:rFonts w:ascii="Calibri" w:hAnsi="Calibri"/>
                <w:b/>
                <w:color w:val="FFFFFF"/>
                <w:sz w:val="18"/>
              </w:rPr>
              <w:t>Certificaat</w:t>
            </w:r>
          </w:p>
        </w:tc>
        <w:tc>
          <w:tcPr>
            <w:tcW w:type="dxa" w:w="3135"/>
            <w:shd w:fill="1a3a5c"/>
          </w:tcPr>
          <w:p>
            <w:pPr>
              <w:jc w:val="center"/>
            </w:pPr>
            <w:r/>
            <w:r>
              <w:rPr>
                <w:rFonts w:ascii="Calibri" w:hAnsi="Calibri"/>
                <w:b/>
                <w:color w:val="FFFFFF"/>
                <w:sz w:val="18"/>
              </w:rPr>
              <w:t>Code</w:t>
            </w:r>
          </w:p>
        </w:tc>
        <w:tc>
          <w:tcPr>
            <w:tcW w:type="dxa" w:w="3135"/>
            <w:shd w:fill="1a3a5c"/>
          </w:tcPr>
          <w:p>
            <w:pPr>
              <w:jc w:val="center"/>
            </w:pPr>
            <w:r/>
            <w:r>
              <w:rPr>
                <w:rFonts w:ascii="Calibri" w:hAnsi="Calibri"/>
                <w:b/>
                <w:color w:val="FFFFFF"/>
                <w:sz w:val="18"/>
              </w:rPr>
              <w:t>Rol</w:t>
            </w:r>
          </w:p>
        </w:tc>
      </w:tr>
      <w:tr>
        <w:tc>
          <w:tcPr>
            <w:tcW w:type="dxa" w:w="3135"/>
          </w:tcPr>
          <w:p>
            <w:pPr>
              <w:jc w:val="left"/>
            </w:pPr>
            <w:r/>
            <w:r>
              <w:rPr>
                <w:rFonts w:ascii="Calibri" w:hAnsi="Calibri"/>
                <w:b w:val="0"/>
                <w:color w:val="2C3E50"/>
                <w:sz w:val="18"/>
              </w:rPr>
              <w:t>DTA — Deskundig Toezichthouder Asbestsloop</w:t>
            </w:r>
          </w:p>
        </w:tc>
        <w:tc>
          <w:tcPr>
            <w:tcW w:type="dxa" w:w="3135"/>
          </w:tcPr>
          <w:p>
            <w:pPr>
              <w:jc w:val="left"/>
            </w:pPr>
            <w:r/>
            <w:r>
              <w:rPr>
                <w:rFonts w:ascii="Calibri" w:hAnsi="Calibri"/>
                <w:b w:val="0"/>
                <w:color w:val="2C3E50"/>
                <w:sz w:val="18"/>
              </w:rPr>
              <w:t>SC-510</w:t>
            </w:r>
          </w:p>
        </w:tc>
        <w:tc>
          <w:tcPr>
            <w:tcW w:type="dxa" w:w="3135"/>
          </w:tcPr>
          <w:p>
            <w:pPr>
              <w:jc w:val="left"/>
            </w:pPr>
            <w:r/>
            <w:r>
              <w:rPr>
                <w:rFonts w:ascii="Calibri" w:hAnsi="Calibri"/>
                <w:b w:val="0"/>
                <w:color w:val="2C3E50"/>
                <w:sz w:val="18"/>
              </w:rPr>
              <w:t>Toezicht alle asbestverwijdering</w:t>
            </w:r>
          </w:p>
        </w:tc>
      </w:tr>
      <w:tr>
        <w:tc>
          <w:tcPr>
            <w:tcW w:type="dxa" w:w="3135"/>
          </w:tcPr>
          <w:p>
            <w:pPr>
              <w:jc w:val="left"/>
            </w:pPr>
            <w:r/>
            <w:r>
              <w:rPr>
                <w:rFonts w:ascii="Calibri" w:hAnsi="Calibri"/>
                <w:b w:val="0"/>
                <w:color w:val="2C3E50"/>
                <w:sz w:val="18"/>
              </w:rPr>
              <w:t>DAV-1 / DAV-2 — Deskundig Asbestverwijderaar</w:t>
            </w:r>
          </w:p>
        </w:tc>
        <w:tc>
          <w:tcPr>
            <w:tcW w:type="dxa" w:w="3135"/>
          </w:tcPr>
          <w:p>
            <w:pPr>
              <w:jc w:val="left"/>
            </w:pPr>
            <w:r/>
            <w:r>
              <w:rPr>
                <w:rFonts w:ascii="Calibri" w:hAnsi="Calibri"/>
                <w:b w:val="0"/>
                <w:color w:val="2C3E50"/>
                <w:sz w:val="18"/>
              </w:rPr>
              <w:t>SC-520</w:t>
            </w:r>
          </w:p>
        </w:tc>
        <w:tc>
          <w:tcPr>
            <w:tcW w:type="dxa" w:w="3135"/>
          </w:tcPr>
          <w:p>
            <w:pPr>
              <w:jc w:val="left"/>
            </w:pPr>
            <w:r/>
            <w:r>
              <w:rPr>
                <w:rFonts w:ascii="Calibri" w:hAnsi="Calibri"/>
                <w:b w:val="0"/>
                <w:color w:val="2C3E50"/>
                <w:sz w:val="18"/>
              </w:rPr>
              <w:t>Uitvoering risicoklasse 2/2A</w:t>
            </w:r>
          </w:p>
        </w:tc>
      </w:tr>
      <w:tr>
        <w:tc>
          <w:tcPr>
            <w:tcW w:type="dxa" w:w="3135"/>
          </w:tcPr>
          <w:p>
            <w:pPr>
              <w:jc w:val="left"/>
            </w:pPr>
            <w:r/>
            <w:r>
              <w:rPr>
                <w:rFonts w:ascii="Calibri" w:hAnsi="Calibri"/>
                <w:b w:val="0"/>
                <w:color w:val="2C3E50"/>
                <w:sz w:val="18"/>
              </w:rPr>
              <w:t>DIA — Deskundig Inventariseerder Asbest</w:t>
            </w:r>
          </w:p>
        </w:tc>
        <w:tc>
          <w:tcPr>
            <w:tcW w:type="dxa" w:w="3135"/>
          </w:tcPr>
          <w:p>
            <w:pPr>
              <w:jc w:val="left"/>
            </w:pPr>
            <w:r/>
            <w:r>
              <w:rPr>
                <w:rFonts w:ascii="Calibri" w:hAnsi="Calibri"/>
                <w:b w:val="0"/>
                <w:color w:val="2C3E50"/>
                <w:sz w:val="18"/>
              </w:rPr>
              <w:t>SC-560</w:t>
            </w:r>
          </w:p>
        </w:tc>
        <w:tc>
          <w:tcPr>
            <w:tcW w:type="dxa" w:w="3135"/>
          </w:tcPr>
          <w:p>
            <w:pPr>
              <w:jc w:val="left"/>
            </w:pPr>
            <w:r/>
            <w:r>
              <w:rPr>
                <w:rFonts w:ascii="Calibri" w:hAnsi="Calibri"/>
                <w:b w:val="0"/>
                <w:color w:val="2C3E50"/>
                <w:sz w:val="18"/>
              </w:rPr>
              <w:t>Asbestinventarisatie</w:t>
            </w:r>
          </w:p>
        </w:tc>
      </w:tr>
      <w:tr>
        <w:tc>
          <w:tcPr>
            <w:tcW w:type="dxa" w:w="3135"/>
          </w:tcPr>
          <w:p>
            <w:pPr>
              <w:jc w:val="left"/>
            </w:pPr>
            <w:r/>
            <w:r>
              <w:rPr>
                <w:rFonts w:ascii="Calibri" w:hAnsi="Calibri"/>
                <w:b w:val="0"/>
                <w:color w:val="2C3E50"/>
                <w:sz w:val="18"/>
              </w:rPr>
              <w:t>CI-auditor Asbest</w:t>
            </w:r>
          </w:p>
        </w:tc>
        <w:tc>
          <w:tcPr>
            <w:tcW w:type="dxa" w:w="3135"/>
          </w:tcPr>
          <w:p>
            <w:pPr>
              <w:jc w:val="left"/>
            </w:pPr>
            <w:r/>
            <w:r>
              <w:rPr>
                <w:rFonts w:ascii="Calibri" w:hAnsi="Calibri"/>
                <w:b w:val="0"/>
                <w:color w:val="2C3E50"/>
                <w:sz w:val="18"/>
              </w:rPr>
              <w:t>SC-550</w:t>
            </w:r>
          </w:p>
        </w:tc>
        <w:tc>
          <w:tcPr>
            <w:tcW w:type="dxa" w:w="3135"/>
          </w:tcPr>
          <w:p>
            <w:pPr>
              <w:jc w:val="left"/>
            </w:pPr>
            <w:r/>
            <w:r>
              <w:rPr>
                <w:rFonts w:ascii="Calibri" w:hAnsi="Calibri"/>
                <w:b w:val="0"/>
                <w:color w:val="2C3E50"/>
                <w:sz w:val="18"/>
              </w:rPr>
              <w:t>Audits asbestprocessen</w:t>
            </w:r>
          </w:p>
        </w:tc>
      </w:tr>
    </w:tbl>
    <w:p>
      <w:r>
        <w:rPr>
          <w:b/>
          <w:color w:val="1A3A5C"/>
          <w:sz w:val="26"/>
        </w:rPr>
        <w:t>3.4 Verplichte Processtappen</w:t>
      </w:r>
    </w:p>
    <w:p>
      <w:r>
        <w:rPr>
          <w:b w:val="0"/>
          <w:i w:val="0"/>
          <w:color w:val="2C3E50"/>
          <w:sz w:val="22"/>
        </w:rPr>
        <w:t>1. Asbestinventarisatie door gecertificeerd bedrijf (DIA)</w:t>
      </w:r>
    </w:p>
    <w:p>
      <w:r>
        <w:rPr>
          <w:b w:val="0"/>
          <w:i w:val="0"/>
          <w:color w:val="2C3E50"/>
          <w:sz w:val="22"/>
        </w:rPr>
        <w:t>2. Risicoklassebepaling via SMA-rt (StoffenManager Asbest)</w:t>
      </w:r>
    </w:p>
    <w:p>
      <w:r>
        <w:rPr>
          <w:b w:val="0"/>
          <w:i w:val="0"/>
          <w:color w:val="2C3E50"/>
          <w:sz w:val="22"/>
        </w:rPr>
        <w:t>3. LAVS-melding aan Nederlandse Arbeidsinspectie (vóór aanvang)</w:t>
      </w:r>
    </w:p>
    <w:p>
      <w:r>
        <w:rPr>
          <w:b w:val="0"/>
          <w:i w:val="0"/>
          <w:color w:val="2C3E50"/>
          <w:sz w:val="22"/>
        </w:rPr>
        <w:t>4. Werkplan (schriftelijk, aanwezig op locatie)</w:t>
      </w:r>
    </w:p>
    <w:p>
      <w:r>
        <w:rPr>
          <w:b w:val="0"/>
          <w:i w:val="0"/>
          <w:color w:val="2C3E50"/>
          <w:sz w:val="22"/>
        </w:rPr>
        <w:t>5. DTA-toezicht tijdens uitvoering</w:t>
      </w:r>
    </w:p>
    <w:p>
      <w:r>
        <w:rPr>
          <w:b w:val="0"/>
          <w:i w:val="0"/>
          <w:color w:val="2C3E50"/>
          <w:sz w:val="22"/>
        </w:rPr>
        <w:t>6. Eindbeoordeling: visueel + NEN 2990 luchtmetingen (risicoklasse 2/2A binnen)</w:t>
      </w:r>
    </w:p>
    <w:p>
      <w:r>
        <w:rPr>
          <w:b w:val="0"/>
          <w:i w:val="0"/>
          <w:color w:val="2C3E50"/>
          <w:sz w:val="22"/>
        </w:rPr>
        <w:t>7. Arbeidsgezondheidskundig onderzoek aanbieden aan werknemers</w:t>
      </w:r>
    </w:p>
    <w:p>
      <w:r>
        <w:rPr>
          <w:b w:val="0"/>
          <w:i w:val="0"/>
          <w:color w:val="2C3E50"/>
          <w:sz w:val="22"/>
        </w:rPr>
        <w:t>8. Blootstellingsregistratie in persoonlijk dossier (40 jaar bewaren)</w:t>
      </w:r>
    </w:p>
    <w:p>
      <w:r>
        <w:rPr>
          <w:b/>
          <w:color w:val="1A3A5C"/>
          <w:sz w:val="32"/>
        </w:rPr>
        <w:t>4. Toetsing Koole Procedure 003.059</w:t>
      </w:r>
    </w:p>
    <w:p>
      <w:r>
        <w:rPr>
          <w:b/>
          <w:color w:val="1A3A5C"/>
          <w:sz w:val="26"/>
        </w:rPr>
        <w:t>4.1 Document</w:t>
      </w:r>
    </w:p>
    <w:p>
      <w:r>
        <w:rPr>
          <w:b w:val="0"/>
          <w:i w:val="0"/>
          <w:color w:val="2C3E50"/>
          <w:sz w:val="22"/>
        </w:rPr>
        <w:t>Titel: 003.059 Asbestos Removal Procedure</w:t>
      </w:r>
    </w:p>
    <w:p>
      <w:r>
        <w:rPr>
          <w:b w:val="0"/>
          <w:i w:val="0"/>
          <w:color w:val="2C3E50"/>
          <w:sz w:val="22"/>
        </w:rPr>
        <w:t>Revisie: 1 (19 mei 2026)</w:t>
      </w:r>
    </w:p>
    <w:p>
      <w:r>
        <w:rPr>
          <w:b w:val="0"/>
          <w:i w:val="0"/>
          <w:color w:val="2C3E50"/>
          <w:sz w:val="22"/>
        </w:rPr>
        <w:t>Goedkeuring: R. Versluis / D. Wijngaard / W. van Lingen</w:t>
      </w:r>
    </w:p>
    <w:p>
      <w:r>
        <w:rPr>
          <w:b w:val="0"/>
          <w:i w:val="0"/>
          <w:color w:val="2C3E50"/>
          <w:sz w:val="22"/>
        </w:rPr>
        <w:t>Omvang: 17 pagina's (inclusief 3 bijlagen)</w:t>
      </w:r>
    </w:p>
    <w:p>
      <w:r>
        <w:rPr>
          <w:b/>
          <w:color w:val="1A3A5C"/>
          <w:sz w:val="26"/>
        </w:rPr>
        <w:t>4.2 Kritieke Tekortkomingen (Samenvatting)</w:t>
      </w:r>
    </w:p>
    <w:p>
      <w:r>
        <w:rPr>
          <w:b w:val="0"/>
          <w:i w:val="0"/>
          <w:color w:val="2C3E50"/>
          <w:sz w:val="22"/>
        </w:rPr>
        <w:t>1. Geen koppeling met Nederlandse risicoklassen (1/2/2A)</w:t>
      </w:r>
    </w:p>
    <w:p>
      <w:r>
        <w:rPr>
          <w:b w:val="0"/>
          <w:i w:val="0"/>
          <w:color w:val="2C3E50"/>
          <w:sz w:val="22"/>
        </w:rPr>
        <w:t>2. SMA-rt niet voorgeschreven voor risicoklassebepaling</w:t>
      </w:r>
    </w:p>
    <w:p>
      <w:r>
        <w:rPr>
          <w:b w:val="0"/>
          <w:i w:val="0"/>
          <w:color w:val="2C3E50"/>
          <w:sz w:val="22"/>
        </w:rPr>
        <w:t>3. LAVS-melding niet opgenomen</w:t>
      </w:r>
    </w:p>
    <w:p>
      <w:r>
        <w:rPr>
          <w:b w:val="0"/>
          <w:i w:val="0"/>
          <w:color w:val="2C3E50"/>
          <w:sz w:val="22"/>
        </w:rPr>
        <w:t>4. Certificeringseisen (procescertificaat, DTA, DAV) niet gespecificeerd</w:t>
      </w:r>
    </w:p>
    <w:p>
      <w:r>
        <w:rPr>
          <w:b w:val="0"/>
          <w:i w:val="0"/>
          <w:color w:val="2C3E50"/>
          <w:sz w:val="22"/>
        </w:rPr>
        <w:t>5. Wettelijke grenswaarde (2.000 vezels/m³) niet opgenomen</w:t>
      </w:r>
    </w:p>
    <w:p>
      <w:r>
        <w:rPr>
          <w:b w:val="0"/>
          <w:i w:val="0"/>
          <w:color w:val="2C3E50"/>
          <w:sz w:val="22"/>
        </w:rPr>
        <w:t>6. Arbeidsgezondheidskundig onderzoek niet opgenomen</w:t>
      </w:r>
    </w:p>
    <w:p>
      <w:r>
        <w:rPr>
          <w:b w:val="0"/>
          <w:i w:val="0"/>
          <w:color w:val="2C3E50"/>
          <w:sz w:val="22"/>
        </w:rPr>
        <w:t>7. Blootstellingsregistratie niet opgenomen</w:t>
      </w:r>
    </w:p>
    <w:p>
      <w:r>
        <w:rPr>
          <w:b w:val="0"/>
          <w:i w:val="0"/>
          <w:color w:val="2C3E50"/>
          <w:sz w:val="22"/>
        </w:rPr>
        <w:t>8. Eindbeoordeling niet gespecificeerd (NEN 2990, accreditatie)</w:t>
      </w:r>
    </w:p>
    <w:p>
      <w:r>
        <w:rPr>
          <w:b w:val="0"/>
          <w:i w:val="0"/>
          <w:color w:val="2C3E50"/>
          <w:sz w:val="22"/>
        </w:rPr>
        <w:t>9. Batteryspray methode niet VIP-goedgekeurd (verificatie nodig)</w:t>
      </w:r>
    </w:p>
    <w:p>
      <w:r>
        <w:rPr>
          <w:b/>
          <w:color w:val="1A3A5C"/>
          <w:sz w:val="32"/>
        </w:rPr>
        <w:t>5. Bronnenlijst</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1a3a5c"/>
          </w:tcPr>
          <w:p>
            <w:pPr>
              <w:jc w:val="left"/>
            </w:pPr>
            <w:r/>
            <w:r>
              <w:rPr>
                <w:rFonts w:ascii="Calibri" w:hAnsi="Calibri"/>
                <w:b/>
                <w:color w:val="FFFFFF"/>
                <w:sz w:val="18"/>
              </w:rPr>
              <w:t>#</w:t>
            </w:r>
          </w:p>
        </w:tc>
        <w:tc>
          <w:tcPr>
            <w:tcW w:type="dxa" w:w="2351"/>
            <w:shd w:fill="1a3a5c"/>
          </w:tcPr>
          <w:p>
            <w:pPr>
              <w:jc w:val="center"/>
            </w:pPr>
            <w:r/>
            <w:r>
              <w:rPr>
                <w:rFonts w:ascii="Calibri" w:hAnsi="Calibri"/>
                <w:b/>
                <w:color w:val="FFFFFF"/>
                <w:sz w:val="18"/>
              </w:rPr>
              <w:t>Bron</w:t>
            </w:r>
          </w:p>
        </w:tc>
        <w:tc>
          <w:tcPr>
            <w:tcW w:type="dxa" w:w="2351"/>
            <w:shd w:fill="1a3a5c"/>
          </w:tcPr>
          <w:p>
            <w:pPr>
              <w:jc w:val="center"/>
            </w:pPr>
            <w:r/>
            <w:r>
              <w:rPr>
                <w:rFonts w:ascii="Calibri" w:hAnsi="Calibri"/>
                <w:b/>
                <w:color w:val="FFFFFF"/>
                <w:sz w:val="18"/>
              </w:rPr>
              <w:t>Tier</w:t>
            </w:r>
          </w:p>
        </w:tc>
        <w:tc>
          <w:tcPr>
            <w:tcW w:type="dxa" w:w="2351"/>
            <w:shd w:fill="1a3a5c"/>
          </w:tcPr>
          <w:p>
            <w:pPr>
              <w:jc w:val="center"/>
            </w:pPr>
            <w:r/>
            <w:r>
              <w:rPr>
                <w:rFonts w:ascii="Calibri" w:hAnsi="Calibri"/>
                <w:b/>
                <w:color w:val="FFFFFF"/>
                <w:sz w:val="18"/>
              </w:rPr>
              <w:t>Datum</w:t>
            </w:r>
          </w:p>
        </w:tc>
      </w:tr>
      <w:tr>
        <w:tc>
          <w:tcPr>
            <w:tcW w:type="dxa" w:w="2351"/>
          </w:tcPr>
          <w:p>
            <w:pPr>
              <w:jc w:val="left"/>
            </w:pPr>
            <w:r/>
            <w:r>
              <w:rPr>
                <w:rFonts w:ascii="Calibri" w:hAnsi="Calibri"/>
                <w:b w:val="0"/>
                <w:color w:val="2C3E50"/>
                <w:sz w:val="18"/>
              </w:rPr>
              <w:t>1</w:t>
            </w:r>
          </w:p>
        </w:tc>
        <w:tc>
          <w:tcPr>
            <w:tcW w:type="dxa" w:w="2351"/>
          </w:tcPr>
          <w:p>
            <w:pPr>
              <w:jc w:val="left"/>
            </w:pPr>
            <w:r/>
            <w:r>
              <w:rPr>
                <w:rFonts w:ascii="Calibri" w:hAnsi="Calibri"/>
                <w:b w:val="0"/>
                <w:color w:val="2C3E50"/>
                <w:sz w:val="18"/>
              </w:rPr>
              <w:t>Koole 003.059 Asbestos Removal Procedure Rev 1</w:t>
            </w:r>
          </w:p>
        </w:tc>
        <w:tc>
          <w:tcPr>
            <w:tcW w:type="dxa" w:w="2351"/>
          </w:tcPr>
          <w:p>
            <w:pPr>
              <w:jc w:val="left"/>
            </w:pPr>
            <w:r/>
            <w:r>
              <w:rPr>
                <w:rFonts w:ascii="Calibri" w:hAnsi="Calibri"/>
                <w:b w:val="0"/>
                <w:color w:val="2C3E50"/>
                <w:sz w:val="18"/>
              </w:rPr>
              <w:t>1</w:t>
            </w:r>
          </w:p>
        </w:tc>
        <w:tc>
          <w:tcPr>
            <w:tcW w:type="dxa" w:w="2351"/>
          </w:tcPr>
          <w:p>
            <w:pPr>
              <w:jc w:val="left"/>
            </w:pPr>
            <w:r/>
            <w:r>
              <w:rPr>
                <w:rFonts w:ascii="Calibri" w:hAnsi="Calibri"/>
                <w:b w:val="0"/>
                <w:color w:val="2C3E50"/>
                <w:sz w:val="18"/>
              </w:rPr>
              <w:t>19 mei 2026</w:t>
            </w:r>
          </w:p>
        </w:tc>
      </w:tr>
      <w:tr>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AI-blad Asbest (AI-03) — Sdu Fonds</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juli 2023</w:t>
            </w:r>
          </w:p>
        </w:tc>
      </w:tr>
      <w:tr>
        <w:tc>
          <w:tcPr>
            <w:tcW w:type="dxa" w:w="2351"/>
          </w:tcPr>
          <w:p>
            <w:pPr>
              <w:jc w:val="left"/>
            </w:pPr>
            <w:r/>
            <w:r>
              <w:rPr>
                <w:rFonts w:ascii="Calibri" w:hAnsi="Calibri"/>
                <w:b w:val="0"/>
                <w:color w:val="2C3E50"/>
                <w:sz w:val="18"/>
              </w:rPr>
              <w:t>3</w:t>
            </w:r>
          </w:p>
        </w:tc>
        <w:tc>
          <w:tcPr>
            <w:tcW w:type="dxa" w:w="2351"/>
          </w:tcPr>
          <w:p>
            <w:pPr>
              <w:jc w:val="left"/>
            </w:pPr>
            <w:r/>
            <w:r>
              <w:rPr>
                <w:rFonts w:ascii="Calibri" w:hAnsi="Calibri"/>
                <w:b w:val="0"/>
                <w:color w:val="2C3E50"/>
                <w:sz w:val="18"/>
              </w:rPr>
              <w:t>Arbobesluit art. 4.44-4.53c</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4</w:t>
            </w:r>
          </w:p>
        </w:tc>
        <w:tc>
          <w:tcPr>
            <w:tcW w:type="dxa" w:w="2351"/>
          </w:tcPr>
          <w:p>
            <w:pPr>
              <w:jc w:val="left"/>
            </w:pPr>
            <w:r/>
            <w:r>
              <w:rPr>
                <w:rFonts w:ascii="Calibri" w:hAnsi="Calibri"/>
                <w:b w:val="0"/>
                <w:color w:val="2C3E50"/>
                <w:sz w:val="18"/>
              </w:rPr>
              <w:t>Arbeidsomstandighedenregeling — Certificatieschema</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5</w:t>
            </w:r>
          </w:p>
        </w:tc>
        <w:tc>
          <w:tcPr>
            <w:tcW w:type="dxa" w:w="2351"/>
          </w:tcPr>
          <w:p>
            <w:pPr>
              <w:jc w:val="left"/>
            </w:pPr>
            <w:r/>
            <w:r>
              <w:rPr>
                <w:rFonts w:ascii="Calibri" w:hAnsi="Calibri"/>
                <w:b w:val="0"/>
                <w:color w:val="2C3E50"/>
                <w:sz w:val="18"/>
              </w:rPr>
              <w:t>Productenbesluit asbest</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6</w:t>
            </w:r>
          </w:p>
        </w:tc>
        <w:tc>
          <w:tcPr>
            <w:tcW w:type="dxa" w:w="2351"/>
          </w:tcPr>
          <w:p>
            <w:pPr>
              <w:jc w:val="left"/>
            </w:pPr>
            <w:r/>
            <w:r>
              <w:rPr>
                <w:rFonts w:ascii="Calibri" w:hAnsi="Calibri"/>
                <w:b w:val="0"/>
                <w:color w:val="2C3E50"/>
                <w:sz w:val="18"/>
              </w:rPr>
              <w:t>Asbestverwijderingsbesluit 2005</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7</w:t>
            </w:r>
          </w:p>
        </w:tc>
        <w:tc>
          <w:tcPr>
            <w:tcW w:type="dxa" w:w="2351"/>
          </w:tcPr>
          <w:p>
            <w:pPr>
              <w:jc w:val="left"/>
            </w:pPr>
            <w:r/>
            <w:r>
              <w:rPr>
                <w:rFonts w:ascii="Calibri" w:hAnsi="Calibri"/>
                <w:b w:val="0"/>
                <w:color w:val="2C3E50"/>
                <w:sz w:val="18"/>
              </w:rPr>
              <w:t>EG-richtlijn 1999/77</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1999</w:t>
            </w:r>
          </w:p>
        </w:tc>
      </w:tr>
      <w:tr>
        <w:tc>
          <w:tcPr>
            <w:tcW w:type="dxa" w:w="2351"/>
          </w:tcPr>
          <w:p>
            <w:pPr>
              <w:jc w:val="left"/>
            </w:pPr>
            <w:r/>
            <w:r>
              <w:rPr>
                <w:rFonts w:ascii="Calibri" w:hAnsi="Calibri"/>
                <w:b w:val="0"/>
                <w:color w:val="2C3E50"/>
                <w:sz w:val="18"/>
              </w:rPr>
              <w:t>8</w:t>
            </w:r>
          </w:p>
        </w:tc>
        <w:tc>
          <w:tcPr>
            <w:tcW w:type="dxa" w:w="2351"/>
          </w:tcPr>
          <w:p>
            <w:pPr>
              <w:jc w:val="left"/>
            </w:pPr>
            <w:r/>
            <w:r>
              <w:rPr>
                <w:rFonts w:ascii="Calibri" w:hAnsi="Calibri"/>
                <w:b w:val="0"/>
                <w:color w:val="2C3E50"/>
                <w:sz w:val="18"/>
              </w:rPr>
              <w:t>NEN 2990</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9</w:t>
            </w:r>
          </w:p>
        </w:tc>
        <w:tc>
          <w:tcPr>
            <w:tcW w:type="dxa" w:w="2351"/>
          </w:tcPr>
          <w:p>
            <w:pPr>
              <w:jc w:val="left"/>
            </w:pPr>
            <w:r/>
            <w:r>
              <w:rPr>
                <w:rFonts w:ascii="Calibri" w:hAnsi="Calibri"/>
                <w:b w:val="0"/>
                <w:color w:val="2C3E50"/>
                <w:sz w:val="18"/>
              </w:rPr>
              <w:t>SCi-548 protocol</w:t>
            </w:r>
          </w:p>
        </w:tc>
        <w:tc>
          <w:tcPr>
            <w:tcW w:type="dxa" w:w="2351"/>
          </w:tcPr>
          <w:p>
            <w:pPr>
              <w:jc w:val="left"/>
            </w:pPr>
            <w:r/>
            <w:r>
              <w:rPr>
                <w:rFonts w:ascii="Calibri" w:hAnsi="Calibri"/>
                <w:b w:val="0"/>
                <w:color w:val="2C3E50"/>
                <w:sz w:val="18"/>
              </w:rPr>
              <w:t>2</w:t>
            </w:r>
          </w:p>
        </w:tc>
        <w:tc>
          <w:tcPr>
            <w:tcW w:type="dxa" w:w="2351"/>
          </w:tcPr>
          <w:p>
            <w:pPr>
              <w:jc w:val="left"/>
            </w:pPr>
            <w:r/>
            <w:r>
              <w:rPr>
                <w:rFonts w:ascii="Calibri" w:hAnsi="Calibri"/>
                <w:b w:val="0"/>
                <w:color w:val="2C3E50"/>
                <w:sz w:val="18"/>
              </w:rPr>
              <w:t>actueel</w:t>
            </w:r>
          </w:p>
        </w:tc>
      </w:tr>
      <w:tr>
        <w:tc>
          <w:tcPr>
            <w:tcW w:type="dxa" w:w="2351"/>
          </w:tcPr>
          <w:p>
            <w:pPr>
              <w:jc w:val="left"/>
            </w:pPr>
            <w:r/>
            <w:r>
              <w:rPr>
                <w:rFonts w:ascii="Calibri" w:hAnsi="Calibri"/>
                <w:b w:val="0"/>
                <w:color w:val="2C3E50"/>
                <w:sz w:val="18"/>
              </w:rPr>
              <w:t>10</w:t>
            </w:r>
          </w:p>
        </w:tc>
        <w:tc>
          <w:tcPr>
            <w:tcW w:type="dxa" w:w="2351"/>
          </w:tcPr>
          <w:p>
            <w:pPr>
              <w:jc w:val="left"/>
            </w:pPr>
            <w:r/>
            <w:r>
              <w:rPr>
                <w:rFonts w:ascii="Calibri" w:hAnsi="Calibri"/>
                <w:b w:val="0"/>
                <w:color w:val="2C3E50"/>
                <w:sz w:val="18"/>
              </w:rPr>
              <w:t>RIVM Rapport Gezondheidseffecten Asbest 2017</w:t>
            </w:r>
          </w:p>
        </w:tc>
        <w:tc>
          <w:tcPr>
            <w:tcW w:type="dxa" w:w="2351"/>
          </w:tcPr>
          <w:p>
            <w:pPr>
              <w:jc w:val="left"/>
            </w:pPr>
            <w:r/>
            <w:r>
              <w:rPr>
                <w:rFonts w:ascii="Calibri" w:hAnsi="Calibri"/>
                <w:b w:val="0"/>
                <w:color w:val="2C3E50"/>
                <w:sz w:val="18"/>
              </w:rPr>
              <w:t>3</w:t>
            </w:r>
          </w:p>
        </w:tc>
        <w:tc>
          <w:tcPr>
            <w:tcW w:type="dxa" w:w="2351"/>
          </w:tcPr>
          <w:p>
            <w:pPr>
              <w:jc w:val="left"/>
            </w:pPr>
            <w:r/>
            <w:r>
              <w:rPr>
                <w:rFonts w:ascii="Calibri" w:hAnsi="Calibri"/>
                <w:b w:val="0"/>
                <w:color w:val="2C3E50"/>
                <w:sz w:val="18"/>
              </w:rPr>
              <w:t>2017</w:t>
            </w:r>
          </w:p>
        </w:tc>
      </w:tr>
    </w:tbl>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C3E5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