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1A3A5C"/>
          <w:sz w:val="56"/>
        </w:rPr>
        <w:t>JvG CONSULTANCY</w:t>
      </w:r>
    </w:p>
    <w:p>
      <w:pPr>
        <w:jc w:val="center"/>
      </w:pPr>
      <w:r>
        <w:rPr>
          <w:color w:val="E67E22"/>
          <w:sz w:val="28"/>
        </w:rPr>
        <w:t>HSEQ Audit &amp; Compliance</w:t>
      </w:r>
    </w:p>
    <w:p/>
    <w:p/>
    <w:p>
      <w:pPr>
        <w:jc w:val="center"/>
      </w:pPr>
      <w:r>
        <w:rPr>
          <w:b/>
          <w:color w:val="1A3A5C"/>
          <w:sz w:val="44"/>
        </w:rPr>
        <w:t>AUDIT RAPPORT</w:t>
      </w:r>
    </w:p>
    <w:p>
      <w:pPr>
        <w:jc w:val="center"/>
      </w:pPr>
      <w:r>
        <w:rPr>
          <w:color w:val="2C3E50"/>
          <w:sz w:val="32"/>
        </w:rPr>
        <w:t>Asbestverwijdering Procedure 003.059</w:t>
      </w:r>
    </w:p>
    <w:p>
      <w:pPr>
        <w:jc w:val="center"/>
      </w:pPr>
      <w:r>
        <w:rPr>
          <w:i/>
          <w:color w:val="2C3E50"/>
          <w:sz w:val="24"/>
        </w:rPr>
        <w:t>Koole Offshore Operations — Wintershall Decommissioning</w:t>
      </w:r>
    </w:p>
    <w:p/>
    <w:p/>
    <w:tbl>
      <w:tblPr>
        <w:tblStyle w:val="TableGrid"/>
        <w:tblW w:type="auto" w:w="0"/>
        <w:jc w:val="center"/>
        <w:tblLook w:firstColumn="1" w:firstRow="1" w:lastColumn="0" w:lastRow="0" w:noHBand="0" w:noVBand="1" w:val="04A0"/>
      </w:tblPr>
      <w:tblGrid>
        <w:gridCol w:w="4703"/>
        <w:gridCol w:w="4703"/>
      </w:tblGrid>
      <w:tr>
        <w:tc>
          <w:tcPr>
            <w:tcW w:type="dxa" w:w="4703"/>
            <w:shd w:fill="1a3a5c"/>
          </w:tcPr>
          <w:p>
            <w:pPr>
              <w:jc w:val="left"/>
            </w:pPr>
            <w:r>
              <w:rPr>
                <w:color w:val="FFFFFF"/>
              </w:rPr>
            </w:r>
            <w:r>
              <w:rPr>
                <w:rFonts w:ascii="Calibri" w:hAnsi="Calibri"/>
                <w:b/>
                <w:color w:val="2C3E50"/>
                <w:sz w:val="20"/>
              </w:rPr>
              <w:t>Projectnummer:</w:t>
            </w:r>
          </w:p>
        </w:tc>
        <w:tc>
          <w:tcPr>
            <w:tcW w:type="dxa" w:w="4703"/>
          </w:tcPr>
          <w:p>
            <w:pPr>
              <w:jc w:val="left"/>
            </w:pPr>
            <w:r/>
            <w:r>
              <w:rPr>
                <w:rFonts w:ascii="Calibri" w:hAnsi="Calibri"/>
                <w:b w:val="0"/>
                <w:color w:val="2C3E50"/>
                <w:sz w:val="20"/>
              </w:rPr>
              <w:t>2026-hseq-asbest-audit-koole</w:t>
            </w:r>
          </w:p>
        </w:tc>
      </w:tr>
      <w:tr>
        <w:tc>
          <w:tcPr>
            <w:tcW w:type="dxa" w:w="4703"/>
            <w:shd w:fill="1a3a5c"/>
          </w:tcPr>
          <w:p>
            <w:pPr>
              <w:jc w:val="left"/>
            </w:pPr>
            <w:r>
              <w:rPr>
                <w:color w:val="FFFFFF"/>
              </w:rPr>
            </w:r>
            <w:r>
              <w:rPr>
                <w:rFonts w:ascii="Calibri" w:hAnsi="Calibri"/>
                <w:b/>
                <w:color w:val="2C3E50"/>
                <w:sz w:val="20"/>
              </w:rPr>
              <w:t>Doelprocedure:</w:t>
            </w:r>
          </w:p>
        </w:tc>
        <w:tc>
          <w:tcPr>
            <w:tcW w:type="dxa" w:w="4703"/>
          </w:tcPr>
          <w:p>
            <w:pPr>
              <w:jc w:val="left"/>
            </w:pPr>
            <w:r/>
            <w:r>
              <w:rPr>
                <w:rFonts w:ascii="Calibri" w:hAnsi="Calibri"/>
                <w:b w:val="0"/>
                <w:color w:val="2C3E50"/>
                <w:sz w:val="20"/>
              </w:rPr>
              <w:t>003.059 Asbestos Removal Procedure Rev 1</w:t>
            </w:r>
          </w:p>
        </w:tc>
      </w:tr>
      <w:tr>
        <w:tc>
          <w:tcPr>
            <w:tcW w:type="dxa" w:w="4703"/>
            <w:shd w:fill="1a3a5c"/>
          </w:tcPr>
          <w:p>
            <w:pPr>
              <w:jc w:val="left"/>
            </w:pPr>
            <w:r>
              <w:rPr>
                <w:color w:val="FFFFFF"/>
              </w:rPr>
            </w:r>
            <w:r>
              <w:rPr>
                <w:rFonts w:ascii="Calibri" w:hAnsi="Calibri"/>
                <w:b/>
                <w:color w:val="2C3E50"/>
                <w:sz w:val="20"/>
              </w:rPr>
              <w:t>Opdrachtgever:</w:t>
            </w:r>
          </w:p>
        </w:tc>
        <w:tc>
          <w:tcPr>
            <w:tcW w:type="dxa" w:w="4703"/>
          </w:tcPr>
          <w:p>
            <w:pPr>
              <w:jc w:val="left"/>
            </w:pPr>
            <w:r/>
            <w:r>
              <w:rPr>
                <w:rFonts w:ascii="Calibri" w:hAnsi="Calibri"/>
                <w:b w:val="0"/>
                <w:color w:val="2C3E50"/>
                <w:sz w:val="20"/>
              </w:rPr>
              <w:t>Wintershall Noordzee B.V.</w:t>
            </w:r>
          </w:p>
        </w:tc>
      </w:tr>
      <w:tr>
        <w:tc>
          <w:tcPr>
            <w:tcW w:type="dxa" w:w="4703"/>
            <w:shd w:fill="1a3a5c"/>
          </w:tcPr>
          <w:p>
            <w:pPr>
              <w:jc w:val="left"/>
            </w:pPr>
            <w:r>
              <w:rPr>
                <w:color w:val="FFFFFF"/>
              </w:rPr>
            </w:r>
            <w:r>
              <w:rPr>
                <w:rFonts w:ascii="Calibri" w:hAnsi="Calibri"/>
                <w:b/>
                <w:color w:val="2C3E50"/>
                <w:sz w:val="20"/>
              </w:rPr>
              <w:t>Contractor:</w:t>
            </w:r>
          </w:p>
        </w:tc>
        <w:tc>
          <w:tcPr>
            <w:tcW w:type="dxa" w:w="4703"/>
          </w:tcPr>
          <w:p>
            <w:pPr>
              <w:jc w:val="left"/>
            </w:pPr>
            <w:r/>
            <w:r>
              <w:rPr>
                <w:rFonts w:ascii="Calibri" w:hAnsi="Calibri"/>
                <w:b w:val="0"/>
                <w:color w:val="2C3E50"/>
                <w:sz w:val="20"/>
              </w:rPr>
              <w:t>Koole Offshore Operations (KOO)</w:t>
            </w:r>
          </w:p>
        </w:tc>
      </w:tr>
      <w:tr>
        <w:tc>
          <w:tcPr>
            <w:tcW w:type="dxa" w:w="4703"/>
            <w:shd w:fill="1a3a5c"/>
          </w:tcPr>
          <w:p>
            <w:pPr>
              <w:jc w:val="left"/>
            </w:pPr>
            <w:r>
              <w:rPr>
                <w:color w:val="FFFFFF"/>
              </w:rPr>
            </w:r>
            <w:r>
              <w:rPr>
                <w:rFonts w:ascii="Calibri" w:hAnsi="Calibri"/>
                <w:b/>
                <w:color w:val="2C3E50"/>
                <w:sz w:val="20"/>
              </w:rPr>
              <w:t>Auditor:</w:t>
            </w:r>
          </w:p>
        </w:tc>
        <w:tc>
          <w:tcPr>
            <w:tcW w:type="dxa" w:w="4703"/>
          </w:tcPr>
          <w:p>
            <w:pPr>
              <w:jc w:val="left"/>
            </w:pPr>
            <w:r/>
            <w:r>
              <w:rPr>
                <w:rFonts w:ascii="Calibri" w:hAnsi="Calibri"/>
                <w:b w:val="0"/>
                <w:color w:val="2C3E50"/>
                <w:sz w:val="20"/>
              </w:rPr>
              <w:t>Kas — Director of Operations, JvG Consultancy</w:t>
            </w:r>
          </w:p>
        </w:tc>
      </w:tr>
      <w:tr>
        <w:tc>
          <w:tcPr>
            <w:tcW w:type="dxa" w:w="4703"/>
            <w:shd w:fill="1a3a5c"/>
          </w:tcPr>
          <w:p>
            <w:pPr>
              <w:jc w:val="left"/>
            </w:pPr>
            <w:r>
              <w:rPr>
                <w:color w:val="FFFFFF"/>
              </w:rPr>
            </w:r>
            <w:r>
              <w:rPr>
                <w:rFonts w:ascii="Calibri" w:hAnsi="Calibri"/>
                <w:b/>
                <w:color w:val="2C3E50"/>
                <w:sz w:val="20"/>
              </w:rPr>
              <w:t>Datum:</w:t>
            </w:r>
          </w:p>
        </w:tc>
        <w:tc>
          <w:tcPr>
            <w:tcW w:type="dxa" w:w="4703"/>
          </w:tcPr>
          <w:p>
            <w:pPr>
              <w:jc w:val="left"/>
            </w:pPr>
            <w:r/>
            <w:r>
              <w:rPr>
                <w:rFonts w:ascii="Calibri" w:hAnsi="Calibri"/>
                <w:b w:val="0"/>
                <w:color w:val="2C3E50"/>
                <w:sz w:val="20"/>
              </w:rPr>
              <w:t>7 augustus 2026</w:t>
            </w:r>
          </w:p>
        </w:tc>
      </w:tr>
      <w:tr>
        <w:tc>
          <w:tcPr>
            <w:tcW w:type="dxa" w:w="4703"/>
            <w:shd w:fill="1a3a5c"/>
          </w:tcPr>
          <w:p>
            <w:pPr>
              <w:jc w:val="left"/>
            </w:pPr>
            <w:r>
              <w:rPr>
                <w:color w:val="FFFFFF"/>
              </w:rPr>
            </w:r>
            <w:r>
              <w:rPr>
                <w:rFonts w:ascii="Calibri" w:hAnsi="Calibri"/>
                <w:b/>
                <w:color w:val="2C3E50"/>
                <w:sz w:val="20"/>
              </w:rPr>
              <w:t>Versie:</w:t>
            </w:r>
          </w:p>
        </w:tc>
        <w:tc>
          <w:tcPr>
            <w:tcW w:type="dxa" w:w="4703"/>
          </w:tcPr>
          <w:p>
            <w:pPr>
              <w:jc w:val="left"/>
            </w:pPr>
            <w:r/>
            <w:r>
              <w:rPr>
                <w:rFonts w:ascii="Calibri" w:hAnsi="Calibri"/>
                <w:b w:val="0"/>
                <w:color w:val="2C3E50"/>
                <w:sz w:val="20"/>
              </w:rPr>
              <w:t>1.0</w:t>
            </w:r>
          </w:p>
        </w:tc>
      </w:tr>
      <w:tr>
        <w:tc>
          <w:tcPr>
            <w:tcW w:type="dxa" w:w="4703"/>
            <w:shd w:fill="1a3a5c"/>
          </w:tcPr>
          <w:p>
            <w:pPr>
              <w:jc w:val="left"/>
            </w:pPr>
            <w:r>
              <w:rPr>
                <w:color w:val="FFFFFF"/>
              </w:rPr>
            </w:r>
            <w:r>
              <w:rPr>
                <w:rFonts w:ascii="Calibri" w:hAnsi="Calibri"/>
                <w:b/>
                <w:color w:val="2C3E50"/>
                <w:sz w:val="20"/>
              </w:rPr>
              <w:t>Status:</w:t>
            </w:r>
          </w:p>
        </w:tc>
        <w:tc>
          <w:tcPr>
            <w:tcW w:type="dxa" w:w="4703"/>
          </w:tcPr>
          <w:p>
            <w:pPr>
              <w:jc w:val="left"/>
            </w:pPr>
            <w:r/>
            <w:r>
              <w:rPr>
                <w:rFonts w:ascii="Calibri" w:hAnsi="Calibri"/>
                <w:b w:val="0"/>
                <w:color w:val="2C3E50"/>
                <w:sz w:val="20"/>
              </w:rPr>
              <w:t>CONFIDENTIEEL</w:t>
            </w:r>
          </w:p>
        </w:tc>
      </w:tr>
    </w:tbl>
    <w:p>
      <w:r>
        <w:br w:type="page"/>
      </w:r>
    </w:p>
    <w:p>
      <w:r>
        <w:rPr>
          <w:rFonts w:ascii="Calibri" w:hAnsi="Calibri"/>
          <w:b/>
          <w:color w:val="1A3A5C"/>
          <w:sz w:val="32"/>
        </w:rPr>
        <w:t>1. Management Samenvatting</w:t>
      </w:r>
    </w:p>
    <w:p>
      <w:r>
        <w:rPr>
          <w:b w:val="0"/>
          <w:i w:val="0"/>
          <w:color w:val="2C3E50"/>
          <w:sz w:val="22"/>
        </w:rPr>
        <w:t>Dit rapport presenteert de resultaten van de audit van de Koole Offshore Operations (KOO) procedure 003.059 "Asbestos Removal Procedure" (Rev 1, 19 mei 2026) voor het Wintershall offshore decommissioning project.</w:t>
      </w:r>
    </w:p>
    <w:p>
      <w:r>
        <w:rPr>
          <w:b w:val="0"/>
          <w:i w:val="0"/>
          <w:color w:val="2C3E50"/>
          <w:sz w:val="22"/>
        </w:rPr>
        <w:t>De audit toetst de procedure aan de Nederlandse arbeidsomstandighedenwetgeving (Arbobesluit hoofdstuk 4, afdeling 5) en het AI-blad Asbest (AI-03, Sdu Fonds, juli 2023).</w:t>
      </w:r>
    </w:p>
    <w:p>
      <w:r>
        <w:rPr>
          <w:b/>
          <w:color w:val="C0392B"/>
          <w:sz w:val="24"/>
        </w:rPr>
        <w:t xml:space="preserve">Belangrijkste Conclusie: </w:t>
      </w:r>
      <w:r>
        <w:rPr>
          <w:color w:val="C0392B"/>
          <w:sz w:val="24"/>
        </w:rPr>
        <w:t>De procedure voldoet NIET aan de Nederlandse wetgeving. Er zijn 9 kritieke non-conformiteiten en 7 belangrijke afwijkingen geïdentificeerd. Herziening is vereist vóór inzet voor asbestverwijderingswerkzaamheden.</w:t>
      </w:r>
    </w:p>
    <w:p>
      <w:r>
        <w:rPr>
          <w:b w:val="0"/>
          <w:i w:val="0"/>
          <w:color w:val="2C3E50"/>
          <w:sz w:val="22"/>
        </w:rPr>
      </w:r>
    </w:p>
    <w:p>
      <w:r>
        <w:rPr>
          <w:b/>
          <w:i w:val="0"/>
          <w:color w:val="2C3E50"/>
          <w:sz w:val="22"/>
        </w:rPr>
        <w:t>Samenvatting bevindingen:</w:t>
      </w:r>
    </w:p>
    <w:tbl>
      <w:tblPr>
        <w:tblStyle w:val="TableGrid"/>
        <w:tblW w:type="auto" w:w="0"/>
        <w:tblLook w:firstColumn="1" w:firstRow="1" w:lastColumn="0" w:lastRow="0" w:noHBand="0" w:noVBand="1" w:val="04A0"/>
      </w:tblPr>
      <w:tblGrid>
        <w:gridCol w:w="3135"/>
        <w:gridCol w:w="3135"/>
        <w:gridCol w:w="3135"/>
      </w:tblGrid>
      <w:tr>
        <w:tc>
          <w:tcPr>
            <w:tcW w:type="dxa" w:w="3135"/>
            <w:shd w:fill="1a3a5c"/>
          </w:tcPr>
          <w:p>
            <w:pPr>
              <w:jc w:val="left"/>
            </w:pPr>
            <w:r/>
            <w:r>
              <w:rPr>
                <w:rFonts w:ascii="Calibri" w:hAnsi="Calibri"/>
                <w:b/>
                <w:color w:val="FFFFFF"/>
                <w:sz w:val="20"/>
              </w:rPr>
              <w:t>Categorie</w:t>
            </w:r>
          </w:p>
        </w:tc>
        <w:tc>
          <w:tcPr>
            <w:tcW w:type="dxa" w:w="3135"/>
            <w:shd w:fill="1a3a5c"/>
          </w:tcPr>
          <w:p>
            <w:pPr>
              <w:jc w:val="center"/>
            </w:pPr>
            <w:r/>
            <w:r>
              <w:rPr>
                <w:rFonts w:ascii="Calibri" w:hAnsi="Calibri"/>
                <w:b/>
                <w:color w:val="FFFFFF"/>
                <w:sz w:val="20"/>
              </w:rPr>
              <w:t>Aantal</w:t>
            </w:r>
          </w:p>
        </w:tc>
        <w:tc>
          <w:tcPr>
            <w:tcW w:type="dxa" w:w="3135"/>
            <w:shd w:fill="1a3a5c"/>
          </w:tcPr>
          <w:p>
            <w:pPr>
              <w:jc w:val="center"/>
            </w:pPr>
            <w:r/>
            <w:r>
              <w:rPr>
                <w:rFonts w:ascii="Calibri" w:hAnsi="Calibri"/>
                <w:b/>
                <w:color w:val="FFFFFF"/>
                <w:sz w:val="20"/>
              </w:rPr>
              <w:t>Status</w:t>
            </w:r>
          </w:p>
        </w:tc>
      </w:tr>
      <w:tr>
        <w:tc>
          <w:tcPr>
            <w:tcW w:type="dxa" w:w="3135"/>
          </w:tcPr>
          <w:p>
            <w:pPr>
              <w:jc w:val="left"/>
            </w:pPr>
            <w:r/>
            <w:r>
              <w:rPr>
                <w:rFonts w:ascii="Calibri" w:hAnsi="Calibri"/>
                <w:b w:val="0"/>
                <w:color w:val="2C3E50"/>
                <w:sz w:val="20"/>
              </w:rPr>
              <w:t>Critieke non-conformiteiten (Cat A)</w:t>
            </w:r>
          </w:p>
        </w:tc>
        <w:tc>
          <w:tcPr>
            <w:tcW w:type="dxa" w:w="3135"/>
          </w:tcPr>
          <w:p>
            <w:pPr>
              <w:jc w:val="center"/>
            </w:pPr>
            <w:r/>
            <w:r>
              <w:rPr>
                <w:rFonts w:ascii="Calibri" w:hAnsi="Calibri"/>
                <w:b w:val="0"/>
                <w:color w:val="2C3E50"/>
                <w:sz w:val="20"/>
              </w:rPr>
              <w:t>9</w:t>
            </w:r>
          </w:p>
        </w:tc>
        <w:tc>
          <w:tcPr>
            <w:tcW w:type="dxa" w:w="3135"/>
            <w:shd w:fill="fde8e8"/>
          </w:tcPr>
          <w:p>
            <w:pPr>
              <w:jc w:val="center"/>
            </w:pPr>
            <w:r/>
            <w:r>
              <w:rPr>
                <w:rFonts w:ascii="Calibri" w:hAnsi="Calibri"/>
                <w:b w:val="0"/>
                <w:color w:val="2C3E50"/>
                <w:sz w:val="20"/>
              </w:rPr>
              <w:t>❌ FAIL</w:t>
            </w:r>
          </w:p>
        </w:tc>
      </w:tr>
      <w:tr>
        <w:tc>
          <w:tcPr>
            <w:tcW w:type="dxa" w:w="3135"/>
          </w:tcPr>
          <w:p>
            <w:pPr>
              <w:jc w:val="left"/>
            </w:pPr>
            <w:r/>
            <w:r>
              <w:rPr>
                <w:rFonts w:ascii="Calibri" w:hAnsi="Calibri"/>
                <w:b w:val="0"/>
                <w:color w:val="2C3E50"/>
                <w:sz w:val="20"/>
              </w:rPr>
              <w:t>Belangrijke afwijkingen (Cat B)</w:t>
            </w:r>
          </w:p>
        </w:tc>
        <w:tc>
          <w:tcPr>
            <w:tcW w:type="dxa" w:w="3135"/>
          </w:tcPr>
          <w:p>
            <w:pPr>
              <w:jc w:val="center"/>
            </w:pPr>
            <w:r/>
            <w:r>
              <w:rPr>
                <w:rFonts w:ascii="Calibri" w:hAnsi="Calibri"/>
                <w:b w:val="0"/>
                <w:color w:val="2C3E50"/>
                <w:sz w:val="20"/>
              </w:rPr>
              <w:t>7</w:t>
            </w:r>
          </w:p>
        </w:tc>
        <w:tc>
          <w:tcPr>
            <w:tcW w:type="dxa" w:w="3135"/>
            <w:shd w:fill="fff4e0"/>
          </w:tcPr>
          <w:p>
            <w:pPr>
              <w:jc w:val="center"/>
            </w:pPr>
            <w:r/>
            <w:r>
              <w:rPr>
                <w:rFonts w:ascii="Calibri" w:hAnsi="Calibri"/>
                <w:b w:val="0"/>
                <w:color w:val="2C3E50"/>
                <w:sz w:val="20"/>
              </w:rPr>
              <w:t>⚠️ WARNING</w:t>
            </w:r>
          </w:p>
        </w:tc>
      </w:tr>
      <w:tr>
        <w:tc>
          <w:tcPr>
            <w:tcW w:type="dxa" w:w="3135"/>
          </w:tcPr>
          <w:p>
            <w:pPr>
              <w:jc w:val="left"/>
            </w:pPr>
            <w:r/>
            <w:r>
              <w:rPr>
                <w:rFonts w:ascii="Calibri" w:hAnsi="Calibri"/>
                <w:b w:val="0"/>
                <w:color w:val="2C3E50"/>
                <w:sz w:val="20"/>
              </w:rPr>
              <w:t>Observaties (Cat C)</w:t>
            </w:r>
          </w:p>
        </w:tc>
        <w:tc>
          <w:tcPr>
            <w:tcW w:type="dxa" w:w="3135"/>
          </w:tcPr>
          <w:p>
            <w:pPr>
              <w:jc w:val="center"/>
            </w:pPr>
            <w:r/>
            <w:r>
              <w:rPr>
                <w:rFonts w:ascii="Calibri" w:hAnsi="Calibri"/>
                <w:b w:val="0"/>
                <w:color w:val="2C3E50"/>
                <w:sz w:val="20"/>
              </w:rPr>
              <w:t>6</w:t>
            </w:r>
          </w:p>
        </w:tc>
        <w:tc>
          <w:tcPr>
            <w:tcW w:type="dxa" w:w="3135"/>
          </w:tcPr>
          <w:p>
            <w:pPr>
              <w:jc w:val="center"/>
            </w:pPr>
            <w:r/>
            <w:r>
              <w:rPr>
                <w:rFonts w:ascii="Calibri" w:hAnsi="Calibri"/>
                <w:b w:val="0"/>
                <w:color w:val="2C3E50"/>
                <w:sz w:val="20"/>
              </w:rPr>
              <w:t>ℹ️ INFO</w:t>
            </w:r>
          </w:p>
        </w:tc>
      </w:tr>
      <w:tr>
        <w:tc>
          <w:tcPr>
            <w:tcW w:type="dxa" w:w="3135"/>
          </w:tcPr>
          <w:p>
            <w:pPr>
              <w:jc w:val="left"/>
            </w:pPr>
            <w:r/>
            <w:r>
              <w:rPr>
                <w:rFonts w:ascii="Calibri" w:hAnsi="Calibri"/>
                <w:b w:val="0"/>
                <w:color w:val="2C3E50"/>
                <w:sz w:val="20"/>
              </w:rPr>
              <w:t>Totaal bevindingen</w:t>
            </w:r>
          </w:p>
        </w:tc>
        <w:tc>
          <w:tcPr>
            <w:tcW w:type="dxa" w:w="3135"/>
          </w:tcPr>
          <w:p>
            <w:pPr>
              <w:jc w:val="center"/>
            </w:pPr>
            <w:r/>
            <w:r>
              <w:rPr>
                <w:rFonts w:ascii="Calibri" w:hAnsi="Calibri"/>
                <w:b w:val="0"/>
                <w:color w:val="2C3E50"/>
                <w:sz w:val="20"/>
              </w:rPr>
              <w:t>22</w:t>
            </w:r>
          </w:p>
        </w:tc>
        <w:tc>
          <w:tcPr>
            <w:tcW w:type="dxa" w:w="3135"/>
          </w:tcPr>
          <w:p>
            <w:pPr>
              <w:jc w:val="center"/>
            </w:pPr>
            <w:r/>
            <w:r>
              <w:rPr>
                <w:rFonts w:ascii="Calibri" w:hAnsi="Calibri"/>
                <w:b w:val="0"/>
                <w:color w:val="2C3E50"/>
                <w:sz w:val="20"/>
              </w:rPr>
              <w:t>—</w:t>
            </w:r>
          </w:p>
        </w:tc>
      </w:tr>
      <w:tr>
        <w:tc>
          <w:tcPr>
            <w:tcW w:type="dxa" w:w="3135"/>
          </w:tcPr>
          <w:p>
            <w:pPr>
              <w:jc w:val="left"/>
            </w:pPr>
            <w:r/>
            <w:r>
              <w:rPr>
                <w:rFonts w:ascii="Calibri" w:hAnsi="Calibri"/>
                <w:b w:val="0"/>
                <w:color w:val="2C3E50"/>
                <w:sz w:val="20"/>
              </w:rPr>
              <w:t>Conformiteitspercentage</w:t>
            </w:r>
          </w:p>
        </w:tc>
        <w:tc>
          <w:tcPr>
            <w:tcW w:type="dxa" w:w="3135"/>
          </w:tcPr>
          <w:p>
            <w:pPr>
              <w:jc w:val="center"/>
            </w:pPr>
            <w:r/>
            <w:r>
              <w:rPr>
                <w:rFonts w:ascii="Calibri" w:hAnsi="Calibri"/>
                <w:b w:val="0"/>
                <w:color w:val="2C3E50"/>
                <w:sz w:val="20"/>
              </w:rPr>
              <w:t>11%</w:t>
            </w:r>
          </w:p>
        </w:tc>
        <w:tc>
          <w:tcPr>
            <w:tcW w:type="dxa" w:w="3135"/>
            <w:shd w:fill="fde8e8"/>
          </w:tcPr>
          <w:p>
            <w:pPr>
              <w:jc w:val="center"/>
            </w:pPr>
            <w:r/>
            <w:r>
              <w:rPr>
                <w:rFonts w:ascii="Calibri" w:hAnsi="Calibri"/>
                <w:b w:val="0"/>
                <w:color w:val="2C3E50"/>
                <w:sz w:val="20"/>
              </w:rPr>
              <w:t>❌ FAIL</w:t>
            </w:r>
          </w:p>
        </w:tc>
      </w:tr>
    </w:tbl>
    <w:p>
      <w:r>
        <w:br w:type="page"/>
      </w:r>
    </w:p>
    <w:p>
      <w:r>
        <w:rPr>
          <w:rFonts w:ascii="Calibri" w:hAnsi="Calibri"/>
          <w:b/>
          <w:color w:val="1A3A5C"/>
          <w:sz w:val="32"/>
        </w:rPr>
        <w:t>2. Project Context</w:t>
      </w:r>
    </w:p>
    <w:p>
      <w:r>
        <w:rPr>
          <w:b/>
          <w:i w:val="0"/>
          <w:color w:val="2C3E50"/>
          <w:sz w:val="22"/>
        </w:rPr>
        <w:t>Opdrachtgever: Wintershall Noordzee B.V.</w:t>
      </w:r>
    </w:p>
    <w:p>
      <w:r>
        <w:rPr>
          <w:b w:val="0"/>
          <w:i w:val="0"/>
          <w:color w:val="2C3E50"/>
          <w:sz w:val="22"/>
        </w:rPr>
        <w:t>Wintershall is een Duitse oil &amp; gas operator actief in de Nederlandse Noordzee. Het concern voert een platform decommissioning project uit waarbij een offshore installatie wordt ontmanteld en verwijderd.</w:t>
      </w:r>
    </w:p>
    <w:p>
      <w:r>
        <w:rPr>
          <w:b w:val="0"/>
          <w:i w:val="0"/>
          <w:color w:val="2C3E50"/>
          <w:sz w:val="22"/>
        </w:rPr>
      </w:r>
    </w:p>
    <w:p>
      <w:r>
        <w:rPr>
          <w:b/>
          <w:i w:val="0"/>
          <w:color w:val="2C3E50"/>
          <w:sz w:val="22"/>
        </w:rPr>
        <w:t>Contractor: Koole Offshore Operations (KOO)</w:t>
      </w:r>
    </w:p>
    <w:p>
      <w:r>
        <w:rPr>
          <w:b w:val="0"/>
          <w:i w:val="0"/>
          <w:color w:val="2C3E50"/>
          <w:sz w:val="22"/>
        </w:rPr>
        <w:t>Koole Offshore Operations, gevestigd in Vijfhuizen, is de aannemer verantwoordelijk voor de uitvoering van het decommissioning project. KOO heeft procedure 003.059 opgesteld als onderdeel van haar MSD 003 Procedure Manual voor asbestverwijdering.</w:t>
      </w:r>
    </w:p>
    <w:p>
      <w:r>
        <w:rPr>
          <w:b w:val="0"/>
          <w:i w:val="0"/>
          <w:color w:val="2C3E50"/>
          <w:sz w:val="22"/>
        </w:rPr>
      </w:r>
    </w:p>
    <w:p>
      <w:r>
        <w:rPr>
          <w:b/>
          <w:i w:val="0"/>
          <w:color w:val="2C3E50"/>
          <w:sz w:val="22"/>
        </w:rPr>
        <w:t>Scope:</w:t>
      </w:r>
    </w:p>
    <w:p>
      <w:r>
        <w:rPr>
          <w:b w:val="0"/>
          <w:i w:val="0"/>
          <w:color w:val="2C3E50"/>
          <w:sz w:val="22"/>
        </w:rPr>
        <w:t>• Veilig verwijderen van asbesthoudende materialen tijdens offshore decommissioning</w:t>
      </w:r>
    </w:p>
    <w:p>
      <w:r>
        <w:rPr>
          <w:b w:val="0"/>
          <w:i w:val="0"/>
          <w:color w:val="2C3E50"/>
          <w:sz w:val="22"/>
        </w:rPr>
        <w:t>• Inclusief het verwijderen van asbesthoudende vlaspakkingen (chrysotiel) via de Batteryspray methode</w:t>
      </w:r>
    </w:p>
    <w:p>
      <w:r>
        <w:rPr>
          <w:b w:val="0"/>
          <w:i w:val="0"/>
          <w:color w:val="2C3E50"/>
          <w:sz w:val="22"/>
        </w:rPr>
        <w:t>• Toetsing van de procedure aan Nederlandse wetgeving en AI-blad Asbest (AI-03)</w:t>
      </w:r>
    </w:p>
    <w:p>
      <w:r>
        <w:br w:type="page"/>
      </w:r>
    </w:p>
    <w:p>
      <w:r>
        <w:rPr>
          <w:rFonts w:ascii="Calibri" w:hAnsi="Calibri"/>
          <w:b/>
          <w:color w:val="1A3A5C"/>
          <w:sz w:val="32"/>
        </w:rPr>
        <w:t>3. Wettelijk Kader</w:t>
      </w:r>
    </w:p>
    <w:p>
      <w:r>
        <w:rPr>
          <w:rFonts w:ascii="Calibri" w:hAnsi="Calibri"/>
          <w:b/>
          <w:color w:val="1A3A5C"/>
          <w:sz w:val="26"/>
        </w:rPr>
        <w:t>3.1 Primaire Wetgeving</w:t>
      </w:r>
    </w:p>
    <w:tbl>
      <w:tblPr>
        <w:tblStyle w:val="TableGrid"/>
        <w:tblW w:type="auto" w:w="0"/>
        <w:tblLook w:firstColumn="1" w:firstRow="1" w:lastColumn="0" w:lastRow="0" w:noHBand="0" w:noVBand="1" w:val="04A0"/>
      </w:tblPr>
      <w:tblGrid>
        <w:gridCol w:w="3135"/>
        <w:gridCol w:w="3135"/>
        <w:gridCol w:w="3135"/>
      </w:tblGrid>
      <w:tr>
        <w:tc>
          <w:tcPr>
            <w:tcW w:type="dxa" w:w="3135"/>
            <w:shd w:fill="1a3a5c"/>
          </w:tcPr>
          <w:p>
            <w:pPr>
              <w:jc w:val="left"/>
            </w:pPr>
            <w:r/>
            <w:r>
              <w:rPr>
                <w:rFonts w:ascii="Calibri" w:hAnsi="Calibri"/>
                <w:b/>
                <w:color w:val="FFFFFF"/>
                <w:sz w:val="20"/>
              </w:rPr>
              <w:t>Wet/Regeling</w:t>
            </w:r>
          </w:p>
        </w:tc>
        <w:tc>
          <w:tcPr>
            <w:tcW w:type="dxa" w:w="3135"/>
            <w:shd w:fill="1a3a5c"/>
          </w:tcPr>
          <w:p>
            <w:pPr>
              <w:jc w:val="left"/>
            </w:pPr>
            <w:r/>
            <w:r>
              <w:rPr>
                <w:rFonts w:ascii="Calibri" w:hAnsi="Calibri"/>
                <w:b/>
                <w:color w:val="FFFFFF"/>
                <w:sz w:val="20"/>
              </w:rPr>
              <w:t>Referentie</w:t>
            </w:r>
          </w:p>
        </w:tc>
        <w:tc>
          <w:tcPr>
            <w:tcW w:type="dxa" w:w="3135"/>
            <w:shd w:fill="1a3a5c"/>
          </w:tcPr>
          <w:p>
            <w:pPr>
              <w:jc w:val="left"/>
            </w:pPr>
            <w:r/>
            <w:r>
              <w:rPr>
                <w:rFonts w:ascii="Calibri" w:hAnsi="Calibri"/>
                <w:b/>
                <w:color w:val="FFFFFF"/>
                <w:sz w:val="20"/>
              </w:rPr>
              <w:t>Toepassing</w:t>
            </w:r>
          </w:p>
        </w:tc>
      </w:tr>
      <w:tr>
        <w:tc>
          <w:tcPr>
            <w:tcW w:type="dxa" w:w="3135"/>
          </w:tcPr>
          <w:p>
            <w:pPr>
              <w:jc w:val="left"/>
            </w:pPr>
            <w:r/>
            <w:r>
              <w:rPr>
                <w:rFonts w:ascii="Calibri" w:hAnsi="Calibri"/>
                <w:b w:val="0"/>
                <w:color w:val="2C3E50"/>
                <w:sz w:val="20"/>
              </w:rPr>
              <w:t>Arbeidsomstandighedenwet</w:t>
            </w:r>
          </w:p>
        </w:tc>
        <w:tc>
          <w:tcPr>
            <w:tcW w:type="dxa" w:w="3135"/>
          </w:tcPr>
          <w:p>
            <w:pPr>
              <w:jc w:val="left"/>
            </w:pPr>
            <w:r/>
            <w:r>
              <w:rPr>
                <w:rFonts w:ascii="Calibri" w:hAnsi="Calibri"/>
                <w:b w:val="0"/>
                <w:color w:val="2C3E50"/>
                <w:sz w:val="20"/>
              </w:rPr>
              <w:t>Arbowet</w:t>
            </w:r>
          </w:p>
        </w:tc>
        <w:tc>
          <w:tcPr>
            <w:tcW w:type="dxa" w:w="3135"/>
          </w:tcPr>
          <w:p>
            <w:pPr>
              <w:jc w:val="left"/>
            </w:pPr>
            <w:r/>
            <w:r>
              <w:rPr>
                <w:rFonts w:ascii="Calibri" w:hAnsi="Calibri"/>
                <w:b w:val="0"/>
                <w:color w:val="2C3E50"/>
                <w:sz w:val="20"/>
              </w:rPr>
              <w:t>Kaderwet beroepsmatige blootstelling</w:t>
            </w:r>
          </w:p>
        </w:tc>
      </w:tr>
      <w:tr>
        <w:tc>
          <w:tcPr>
            <w:tcW w:type="dxa" w:w="3135"/>
          </w:tcPr>
          <w:p>
            <w:pPr>
              <w:jc w:val="left"/>
            </w:pPr>
            <w:r/>
            <w:r>
              <w:rPr>
                <w:rFonts w:ascii="Calibri" w:hAnsi="Calibri"/>
                <w:b w:val="0"/>
                <w:color w:val="2C3E50"/>
                <w:sz w:val="20"/>
              </w:rPr>
              <w:t>Arbobesluit Hoofdstuk 4 Afd. 2</w:t>
            </w:r>
          </w:p>
        </w:tc>
        <w:tc>
          <w:tcPr>
            <w:tcW w:type="dxa" w:w="3135"/>
          </w:tcPr>
          <w:p>
            <w:pPr>
              <w:jc w:val="left"/>
            </w:pPr>
            <w:r/>
            <w:r>
              <w:rPr>
                <w:rFonts w:ascii="Calibri" w:hAnsi="Calibri"/>
                <w:b w:val="0"/>
                <w:color w:val="2C3E50"/>
                <w:sz w:val="20"/>
              </w:rPr>
              <w:t>Art. 4.1-4.42</w:t>
            </w:r>
          </w:p>
        </w:tc>
        <w:tc>
          <w:tcPr>
            <w:tcW w:type="dxa" w:w="3135"/>
          </w:tcPr>
          <w:p>
            <w:pPr>
              <w:jc w:val="left"/>
            </w:pPr>
            <w:r/>
            <w:r>
              <w:rPr>
                <w:rFonts w:ascii="Calibri" w:hAnsi="Calibri"/>
                <w:b w:val="0"/>
                <w:color w:val="2C3E50"/>
                <w:sz w:val="20"/>
              </w:rPr>
              <w:t>Gevaarlijke stoffen — RI&amp;E plicht</w:t>
            </w:r>
          </w:p>
        </w:tc>
      </w:tr>
      <w:tr>
        <w:tc>
          <w:tcPr>
            <w:tcW w:type="dxa" w:w="3135"/>
          </w:tcPr>
          <w:p>
            <w:pPr>
              <w:jc w:val="left"/>
            </w:pPr>
            <w:r/>
            <w:r>
              <w:rPr>
                <w:rFonts w:ascii="Calibri" w:hAnsi="Calibri"/>
                <w:b w:val="0"/>
                <w:color w:val="2C3E50"/>
                <w:sz w:val="20"/>
              </w:rPr>
              <w:t>Arbobesluit Hoofdstuk 4 Afd. 5</w:t>
            </w:r>
          </w:p>
        </w:tc>
        <w:tc>
          <w:tcPr>
            <w:tcW w:type="dxa" w:w="3135"/>
          </w:tcPr>
          <w:p>
            <w:pPr>
              <w:jc w:val="left"/>
            </w:pPr>
            <w:r/>
            <w:r>
              <w:rPr>
                <w:rFonts w:ascii="Calibri" w:hAnsi="Calibri"/>
                <w:b w:val="0"/>
                <w:color w:val="2C3E50"/>
                <w:sz w:val="20"/>
              </w:rPr>
              <w:t>Art. 4.44-4.53c</w:t>
            </w:r>
          </w:p>
        </w:tc>
        <w:tc>
          <w:tcPr>
            <w:tcW w:type="dxa" w:w="3135"/>
          </w:tcPr>
          <w:p>
            <w:pPr>
              <w:jc w:val="left"/>
            </w:pPr>
            <w:r/>
            <w:r>
              <w:rPr>
                <w:rFonts w:ascii="Calibri" w:hAnsi="Calibri"/>
                <w:b w:val="0"/>
                <w:color w:val="2C3E50"/>
                <w:sz w:val="20"/>
              </w:rPr>
              <w:t>Asbestspecifieke eisen</w:t>
            </w:r>
          </w:p>
        </w:tc>
      </w:tr>
      <w:tr>
        <w:tc>
          <w:tcPr>
            <w:tcW w:type="dxa" w:w="3135"/>
          </w:tcPr>
          <w:p>
            <w:pPr>
              <w:jc w:val="left"/>
            </w:pPr>
            <w:r/>
            <w:r>
              <w:rPr>
                <w:rFonts w:ascii="Calibri" w:hAnsi="Calibri"/>
                <w:b w:val="0"/>
                <w:color w:val="2C3E50"/>
                <w:sz w:val="20"/>
              </w:rPr>
              <w:t>Arbeidsomstandighedenregeling</w:t>
            </w:r>
          </w:p>
        </w:tc>
        <w:tc>
          <w:tcPr>
            <w:tcW w:type="dxa" w:w="3135"/>
          </w:tcPr>
          <w:p>
            <w:pPr>
              <w:jc w:val="left"/>
            </w:pPr>
            <w:r/>
            <w:r>
              <w:rPr>
                <w:rFonts w:ascii="Calibri" w:hAnsi="Calibri"/>
                <w:b w:val="0"/>
                <w:color w:val="2C3E50"/>
                <w:sz w:val="20"/>
              </w:rPr>
              <w:t>Certificatieschema</w:t>
            </w:r>
          </w:p>
        </w:tc>
        <w:tc>
          <w:tcPr>
            <w:tcW w:type="dxa" w:w="3135"/>
          </w:tcPr>
          <w:p>
            <w:pPr>
              <w:jc w:val="left"/>
            </w:pPr>
            <w:r/>
            <w:r>
              <w:rPr>
                <w:rFonts w:ascii="Calibri" w:hAnsi="Calibri"/>
                <w:b w:val="0"/>
                <w:color w:val="2C3E50"/>
                <w:sz w:val="20"/>
              </w:rPr>
              <w:t>Procescertificaten Asbest</w:t>
            </w:r>
          </w:p>
        </w:tc>
      </w:tr>
      <w:tr>
        <w:tc>
          <w:tcPr>
            <w:tcW w:type="dxa" w:w="3135"/>
          </w:tcPr>
          <w:p>
            <w:pPr>
              <w:jc w:val="left"/>
            </w:pPr>
            <w:r/>
            <w:r>
              <w:rPr>
                <w:rFonts w:ascii="Calibri" w:hAnsi="Calibri"/>
                <w:b w:val="0"/>
                <w:color w:val="2C3E50"/>
                <w:sz w:val="20"/>
              </w:rPr>
              <w:t>Productenbesluit asbest</w:t>
            </w:r>
          </w:p>
        </w:tc>
        <w:tc>
          <w:tcPr>
            <w:tcW w:type="dxa" w:w="3135"/>
          </w:tcPr>
          <w:p>
            <w:pPr>
              <w:jc w:val="left"/>
            </w:pPr>
            <w:r/>
            <w:r>
              <w:rPr>
                <w:rFonts w:ascii="Calibri" w:hAnsi="Calibri"/>
                <w:b w:val="0"/>
                <w:color w:val="2C3E50"/>
                <w:sz w:val="20"/>
              </w:rPr>
              <w:t>—</w:t>
            </w:r>
          </w:p>
        </w:tc>
        <w:tc>
          <w:tcPr>
            <w:tcW w:type="dxa" w:w="3135"/>
          </w:tcPr>
          <w:p>
            <w:pPr>
              <w:jc w:val="left"/>
            </w:pPr>
            <w:r/>
            <w:r>
              <w:rPr>
                <w:rFonts w:ascii="Calibri" w:hAnsi="Calibri"/>
                <w:b w:val="0"/>
                <w:color w:val="2C3E50"/>
                <w:sz w:val="20"/>
              </w:rPr>
              <w:t>Etikettering asbesthoudende producten</w:t>
            </w:r>
          </w:p>
        </w:tc>
      </w:tr>
      <w:tr>
        <w:tc>
          <w:tcPr>
            <w:tcW w:type="dxa" w:w="3135"/>
          </w:tcPr>
          <w:p>
            <w:pPr>
              <w:jc w:val="left"/>
            </w:pPr>
            <w:r/>
            <w:r>
              <w:rPr>
                <w:rFonts w:ascii="Calibri" w:hAnsi="Calibri"/>
                <w:b w:val="0"/>
                <w:color w:val="2C3E50"/>
                <w:sz w:val="20"/>
              </w:rPr>
              <w:t>Asbestverwijderingsbesluit 2005</w:t>
            </w:r>
          </w:p>
        </w:tc>
        <w:tc>
          <w:tcPr>
            <w:tcW w:type="dxa" w:w="3135"/>
          </w:tcPr>
          <w:p>
            <w:pPr>
              <w:jc w:val="left"/>
            </w:pPr>
            <w:r/>
            <w:r>
              <w:rPr>
                <w:rFonts w:ascii="Calibri" w:hAnsi="Calibri"/>
                <w:b w:val="0"/>
                <w:color w:val="2C3E50"/>
                <w:sz w:val="20"/>
              </w:rPr>
              <w:t>—</w:t>
            </w:r>
          </w:p>
        </w:tc>
        <w:tc>
          <w:tcPr>
            <w:tcW w:type="dxa" w:w="3135"/>
          </w:tcPr>
          <w:p>
            <w:pPr>
              <w:jc w:val="left"/>
            </w:pPr>
            <w:r/>
            <w:r>
              <w:rPr>
                <w:rFonts w:ascii="Calibri" w:hAnsi="Calibri"/>
                <w:b w:val="0"/>
                <w:color w:val="2C3E50"/>
                <w:sz w:val="20"/>
              </w:rPr>
              <w:t>Milieuaspecten asbestverwijdering</w:t>
            </w:r>
          </w:p>
        </w:tc>
      </w:tr>
      <w:tr>
        <w:tc>
          <w:tcPr>
            <w:tcW w:type="dxa" w:w="3135"/>
          </w:tcPr>
          <w:p>
            <w:pPr>
              <w:jc w:val="left"/>
            </w:pPr>
            <w:r/>
            <w:r>
              <w:rPr>
                <w:rFonts w:ascii="Calibri" w:hAnsi="Calibri"/>
                <w:b w:val="0"/>
                <w:color w:val="2C3E50"/>
                <w:sz w:val="20"/>
              </w:rPr>
              <w:t>EG-richtlijn 1999/77/EG</w:t>
            </w:r>
          </w:p>
        </w:tc>
        <w:tc>
          <w:tcPr>
            <w:tcW w:type="dxa" w:w="3135"/>
          </w:tcPr>
          <w:p>
            <w:pPr>
              <w:jc w:val="left"/>
            </w:pPr>
            <w:r/>
            <w:r>
              <w:rPr>
                <w:rFonts w:ascii="Calibri" w:hAnsi="Calibri"/>
                <w:b w:val="0"/>
                <w:color w:val="2C3E50"/>
                <w:sz w:val="20"/>
              </w:rPr>
              <w:t>—</w:t>
            </w:r>
          </w:p>
        </w:tc>
        <w:tc>
          <w:tcPr>
            <w:tcW w:type="dxa" w:w="3135"/>
          </w:tcPr>
          <w:p>
            <w:pPr>
              <w:jc w:val="left"/>
            </w:pPr>
            <w:r/>
            <w:r>
              <w:rPr>
                <w:rFonts w:ascii="Calibri" w:hAnsi="Calibri"/>
                <w:b w:val="0"/>
                <w:color w:val="2C3E50"/>
                <w:sz w:val="20"/>
              </w:rPr>
              <w:t>EU-asbestverbod</w:t>
            </w:r>
          </w:p>
        </w:tc>
      </w:tr>
    </w:tbl>
    <w:p>
      <w:r>
        <w:rPr>
          <w:rFonts w:ascii="Calibri" w:hAnsi="Calibri"/>
          <w:b/>
          <w:color w:val="1A3A5C"/>
          <w:sz w:val="26"/>
        </w:rPr>
        <w:t>3.2 Grenswaarde en Risicoklassen</w:t>
      </w:r>
    </w:p>
    <w:p>
      <w:r>
        <w:rPr>
          <w:b/>
          <w:i w:val="0"/>
          <w:color w:val="2C3E50"/>
          <w:sz w:val="22"/>
        </w:rPr>
        <w:t>Wettelijke grenswaarde: 2.000 vezels/m³ (Arbobesluit art. 4.44)</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1a3a5c"/>
          </w:tcPr>
          <w:p>
            <w:pPr>
              <w:jc w:val="left"/>
            </w:pPr>
            <w:r/>
            <w:r>
              <w:rPr>
                <w:rFonts w:ascii="Calibri" w:hAnsi="Calibri"/>
                <w:b/>
                <w:color w:val="FFFFFF"/>
                <w:sz w:val="18"/>
              </w:rPr>
              <w:t>Risicoklasse</w:t>
            </w:r>
          </w:p>
        </w:tc>
        <w:tc>
          <w:tcPr>
            <w:tcW w:type="dxa" w:w="2351"/>
            <w:shd w:fill="1a3a5c"/>
          </w:tcPr>
          <w:p>
            <w:pPr>
              <w:jc w:val="left"/>
            </w:pPr>
            <w:r/>
            <w:r>
              <w:rPr>
                <w:rFonts w:ascii="Calibri" w:hAnsi="Calibri"/>
                <w:b/>
                <w:color w:val="FFFFFF"/>
                <w:sz w:val="18"/>
              </w:rPr>
              <w:t>Voorwaarde</w:t>
            </w:r>
          </w:p>
        </w:tc>
        <w:tc>
          <w:tcPr>
            <w:tcW w:type="dxa" w:w="2351"/>
            <w:shd w:fill="1a3a5c"/>
          </w:tcPr>
          <w:p>
            <w:pPr>
              <w:jc w:val="left"/>
            </w:pPr>
            <w:r/>
            <w:r>
              <w:rPr>
                <w:rFonts w:ascii="Calibri" w:hAnsi="Calibri"/>
                <w:b/>
                <w:color w:val="FFFFFF"/>
                <w:sz w:val="18"/>
              </w:rPr>
              <w:t>Wetgeving</w:t>
            </w:r>
          </w:p>
        </w:tc>
        <w:tc>
          <w:tcPr>
            <w:tcW w:type="dxa" w:w="2351"/>
            <w:shd w:fill="1a3a5c"/>
          </w:tcPr>
          <w:p>
            <w:pPr>
              <w:jc w:val="left"/>
            </w:pPr>
            <w:r/>
            <w:r>
              <w:rPr>
                <w:rFonts w:ascii="Calibri" w:hAnsi="Calibri"/>
                <w:b/>
                <w:color w:val="FFFFFF"/>
                <w:sz w:val="18"/>
              </w:rPr>
              <w:t>Extra Eisen</w:t>
            </w:r>
          </w:p>
        </w:tc>
      </w:tr>
      <w:tr>
        <w:tc>
          <w:tcPr>
            <w:tcW w:type="dxa" w:w="2351"/>
            <w:shd w:fill="e8f8e8"/>
          </w:tcPr>
          <w:p>
            <w:pPr>
              <w:jc w:val="left"/>
            </w:pPr>
            <w:r/>
            <w:r>
              <w:rPr>
                <w:rFonts w:ascii="Calibri" w:hAnsi="Calibri"/>
                <w:b w:val="0"/>
                <w:color w:val="2C3E50"/>
                <w:sz w:val="18"/>
              </w:rPr>
              <w:t>1</w:t>
            </w:r>
          </w:p>
        </w:tc>
        <w:tc>
          <w:tcPr>
            <w:tcW w:type="dxa" w:w="2351"/>
          </w:tcPr>
          <w:p>
            <w:pPr>
              <w:jc w:val="left"/>
            </w:pPr>
            <w:r/>
            <w:r>
              <w:rPr>
                <w:rFonts w:ascii="Calibri" w:hAnsi="Calibri"/>
                <w:b w:val="0"/>
                <w:color w:val="2C3E50"/>
                <w:sz w:val="18"/>
              </w:rPr>
              <w:t>&lt; 2.000 vezels/m³</w:t>
            </w:r>
          </w:p>
        </w:tc>
        <w:tc>
          <w:tcPr>
            <w:tcW w:type="dxa" w:w="2351"/>
          </w:tcPr>
          <w:p>
            <w:pPr>
              <w:jc w:val="left"/>
            </w:pPr>
            <w:r/>
            <w:r>
              <w:rPr>
                <w:rFonts w:ascii="Calibri" w:hAnsi="Calibri"/>
                <w:b w:val="0"/>
                <w:color w:val="2C3E50"/>
                <w:sz w:val="18"/>
              </w:rPr>
              <w:t>Art. 4.44-4.47c</w:t>
            </w:r>
          </w:p>
        </w:tc>
        <w:tc>
          <w:tcPr>
            <w:tcW w:type="dxa" w:w="2351"/>
          </w:tcPr>
          <w:p>
            <w:pPr>
              <w:jc w:val="left"/>
            </w:pPr>
            <w:r/>
            <w:r>
              <w:rPr>
                <w:rFonts w:ascii="Calibri" w:hAnsi="Calibri"/>
                <w:b w:val="0"/>
                <w:color w:val="2C3E50"/>
                <w:sz w:val="18"/>
              </w:rPr>
              <w:t>Standaard maatregelen, ALARA, DTA (verlicht)</w:t>
            </w:r>
          </w:p>
        </w:tc>
      </w:tr>
      <w:tr>
        <w:tc>
          <w:tcPr>
            <w:tcW w:type="dxa" w:w="2351"/>
            <w:shd w:fill="fff4e0"/>
          </w:tcPr>
          <w:p>
            <w:pPr>
              <w:jc w:val="left"/>
            </w:pPr>
            <w:r/>
            <w:r>
              <w:rPr>
                <w:rFonts w:ascii="Calibri" w:hAnsi="Calibri"/>
                <w:b w:val="0"/>
                <w:color w:val="2C3E50"/>
                <w:sz w:val="18"/>
              </w:rPr>
              <w:t>2</w:t>
            </w:r>
          </w:p>
        </w:tc>
        <w:tc>
          <w:tcPr>
            <w:tcW w:type="dxa" w:w="2351"/>
          </w:tcPr>
          <w:p>
            <w:pPr>
              <w:jc w:val="left"/>
            </w:pPr>
            <w:r/>
            <w:r>
              <w:rPr>
                <w:rFonts w:ascii="Calibri" w:hAnsi="Calibri"/>
                <w:b w:val="0"/>
                <w:color w:val="2C3E50"/>
                <w:sz w:val="18"/>
              </w:rPr>
              <w:t>Chrysotiel &gt; 2.000 vezels/m³</w:t>
            </w:r>
          </w:p>
        </w:tc>
        <w:tc>
          <w:tcPr>
            <w:tcW w:type="dxa" w:w="2351"/>
          </w:tcPr>
          <w:p>
            <w:pPr>
              <w:jc w:val="left"/>
            </w:pPr>
            <w:r/>
            <w:r>
              <w:rPr>
                <w:rFonts w:ascii="Calibri" w:hAnsi="Calibri"/>
                <w:b w:val="0"/>
                <w:color w:val="2C3E50"/>
                <w:sz w:val="18"/>
              </w:rPr>
              <w:t>Art. 4.48-4.53</w:t>
            </w:r>
          </w:p>
        </w:tc>
        <w:tc>
          <w:tcPr>
            <w:tcW w:type="dxa" w:w="2351"/>
          </w:tcPr>
          <w:p>
            <w:pPr>
              <w:jc w:val="left"/>
            </w:pPr>
            <w:r/>
            <w:r>
              <w:rPr>
                <w:rFonts w:ascii="Calibri" w:hAnsi="Calibri"/>
                <w:b w:val="0"/>
                <w:color w:val="2C3E50"/>
                <w:sz w:val="18"/>
              </w:rPr>
              <w:t>Gecertificeerd bedrijf, DTA, werkplan, P3, NEN 2990</w:t>
            </w:r>
          </w:p>
        </w:tc>
      </w:tr>
      <w:tr>
        <w:tc>
          <w:tcPr>
            <w:tcW w:type="dxa" w:w="2351"/>
            <w:shd w:fill="fde8e8"/>
          </w:tcPr>
          <w:p>
            <w:pPr>
              <w:jc w:val="left"/>
            </w:pPr>
            <w:r/>
            <w:r>
              <w:rPr>
                <w:rFonts w:ascii="Calibri" w:hAnsi="Calibri"/>
                <w:b w:val="0"/>
                <w:color w:val="2C3E50"/>
                <w:sz w:val="18"/>
              </w:rPr>
              <w:t>2A</w:t>
            </w:r>
          </w:p>
        </w:tc>
        <w:tc>
          <w:tcPr>
            <w:tcW w:type="dxa" w:w="2351"/>
          </w:tcPr>
          <w:p>
            <w:pPr>
              <w:jc w:val="left"/>
            </w:pPr>
            <w:r/>
            <w:r>
              <w:rPr>
                <w:rFonts w:ascii="Calibri" w:hAnsi="Calibri"/>
                <w:b w:val="0"/>
                <w:color w:val="2C3E50"/>
                <w:sz w:val="18"/>
              </w:rPr>
              <w:t>Amfibool &gt; 2.000 vezels/m³</w:t>
            </w:r>
          </w:p>
        </w:tc>
        <w:tc>
          <w:tcPr>
            <w:tcW w:type="dxa" w:w="2351"/>
          </w:tcPr>
          <w:p>
            <w:pPr>
              <w:jc w:val="left"/>
            </w:pPr>
            <w:r/>
            <w:r>
              <w:rPr>
                <w:rFonts w:ascii="Calibri" w:hAnsi="Calibri"/>
                <w:b w:val="0"/>
                <w:color w:val="2C3E50"/>
                <w:sz w:val="18"/>
              </w:rPr>
              <w:t>Art. 4.53a-c</w:t>
            </w:r>
          </w:p>
        </w:tc>
        <w:tc>
          <w:tcPr>
            <w:tcW w:type="dxa" w:w="2351"/>
          </w:tcPr>
          <w:p>
            <w:pPr>
              <w:jc w:val="left"/>
            </w:pPr>
            <w:r/>
            <w:r>
              <w:rPr>
                <w:rFonts w:ascii="Calibri" w:hAnsi="Calibri"/>
                <w:b w:val="0"/>
                <w:color w:val="2C3E50"/>
                <w:sz w:val="18"/>
              </w:rPr>
              <w:t>Als klasse 2 + verzwaarde eindbeoordeling (EM)</w:t>
            </w:r>
          </w:p>
        </w:tc>
      </w:tr>
    </w:tbl>
    <w:p>
      <w:r>
        <w:rPr>
          <w:rFonts w:ascii="Calibri" w:hAnsi="Calibri"/>
          <w:b/>
          <w:color w:val="1A3A5C"/>
          <w:sz w:val="26"/>
        </w:rPr>
        <w:t>3.3 Certificeringseisen</w:t>
      </w:r>
    </w:p>
    <w:tbl>
      <w:tblPr>
        <w:tblStyle w:val="TableGrid"/>
        <w:tblW w:type="auto" w:w="0"/>
        <w:tblLook w:firstColumn="1" w:firstRow="1" w:lastColumn="0" w:lastRow="0" w:noHBand="0" w:noVBand="1" w:val="04A0"/>
      </w:tblPr>
      <w:tblGrid>
        <w:gridCol w:w="3135"/>
        <w:gridCol w:w="3135"/>
        <w:gridCol w:w="3135"/>
      </w:tblGrid>
      <w:tr>
        <w:tc>
          <w:tcPr>
            <w:tcW w:type="dxa" w:w="3135"/>
            <w:shd w:fill="1a3a5c"/>
          </w:tcPr>
          <w:p>
            <w:pPr>
              <w:jc w:val="left"/>
            </w:pPr>
            <w:r/>
            <w:r>
              <w:rPr>
                <w:rFonts w:ascii="Calibri" w:hAnsi="Calibri"/>
                <w:b/>
                <w:color w:val="FFFFFF"/>
                <w:sz w:val="20"/>
              </w:rPr>
              <w:t>Certificaat</w:t>
            </w:r>
          </w:p>
        </w:tc>
        <w:tc>
          <w:tcPr>
            <w:tcW w:type="dxa" w:w="3135"/>
            <w:shd w:fill="1a3a5c"/>
          </w:tcPr>
          <w:p>
            <w:pPr>
              <w:jc w:val="left"/>
            </w:pPr>
            <w:r/>
            <w:r>
              <w:rPr>
                <w:rFonts w:ascii="Calibri" w:hAnsi="Calibri"/>
                <w:b/>
                <w:color w:val="FFFFFF"/>
                <w:sz w:val="20"/>
              </w:rPr>
              <w:t>Code</w:t>
            </w:r>
          </w:p>
        </w:tc>
        <w:tc>
          <w:tcPr>
            <w:tcW w:type="dxa" w:w="3135"/>
            <w:shd w:fill="1a3a5c"/>
          </w:tcPr>
          <w:p>
            <w:pPr>
              <w:jc w:val="left"/>
            </w:pPr>
            <w:r/>
            <w:r>
              <w:rPr>
                <w:rFonts w:ascii="Calibri" w:hAnsi="Calibri"/>
                <w:b/>
                <w:color w:val="FFFFFF"/>
                <w:sz w:val="20"/>
              </w:rPr>
              <w:t>Rol</w:t>
            </w:r>
          </w:p>
        </w:tc>
      </w:tr>
      <w:tr>
        <w:tc>
          <w:tcPr>
            <w:tcW w:type="dxa" w:w="3135"/>
          </w:tcPr>
          <w:p>
            <w:pPr>
              <w:jc w:val="left"/>
            </w:pPr>
            <w:r/>
            <w:r>
              <w:rPr>
                <w:rFonts w:ascii="Calibri" w:hAnsi="Calibri"/>
                <w:b w:val="0"/>
                <w:color w:val="2C3E50"/>
                <w:sz w:val="20"/>
              </w:rPr>
              <w:t>DTA — Deskundig Toezichthouder Asbestsloop</w:t>
            </w:r>
          </w:p>
        </w:tc>
        <w:tc>
          <w:tcPr>
            <w:tcW w:type="dxa" w:w="3135"/>
          </w:tcPr>
          <w:p>
            <w:pPr>
              <w:jc w:val="left"/>
            </w:pPr>
            <w:r/>
            <w:r>
              <w:rPr>
                <w:rFonts w:ascii="Calibri" w:hAnsi="Calibri"/>
                <w:b w:val="0"/>
                <w:color w:val="2C3E50"/>
                <w:sz w:val="20"/>
              </w:rPr>
              <w:t>SC-510</w:t>
            </w:r>
          </w:p>
        </w:tc>
        <w:tc>
          <w:tcPr>
            <w:tcW w:type="dxa" w:w="3135"/>
          </w:tcPr>
          <w:p>
            <w:pPr>
              <w:jc w:val="left"/>
            </w:pPr>
            <w:r/>
            <w:r>
              <w:rPr>
                <w:rFonts w:ascii="Calibri" w:hAnsi="Calibri"/>
                <w:b w:val="0"/>
                <w:color w:val="2C3E50"/>
                <w:sz w:val="20"/>
              </w:rPr>
              <w:t>Toezicht alle asbestverwijdering</w:t>
            </w:r>
          </w:p>
        </w:tc>
      </w:tr>
      <w:tr>
        <w:tc>
          <w:tcPr>
            <w:tcW w:type="dxa" w:w="3135"/>
          </w:tcPr>
          <w:p>
            <w:pPr>
              <w:jc w:val="left"/>
            </w:pPr>
            <w:r/>
            <w:r>
              <w:rPr>
                <w:rFonts w:ascii="Calibri" w:hAnsi="Calibri"/>
                <w:b w:val="0"/>
                <w:color w:val="2C3E50"/>
                <w:sz w:val="20"/>
              </w:rPr>
              <w:t>DAV-1 / DAV-2 — Deskundig Asbestverwijderaar</w:t>
            </w:r>
          </w:p>
        </w:tc>
        <w:tc>
          <w:tcPr>
            <w:tcW w:type="dxa" w:w="3135"/>
          </w:tcPr>
          <w:p>
            <w:pPr>
              <w:jc w:val="left"/>
            </w:pPr>
            <w:r/>
            <w:r>
              <w:rPr>
                <w:rFonts w:ascii="Calibri" w:hAnsi="Calibri"/>
                <w:b w:val="0"/>
                <w:color w:val="2C3E50"/>
                <w:sz w:val="20"/>
              </w:rPr>
              <w:t>SC-520</w:t>
            </w:r>
          </w:p>
        </w:tc>
        <w:tc>
          <w:tcPr>
            <w:tcW w:type="dxa" w:w="3135"/>
          </w:tcPr>
          <w:p>
            <w:pPr>
              <w:jc w:val="left"/>
            </w:pPr>
            <w:r/>
            <w:r>
              <w:rPr>
                <w:rFonts w:ascii="Calibri" w:hAnsi="Calibri"/>
                <w:b w:val="0"/>
                <w:color w:val="2C3E50"/>
                <w:sz w:val="20"/>
              </w:rPr>
              <w:t>Uitvoering risicoklasse 2/2A</w:t>
            </w:r>
          </w:p>
        </w:tc>
      </w:tr>
      <w:tr>
        <w:tc>
          <w:tcPr>
            <w:tcW w:type="dxa" w:w="3135"/>
          </w:tcPr>
          <w:p>
            <w:pPr>
              <w:jc w:val="left"/>
            </w:pPr>
            <w:r/>
            <w:r>
              <w:rPr>
                <w:rFonts w:ascii="Calibri" w:hAnsi="Calibri"/>
                <w:b w:val="0"/>
                <w:color w:val="2C3E50"/>
                <w:sz w:val="20"/>
              </w:rPr>
              <w:t>DIA — Deskundig Inventariseerder Asbest</w:t>
            </w:r>
          </w:p>
        </w:tc>
        <w:tc>
          <w:tcPr>
            <w:tcW w:type="dxa" w:w="3135"/>
          </w:tcPr>
          <w:p>
            <w:pPr>
              <w:jc w:val="left"/>
            </w:pPr>
            <w:r/>
            <w:r>
              <w:rPr>
                <w:rFonts w:ascii="Calibri" w:hAnsi="Calibri"/>
                <w:b w:val="0"/>
                <w:color w:val="2C3E50"/>
                <w:sz w:val="20"/>
              </w:rPr>
              <w:t>SC-560</w:t>
            </w:r>
          </w:p>
        </w:tc>
        <w:tc>
          <w:tcPr>
            <w:tcW w:type="dxa" w:w="3135"/>
          </w:tcPr>
          <w:p>
            <w:pPr>
              <w:jc w:val="left"/>
            </w:pPr>
            <w:r/>
            <w:r>
              <w:rPr>
                <w:rFonts w:ascii="Calibri" w:hAnsi="Calibri"/>
                <w:b w:val="0"/>
                <w:color w:val="2C3E50"/>
                <w:sz w:val="20"/>
              </w:rPr>
              <w:t>Asbestinventarisatie</w:t>
            </w:r>
          </w:p>
        </w:tc>
      </w:tr>
      <w:tr>
        <w:tc>
          <w:tcPr>
            <w:tcW w:type="dxa" w:w="3135"/>
          </w:tcPr>
          <w:p>
            <w:pPr>
              <w:jc w:val="left"/>
            </w:pPr>
            <w:r/>
            <w:r>
              <w:rPr>
                <w:rFonts w:ascii="Calibri" w:hAnsi="Calibri"/>
                <w:b w:val="0"/>
                <w:color w:val="2C3E50"/>
                <w:sz w:val="20"/>
              </w:rPr>
              <w:t>CI-auditor Asbest</w:t>
            </w:r>
          </w:p>
        </w:tc>
        <w:tc>
          <w:tcPr>
            <w:tcW w:type="dxa" w:w="3135"/>
          </w:tcPr>
          <w:p>
            <w:pPr>
              <w:jc w:val="left"/>
            </w:pPr>
            <w:r/>
            <w:r>
              <w:rPr>
                <w:rFonts w:ascii="Calibri" w:hAnsi="Calibri"/>
                <w:b w:val="0"/>
                <w:color w:val="2C3E50"/>
                <w:sz w:val="20"/>
              </w:rPr>
              <w:t>SC-550</w:t>
            </w:r>
          </w:p>
        </w:tc>
        <w:tc>
          <w:tcPr>
            <w:tcW w:type="dxa" w:w="3135"/>
          </w:tcPr>
          <w:p>
            <w:pPr>
              <w:jc w:val="left"/>
            </w:pPr>
            <w:r/>
            <w:r>
              <w:rPr>
                <w:rFonts w:ascii="Calibri" w:hAnsi="Calibri"/>
                <w:b w:val="0"/>
                <w:color w:val="2C3E50"/>
                <w:sz w:val="20"/>
              </w:rPr>
              <w:t>Audits asbestprocessen</w:t>
            </w:r>
          </w:p>
        </w:tc>
      </w:tr>
    </w:tbl>
    <w:p>
      <w:r>
        <w:br w:type="page"/>
      </w:r>
    </w:p>
    <w:p>
      <w:r>
        <w:rPr>
          <w:rFonts w:ascii="Calibri" w:hAnsi="Calibri"/>
          <w:b/>
          <w:color w:val="1A3A5C"/>
          <w:sz w:val="32"/>
        </w:rPr>
        <w:t>4. Audit Methodiek</w:t>
      </w:r>
    </w:p>
    <w:p>
      <w:r>
        <w:rPr>
          <w:b w:val="0"/>
          <w:i w:val="0"/>
          <w:color w:val="2C3E50"/>
          <w:sz w:val="22"/>
        </w:rPr>
        <w:t>De audit is uitgevoerd volgens het Sniper Protocol voor exacte data-extractie en norm-toetsing:</w:t>
      </w:r>
    </w:p>
    <w:p>
      <w:r>
        <w:rPr>
          <w:b w:val="0"/>
          <w:i w:val="0"/>
          <w:color w:val="2C3E50"/>
          <w:sz w:val="22"/>
        </w:rPr>
      </w:r>
    </w:p>
    <w:p>
      <w:r>
        <w:rPr>
          <w:b w:val="0"/>
          <w:i w:val="0"/>
          <w:color w:val="2C3E50"/>
          <w:sz w:val="22"/>
        </w:rPr>
        <w:t>1. Volledige tekstextractie van brondocumenten (pdftotext)</w:t>
      </w:r>
    </w:p>
    <w:p>
      <w:r>
        <w:rPr>
          <w:b w:val="0"/>
          <w:i w:val="0"/>
          <w:color w:val="2C3E50"/>
          <w:sz w:val="22"/>
        </w:rPr>
        <w:t>2. Per artikel Arbobesluit systematisch gecheckt tegen de Koole procedure</w:t>
      </w:r>
    </w:p>
    <w:p>
      <w:r>
        <w:rPr>
          <w:b w:val="0"/>
          <w:i w:val="0"/>
          <w:color w:val="2C3E50"/>
          <w:sz w:val="22"/>
        </w:rPr>
        <w:t>3. Alle bevindingen terug te voeren op specifieke wettelijke artikelen en AI-blad paragrafen</w:t>
      </w:r>
    </w:p>
    <w:p>
      <w:r>
        <w:rPr>
          <w:b w:val="0"/>
          <w:i w:val="0"/>
          <w:color w:val="2C3E50"/>
          <w:sz w:val="22"/>
        </w:rPr>
        <w:t>4. Tier-indeling bronnen: Tier 1 (Koole procedure) en Tier 2 (Arbobesluit, AI-blad)</w:t>
      </w:r>
    </w:p>
    <w:p>
      <w:r>
        <w:rPr>
          <w:b w:val="0"/>
          <w:i w:val="0"/>
          <w:color w:val="2C3E50"/>
          <w:sz w:val="22"/>
        </w:rPr>
      </w:r>
    </w:p>
    <w:p>
      <w:r>
        <w:rPr>
          <w:b/>
          <w:i w:val="0"/>
          <w:color w:val="2C3E50"/>
          <w:sz w:val="22"/>
        </w:rPr>
        <w:t>Bronnen geraadpleegd:</w:t>
      </w:r>
    </w:p>
    <w:p>
      <w:r>
        <w:rPr>
          <w:b w:val="0"/>
          <w:i w:val="0"/>
          <w:color w:val="2C3E50"/>
          <w:sz w:val="22"/>
        </w:rPr>
        <w:t>• Tier 1: Koole 003.059 Asbestos Removal Procedure Rev 1 (19 mei 2026)</w:t>
      </w:r>
    </w:p>
    <w:p>
      <w:r>
        <w:rPr>
          <w:b w:val="0"/>
          <w:i w:val="0"/>
          <w:color w:val="2C3E50"/>
          <w:sz w:val="22"/>
        </w:rPr>
        <w:t>• Tier 2: AI-blad Asbest (AI-03) — Sdu Fonds, bijgewerkt juli 2023</w:t>
      </w:r>
    </w:p>
    <w:p>
      <w:r>
        <w:rPr>
          <w:b w:val="0"/>
          <w:i w:val="0"/>
          <w:color w:val="2C3E50"/>
          <w:sz w:val="22"/>
        </w:rPr>
        <w:t>• Tier 2: Arbobesluit hoofdstuk 4, afdeling 5 (via AI-blad referenties)</w:t>
      </w:r>
    </w:p>
    <w:p>
      <w:r>
        <w:rPr>
          <w:b w:val="0"/>
          <w:i w:val="0"/>
          <w:color w:val="2C3E50"/>
          <w:sz w:val="22"/>
        </w:rPr>
        <w:t>• Tier 2: Arbeidsomstandighedenregeling — Certificatieschema Asbest</w:t>
      </w:r>
    </w:p>
    <w:p>
      <w:r>
        <w:br w:type="page"/>
      </w:r>
    </w:p>
    <w:p>
      <w:r>
        <w:rPr>
          <w:rFonts w:ascii="Calibri" w:hAnsi="Calibri"/>
          <w:b/>
          <w:color w:val="1A3A5C"/>
          <w:sz w:val="32"/>
        </w:rPr>
        <w:t>5. Audit Bevindingen</w:t>
      </w:r>
    </w:p>
    <w:p>
      <w:r>
        <w:rPr>
          <w:rFonts w:ascii="Calibri" w:hAnsi="Calibri"/>
          <w:b/>
          <w:color w:val="C0392B"/>
          <w:sz w:val="26"/>
        </w:rPr>
        <w:t>5.1 Categorie A — Critieke Non-Conformiteiten</w:t>
      </w:r>
    </w:p>
    <w:tbl>
      <w:tblPr>
        <w:tblStyle w:val="TableGrid"/>
        <w:tblW w:type="auto" w:w="0"/>
        <w:tblLook w:firstColumn="1" w:firstRow="1" w:lastColumn="0" w:lastRow="0" w:noHBand="0" w:noVBand="1" w:val="04A0"/>
      </w:tblPr>
      <w:tblGrid>
        <w:gridCol w:w="4703"/>
        <w:gridCol w:w="4703"/>
      </w:tblGrid>
      <w:tr>
        <w:tc>
          <w:tcPr>
            <w:tcW w:type="dxa" w:w="4703"/>
            <w:shd w:fill="c0392b"/>
          </w:tcPr>
          <w:p>
            <w:pPr>
              <w:jc w:val="left"/>
            </w:pPr>
            <w:r/>
            <w:r>
              <w:rPr>
                <w:rFonts w:ascii="Calibri" w:hAnsi="Calibri"/>
                <w:b/>
                <w:color w:val="FFFFFF"/>
                <w:sz w:val="20"/>
              </w:rPr>
              <w:t>A-01</w:t>
            </w:r>
          </w:p>
        </w:tc>
        <w:tc>
          <w:tcPr>
            <w:tcW w:type="dxa" w:w="4703"/>
            <w:shd w:fill="fde8e8"/>
          </w:tcPr>
          <w:p>
            <w:pPr>
              <w:jc w:val="left"/>
            </w:pPr>
            <w:r/>
            <w:r>
              <w:rPr>
                <w:rFonts w:ascii="Calibri" w:hAnsi="Calibri"/>
                <w:b/>
                <w:color w:val="2C3E50"/>
                <w:sz w:val="20"/>
              </w:rPr>
              <w:t>Geen risicoklassen 1/2/2A</w:t>
            </w:r>
          </w:p>
        </w:tc>
      </w:tr>
      <w:tr>
        <w:tc>
          <w:tcPr>
            <w:tcW w:type="dxa" w:w="9406"/>
            <w:gridSpan w:val="2"/>
          </w:tcPr>
          <w:p>
            <w:pPr>
              <w:jc w:val="left"/>
            </w:pPr>
            <w:r/>
            <w:r>
              <w:rPr>
                <w:rFonts w:ascii="Calibri" w:hAnsi="Calibri"/>
                <w:b w:val="0"/>
                <w:color w:val="2C3E50"/>
                <w:sz w:val="20"/>
              </w:rPr>
              <w:t>Procedure noemt niet de Nederlandse risicoklassen. Arbobesluit art. 4.44-4.53c niet gespecificeerd. Onjuiste classificering kan leiden tot onvoldoende beheersmaatregelen.</w:t>
            </w:r>
          </w:p>
        </w:tc>
      </w:tr>
      <w:tr>
        <w:tc>
          <w:tcPr>
            <w:tcW w:type="dxa" w:w="4703"/>
          </w:tcPr>
          <w:p>
            <w:pPr>
              <w:jc w:val="left"/>
            </w:pPr>
            <w:r/>
            <w:r>
              <w:rPr>
                <w:rFonts w:ascii="Calibri" w:hAnsi="Calibri"/>
                <w:b/>
                <w:color w:val="2C3E50"/>
                <w:sz w:val="18"/>
              </w:rPr>
              <w:t>Referentie:</w:t>
            </w:r>
          </w:p>
        </w:tc>
        <w:tc>
          <w:tcPr>
            <w:tcW w:type="dxa" w:w="4703"/>
          </w:tcPr>
          <w:p>
            <w:pPr>
              <w:jc w:val="left"/>
            </w:pPr>
            <w:r/>
            <w:r>
              <w:rPr>
                <w:rFonts w:ascii="Calibri" w:hAnsi="Calibri"/>
                <w:b w:val="0"/>
                <w:color w:val="2C3E50"/>
                <w:sz w:val="18"/>
              </w:rPr>
              <w:t>Art. 4.44-4.53c</w:t>
            </w:r>
          </w:p>
        </w:tc>
      </w:tr>
      <w:tr>
        <w:tc>
          <w:tcPr>
            <w:tcW w:type="dxa" w:w="4703"/>
          </w:tcPr>
          <w:p>
            <w:pPr>
              <w:jc w:val="left"/>
            </w:pPr>
            <w:r/>
            <w:r>
              <w:rPr>
                <w:rFonts w:ascii="Calibri" w:hAnsi="Calibri"/>
                <w:b/>
                <w:color w:val="2C3E50"/>
                <w:sz w:val="18"/>
              </w:rPr>
              <w:t>Status:</w:t>
            </w:r>
          </w:p>
        </w:tc>
        <w:tc>
          <w:tcPr>
            <w:tcW w:type="dxa" w:w="4703"/>
            <w:shd w:fill="fde8e8"/>
          </w:tcPr>
          <w:p>
            <w:pPr>
              <w:jc w:val="left"/>
            </w:pPr>
            <w:r/>
            <w:r>
              <w:rPr>
                <w:rFonts w:ascii="Calibri" w:hAnsi="Calibri"/>
                <w:b w:val="0"/>
                <w:color w:val="C0392B"/>
                <w:sz w:val="18"/>
              </w:rPr>
              <w:t>❌ NON-CONFORM — Herziening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c0392b"/>
          </w:tcPr>
          <w:p>
            <w:pPr>
              <w:jc w:val="left"/>
            </w:pPr>
            <w:r/>
            <w:r>
              <w:rPr>
                <w:rFonts w:ascii="Calibri" w:hAnsi="Calibri"/>
                <w:b/>
                <w:color w:val="FFFFFF"/>
                <w:sz w:val="20"/>
              </w:rPr>
              <w:t>A-02</w:t>
            </w:r>
          </w:p>
        </w:tc>
        <w:tc>
          <w:tcPr>
            <w:tcW w:type="dxa" w:w="4703"/>
            <w:shd w:fill="fde8e8"/>
          </w:tcPr>
          <w:p>
            <w:pPr>
              <w:jc w:val="left"/>
            </w:pPr>
            <w:r/>
            <w:r>
              <w:rPr>
                <w:rFonts w:ascii="Calibri" w:hAnsi="Calibri"/>
                <w:b/>
                <w:color w:val="2C3E50"/>
                <w:sz w:val="20"/>
              </w:rPr>
              <w:t>Geen SMA-rt verplichting</w:t>
            </w:r>
          </w:p>
        </w:tc>
      </w:tr>
      <w:tr>
        <w:tc>
          <w:tcPr>
            <w:tcW w:type="dxa" w:w="9406"/>
            <w:gridSpan w:val="2"/>
          </w:tcPr>
          <w:p>
            <w:pPr>
              <w:jc w:val="left"/>
            </w:pPr>
            <w:r/>
            <w:r>
              <w:rPr>
                <w:rFonts w:ascii="Calibri" w:hAnsi="Calibri"/>
                <w:b w:val="0"/>
                <w:color w:val="2C3E50"/>
                <w:sz w:val="20"/>
              </w:rPr>
              <w:t>Wettelijk instrument SMA-rt (StoffenManager Asbest) voor risicoklassebepaling niet voorgeschreven. Risico op onjuiste classificering.</w:t>
            </w:r>
          </w:p>
        </w:tc>
      </w:tr>
      <w:tr>
        <w:tc>
          <w:tcPr>
            <w:tcW w:type="dxa" w:w="4703"/>
          </w:tcPr>
          <w:p>
            <w:pPr>
              <w:jc w:val="left"/>
            </w:pPr>
            <w:r/>
            <w:r>
              <w:rPr>
                <w:rFonts w:ascii="Calibri" w:hAnsi="Calibri"/>
                <w:b/>
                <w:color w:val="2C3E50"/>
                <w:sz w:val="18"/>
              </w:rPr>
              <w:t>Referentie:</w:t>
            </w:r>
          </w:p>
        </w:tc>
        <w:tc>
          <w:tcPr>
            <w:tcW w:type="dxa" w:w="4703"/>
          </w:tcPr>
          <w:p>
            <w:pPr>
              <w:jc w:val="left"/>
            </w:pPr>
            <w:r/>
            <w:r>
              <w:rPr>
                <w:rFonts w:ascii="Calibri" w:hAnsi="Calibri"/>
                <w:b w:val="0"/>
                <w:color w:val="2C3E50"/>
                <w:sz w:val="18"/>
              </w:rPr>
              <w:t>Art. 4.50</w:t>
            </w:r>
          </w:p>
        </w:tc>
      </w:tr>
      <w:tr>
        <w:tc>
          <w:tcPr>
            <w:tcW w:type="dxa" w:w="4703"/>
          </w:tcPr>
          <w:p>
            <w:pPr>
              <w:jc w:val="left"/>
            </w:pPr>
            <w:r/>
            <w:r>
              <w:rPr>
                <w:rFonts w:ascii="Calibri" w:hAnsi="Calibri"/>
                <w:b/>
                <w:color w:val="2C3E50"/>
                <w:sz w:val="18"/>
              </w:rPr>
              <w:t>Status:</w:t>
            </w:r>
          </w:p>
        </w:tc>
        <w:tc>
          <w:tcPr>
            <w:tcW w:type="dxa" w:w="4703"/>
            <w:shd w:fill="fde8e8"/>
          </w:tcPr>
          <w:p>
            <w:pPr>
              <w:jc w:val="left"/>
            </w:pPr>
            <w:r/>
            <w:r>
              <w:rPr>
                <w:rFonts w:ascii="Calibri" w:hAnsi="Calibri"/>
                <w:b w:val="0"/>
                <w:color w:val="C0392B"/>
                <w:sz w:val="18"/>
              </w:rPr>
              <w:t>❌ NON-CONFORM — Herziening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c0392b"/>
          </w:tcPr>
          <w:p>
            <w:pPr>
              <w:jc w:val="left"/>
            </w:pPr>
            <w:r/>
            <w:r>
              <w:rPr>
                <w:rFonts w:ascii="Calibri" w:hAnsi="Calibri"/>
                <w:b/>
                <w:color w:val="FFFFFF"/>
                <w:sz w:val="20"/>
              </w:rPr>
              <w:t>A-03</w:t>
            </w:r>
          </w:p>
        </w:tc>
        <w:tc>
          <w:tcPr>
            <w:tcW w:type="dxa" w:w="4703"/>
            <w:shd w:fill="fde8e8"/>
          </w:tcPr>
          <w:p>
            <w:pPr>
              <w:jc w:val="left"/>
            </w:pPr>
            <w:r/>
            <w:r>
              <w:rPr>
                <w:rFonts w:ascii="Calibri" w:hAnsi="Calibri"/>
                <w:b/>
                <w:color w:val="2C3E50"/>
                <w:sz w:val="20"/>
              </w:rPr>
              <w:t>Geen LAVS-melding</w:t>
            </w:r>
          </w:p>
        </w:tc>
      </w:tr>
      <w:tr>
        <w:tc>
          <w:tcPr>
            <w:tcW w:type="dxa" w:w="9406"/>
            <w:gridSpan w:val="2"/>
          </w:tcPr>
          <w:p>
            <w:pPr>
              <w:jc w:val="left"/>
            </w:pPr>
            <w:r/>
            <w:r>
              <w:rPr>
                <w:rFonts w:ascii="Calibri" w:hAnsi="Calibri"/>
                <w:b w:val="0"/>
                <w:color w:val="2C3E50"/>
                <w:sz w:val="20"/>
              </w:rPr>
              <w:t>Verplichte melding via LAVS aan Nederlandse Arbeidsinspectie niet in procedure. Risico op handhaving en boetes.</w:t>
            </w:r>
          </w:p>
        </w:tc>
      </w:tr>
      <w:tr>
        <w:tc>
          <w:tcPr>
            <w:tcW w:type="dxa" w:w="4703"/>
          </w:tcPr>
          <w:p>
            <w:pPr>
              <w:jc w:val="left"/>
            </w:pPr>
            <w:r/>
            <w:r>
              <w:rPr>
                <w:rFonts w:ascii="Calibri" w:hAnsi="Calibri"/>
                <w:b/>
                <w:color w:val="2C3E50"/>
                <w:sz w:val="18"/>
              </w:rPr>
              <w:t>Referentie:</w:t>
            </w:r>
          </w:p>
        </w:tc>
        <w:tc>
          <w:tcPr>
            <w:tcW w:type="dxa" w:w="4703"/>
          </w:tcPr>
          <w:p>
            <w:pPr>
              <w:jc w:val="left"/>
            </w:pPr>
            <w:r/>
            <w:r>
              <w:rPr>
                <w:rFonts w:ascii="Calibri" w:hAnsi="Calibri"/>
                <w:b w:val="0"/>
                <w:color w:val="2C3E50"/>
                <w:sz w:val="18"/>
              </w:rPr>
              <w:t>Art. 4.49</w:t>
            </w:r>
          </w:p>
        </w:tc>
      </w:tr>
      <w:tr>
        <w:tc>
          <w:tcPr>
            <w:tcW w:type="dxa" w:w="4703"/>
          </w:tcPr>
          <w:p>
            <w:pPr>
              <w:jc w:val="left"/>
            </w:pPr>
            <w:r/>
            <w:r>
              <w:rPr>
                <w:rFonts w:ascii="Calibri" w:hAnsi="Calibri"/>
                <w:b/>
                <w:color w:val="2C3E50"/>
                <w:sz w:val="18"/>
              </w:rPr>
              <w:t>Status:</w:t>
            </w:r>
          </w:p>
        </w:tc>
        <w:tc>
          <w:tcPr>
            <w:tcW w:type="dxa" w:w="4703"/>
            <w:shd w:fill="fde8e8"/>
          </w:tcPr>
          <w:p>
            <w:pPr>
              <w:jc w:val="left"/>
            </w:pPr>
            <w:r/>
            <w:r>
              <w:rPr>
                <w:rFonts w:ascii="Calibri" w:hAnsi="Calibri"/>
                <w:b w:val="0"/>
                <w:color w:val="C0392B"/>
                <w:sz w:val="18"/>
              </w:rPr>
              <w:t>❌ NON-CONFORM — Herziening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c0392b"/>
          </w:tcPr>
          <w:p>
            <w:pPr>
              <w:jc w:val="left"/>
            </w:pPr>
            <w:r/>
            <w:r>
              <w:rPr>
                <w:rFonts w:ascii="Calibri" w:hAnsi="Calibri"/>
                <w:b/>
                <w:color w:val="FFFFFF"/>
                <w:sz w:val="20"/>
              </w:rPr>
              <w:t>A-04</w:t>
            </w:r>
          </w:p>
        </w:tc>
        <w:tc>
          <w:tcPr>
            <w:tcW w:type="dxa" w:w="4703"/>
            <w:shd w:fill="fde8e8"/>
          </w:tcPr>
          <w:p>
            <w:pPr>
              <w:jc w:val="left"/>
            </w:pPr>
            <w:r/>
            <w:r>
              <w:rPr>
                <w:rFonts w:ascii="Calibri" w:hAnsi="Calibri"/>
                <w:b/>
                <w:color w:val="2C3E50"/>
                <w:sz w:val="20"/>
              </w:rPr>
              <w:t>Geen certificeringseisen</w:t>
            </w:r>
          </w:p>
        </w:tc>
      </w:tr>
      <w:tr>
        <w:tc>
          <w:tcPr>
            <w:tcW w:type="dxa" w:w="9406"/>
            <w:gridSpan w:val="2"/>
          </w:tcPr>
          <w:p>
            <w:pPr>
              <w:jc w:val="left"/>
            </w:pPr>
            <w:r/>
            <w:r>
              <w:rPr>
                <w:rFonts w:ascii="Calibri" w:hAnsi="Calibri"/>
                <w:b w:val="0"/>
                <w:color w:val="2C3E50"/>
                <w:sz w:val="20"/>
              </w:rPr>
              <w:t>Procescertificaat Asbestverwijdering, DTA (SC-510), DAV-1/DAV-2 (SC-520) niet vereist. Onbevoegd personeel kan asbest verwijderen.</w:t>
            </w:r>
          </w:p>
        </w:tc>
      </w:tr>
      <w:tr>
        <w:tc>
          <w:tcPr>
            <w:tcW w:type="dxa" w:w="4703"/>
          </w:tcPr>
          <w:p>
            <w:pPr>
              <w:jc w:val="left"/>
            </w:pPr>
            <w:r/>
            <w:r>
              <w:rPr>
                <w:rFonts w:ascii="Calibri" w:hAnsi="Calibri"/>
                <w:b/>
                <w:color w:val="2C3E50"/>
                <w:sz w:val="18"/>
              </w:rPr>
              <w:t>Referentie:</w:t>
            </w:r>
          </w:p>
        </w:tc>
        <w:tc>
          <w:tcPr>
            <w:tcW w:type="dxa" w:w="4703"/>
          </w:tcPr>
          <w:p>
            <w:pPr>
              <w:jc w:val="left"/>
            </w:pPr>
            <w:r/>
            <w:r>
              <w:rPr>
                <w:rFonts w:ascii="Calibri" w:hAnsi="Calibri"/>
                <w:b w:val="0"/>
                <w:color w:val="2C3E50"/>
                <w:sz w:val="18"/>
              </w:rPr>
              <w:t>Certificatieschema</w:t>
            </w:r>
          </w:p>
        </w:tc>
      </w:tr>
      <w:tr>
        <w:tc>
          <w:tcPr>
            <w:tcW w:type="dxa" w:w="4703"/>
          </w:tcPr>
          <w:p>
            <w:pPr>
              <w:jc w:val="left"/>
            </w:pPr>
            <w:r/>
            <w:r>
              <w:rPr>
                <w:rFonts w:ascii="Calibri" w:hAnsi="Calibri"/>
                <w:b/>
                <w:color w:val="2C3E50"/>
                <w:sz w:val="18"/>
              </w:rPr>
              <w:t>Status:</w:t>
            </w:r>
          </w:p>
        </w:tc>
        <w:tc>
          <w:tcPr>
            <w:tcW w:type="dxa" w:w="4703"/>
            <w:shd w:fill="fde8e8"/>
          </w:tcPr>
          <w:p>
            <w:pPr>
              <w:jc w:val="left"/>
            </w:pPr>
            <w:r/>
            <w:r>
              <w:rPr>
                <w:rFonts w:ascii="Calibri" w:hAnsi="Calibri"/>
                <w:b w:val="0"/>
                <w:color w:val="C0392B"/>
                <w:sz w:val="18"/>
              </w:rPr>
              <w:t>❌ NON-CONFORM — Herziening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c0392b"/>
          </w:tcPr>
          <w:p>
            <w:pPr>
              <w:jc w:val="left"/>
            </w:pPr>
            <w:r/>
            <w:r>
              <w:rPr>
                <w:rFonts w:ascii="Calibri" w:hAnsi="Calibri"/>
                <w:b/>
                <w:color w:val="FFFFFF"/>
                <w:sz w:val="20"/>
              </w:rPr>
              <w:t>A-05</w:t>
            </w:r>
          </w:p>
        </w:tc>
        <w:tc>
          <w:tcPr>
            <w:tcW w:type="dxa" w:w="4703"/>
            <w:shd w:fill="fde8e8"/>
          </w:tcPr>
          <w:p>
            <w:pPr>
              <w:jc w:val="left"/>
            </w:pPr>
            <w:r/>
            <w:r>
              <w:rPr>
                <w:rFonts w:ascii="Calibri" w:hAnsi="Calibri"/>
                <w:b/>
                <w:color w:val="2C3E50"/>
                <w:sz w:val="20"/>
              </w:rPr>
              <w:t>Geen wettelijk werkplan</w:t>
            </w:r>
          </w:p>
        </w:tc>
      </w:tr>
      <w:tr>
        <w:tc>
          <w:tcPr>
            <w:tcW w:type="dxa" w:w="9406"/>
            <w:gridSpan w:val="2"/>
          </w:tcPr>
          <w:p>
            <w:pPr>
              <w:jc w:val="left"/>
            </w:pPr>
            <w:r/>
            <w:r>
              <w:rPr>
                <w:rFonts w:ascii="Calibri" w:hAnsi="Calibri"/>
                <w:b w:val="0"/>
                <w:color w:val="2C3E50"/>
                <w:sz w:val="20"/>
              </w:rPr>
              <w:t>Inhoudseisen Arbobesluit art. 4.50 niet gespecificeerd. Werkplan mogelijk onvolledig.</w:t>
            </w:r>
          </w:p>
        </w:tc>
      </w:tr>
      <w:tr>
        <w:tc>
          <w:tcPr>
            <w:tcW w:type="dxa" w:w="4703"/>
          </w:tcPr>
          <w:p>
            <w:pPr>
              <w:jc w:val="left"/>
            </w:pPr>
            <w:r/>
            <w:r>
              <w:rPr>
                <w:rFonts w:ascii="Calibri" w:hAnsi="Calibri"/>
                <w:b/>
                <w:color w:val="2C3E50"/>
                <w:sz w:val="18"/>
              </w:rPr>
              <w:t>Referentie:</w:t>
            </w:r>
          </w:p>
        </w:tc>
        <w:tc>
          <w:tcPr>
            <w:tcW w:type="dxa" w:w="4703"/>
          </w:tcPr>
          <w:p>
            <w:pPr>
              <w:jc w:val="left"/>
            </w:pPr>
            <w:r/>
            <w:r>
              <w:rPr>
                <w:rFonts w:ascii="Calibri" w:hAnsi="Calibri"/>
                <w:b w:val="0"/>
                <w:color w:val="2C3E50"/>
                <w:sz w:val="18"/>
              </w:rPr>
              <w:t>Art. 4.50</w:t>
            </w:r>
          </w:p>
        </w:tc>
      </w:tr>
      <w:tr>
        <w:tc>
          <w:tcPr>
            <w:tcW w:type="dxa" w:w="4703"/>
          </w:tcPr>
          <w:p>
            <w:pPr>
              <w:jc w:val="left"/>
            </w:pPr>
            <w:r/>
            <w:r>
              <w:rPr>
                <w:rFonts w:ascii="Calibri" w:hAnsi="Calibri"/>
                <w:b/>
                <w:color w:val="2C3E50"/>
                <w:sz w:val="18"/>
              </w:rPr>
              <w:t>Status:</w:t>
            </w:r>
          </w:p>
        </w:tc>
        <w:tc>
          <w:tcPr>
            <w:tcW w:type="dxa" w:w="4703"/>
            <w:shd w:fill="fde8e8"/>
          </w:tcPr>
          <w:p>
            <w:pPr>
              <w:jc w:val="left"/>
            </w:pPr>
            <w:r/>
            <w:r>
              <w:rPr>
                <w:rFonts w:ascii="Calibri" w:hAnsi="Calibri"/>
                <w:b w:val="0"/>
                <w:color w:val="C0392B"/>
                <w:sz w:val="18"/>
              </w:rPr>
              <w:t>❌ NON-CONFORM — Herziening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c0392b"/>
          </w:tcPr>
          <w:p>
            <w:pPr>
              <w:jc w:val="left"/>
            </w:pPr>
            <w:r/>
            <w:r>
              <w:rPr>
                <w:rFonts w:ascii="Calibri" w:hAnsi="Calibri"/>
                <w:b/>
                <w:color w:val="FFFFFF"/>
                <w:sz w:val="20"/>
              </w:rPr>
              <w:t>A-06</w:t>
            </w:r>
          </w:p>
        </w:tc>
        <w:tc>
          <w:tcPr>
            <w:tcW w:type="dxa" w:w="4703"/>
            <w:shd w:fill="fde8e8"/>
          </w:tcPr>
          <w:p>
            <w:pPr>
              <w:jc w:val="left"/>
            </w:pPr>
            <w:r/>
            <w:r>
              <w:rPr>
                <w:rFonts w:ascii="Calibri" w:hAnsi="Calibri"/>
                <w:b/>
                <w:color w:val="2C3E50"/>
                <w:sz w:val="20"/>
              </w:rPr>
              <w:t>Geen eindbeoordeling NEN 2990</w:t>
            </w:r>
          </w:p>
        </w:tc>
      </w:tr>
      <w:tr>
        <w:tc>
          <w:tcPr>
            <w:tcW w:type="dxa" w:w="9406"/>
            <w:gridSpan w:val="2"/>
          </w:tcPr>
          <w:p>
            <w:pPr>
              <w:jc w:val="left"/>
            </w:pPr>
            <w:r/>
            <w:r>
              <w:rPr>
                <w:rFonts w:ascii="Calibri" w:hAnsi="Calibri"/>
                <w:b w:val="0"/>
                <w:color w:val="2C3E50"/>
                <w:sz w:val="20"/>
              </w:rPr>
              <w:t>Geaccrediteerd lab niet vereist. Verzwaarde eindbeoordeling 2A ontbreekt. Risico op onjuiste vrijgave werkgebied.</w:t>
            </w:r>
          </w:p>
        </w:tc>
      </w:tr>
      <w:tr>
        <w:tc>
          <w:tcPr>
            <w:tcW w:type="dxa" w:w="4703"/>
          </w:tcPr>
          <w:p>
            <w:pPr>
              <w:jc w:val="left"/>
            </w:pPr>
            <w:r/>
            <w:r>
              <w:rPr>
                <w:rFonts w:ascii="Calibri" w:hAnsi="Calibri"/>
                <w:b/>
                <w:color w:val="2C3E50"/>
                <w:sz w:val="18"/>
              </w:rPr>
              <w:t>Referentie:</w:t>
            </w:r>
          </w:p>
        </w:tc>
        <w:tc>
          <w:tcPr>
            <w:tcW w:type="dxa" w:w="4703"/>
          </w:tcPr>
          <w:p>
            <w:pPr>
              <w:jc w:val="left"/>
            </w:pPr>
            <w:r/>
            <w:r>
              <w:rPr>
                <w:rFonts w:ascii="Calibri" w:hAnsi="Calibri"/>
                <w:b w:val="0"/>
                <w:color w:val="2C3E50"/>
                <w:sz w:val="18"/>
              </w:rPr>
              <w:t>Art. 4.53</w:t>
            </w:r>
          </w:p>
        </w:tc>
      </w:tr>
      <w:tr>
        <w:tc>
          <w:tcPr>
            <w:tcW w:type="dxa" w:w="4703"/>
          </w:tcPr>
          <w:p>
            <w:pPr>
              <w:jc w:val="left"/>
            </w:pPr>
            <w:r/>
            <w:r>
              <w:rPr>
                <w:rFonts w:ascii="Calibri" w:hAnsi="Calibri"/>
                <w:b/>
                <w:color w:val="2C3E50"/>
                <w:sz w:val="18"/>
              </w:rPr>
              <w:t>Status:</w:t>
            </w:r>
          </w:p>
        </w:tc>
        <w:tc>
          <w:tcPr>
            <w:tcW w:type="dxa" w:w="4703"/>
            <w:shd w:fill="fde8e8"/>
          </w:tcPr>
          <w:p>
            <w:pPr>
              <w:jc w:val="left"/>
            </w:pPr>
            <w:r/>
            <w:r>
              <w:rPr>
                <w:rFonts w:ascii="Calibri" w:hAnsi="Calibri"/>
                <w:b w:val="0"/>
                <w:color w:val="C0392B"/>
                <w:sz w:val="18"/>
              </w:rPr>
              <w:t>❌ NON-CONFORM — Herziening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c0392b"/>
          </w:tcPr>
          <w:p>
            <w:pPr>
              <w:jc w:val="left"/>
            </w:pPr>
            <w:r/>
            <w:r>
              <w:rPr>
                <w:rFonts w:ascii="Calibri" w:hAnsi="Calibri"/>
                <w:b/>
                <w:color w:val="FFFFFF"/>
                <w:sz w:val="20"/>
              </w:rPr>
              <w:t>A-07</w:t>
            </w:r>
          </w:p>
        </w:tc>
        <w:tc>
          <w:tcPr>
            <w:tcW w:type="dxa" w:w="4703"/>
            <w:shd w:fill="fde8e8"/>
          </w:tcPr>
          <w:p>
            <w:pPr>
              <w:jc w:val="left"/>
            </w:pPr>
            <w:r/>
            <w:r>
              <w:rPr>
                <w:rFonts w:ascii="Calibri" w:hAnsi="Calibri"/>
                <w:b/>
                <w:color w:val="2C3E50"/>
                <w:sz w:val="20"/>
              </w:rPr>
              <w:t>Geen AGK-onderzoek</w:t>
            </w:r>
          </w:p>
        </w:tc>
      </w:tr>
      <w:tr>
        <w:tc>
          <w:tcPr>
            <w:tcW w:type="dxa" w:w="9406"/>
            <w:gridSpan w:val="2"/>
          </w:tcPr>
          <w:p>
            <w:pPr>
              <w:jc w:val="left"/>
            </w:pPr>
            <w:r/>
            <w:r>
              <w:rPr>
                <w:rFonts w:ascii="Calibri" w:hAnsi="Calibri"/>
                <w:b w:val="0"/>
                <w:color w:val="2C3E50"/>
                <w:sz w:val="20"/>
              </w:rPr>
              <w:t>Arbeidsgezondheidskundig onderzoek niet opgenomen. Geen medische baseline voor werknemers.</w:t>
            </w:r>
          </w:p>
        </w:tc>
      </w:tr>
      <w:tr>
        <w:tc>
          <w:tcPr>
            <w:tcW w:type="dxa" w:w="4703"/>
          </w:tcPr>
          <w:p>
            <w:pPr>
              <w:jc w:val="left"/>
            </w:pPr>
            <w:r/>
            <w:r>
              <w:rPr>
                <w:rFonts w:ascii="Calibri" w:hAnsi="Calibri"/>
                <w:b/>
                <w:color w:val="2C3E50"/>
                <w:sz w:val="18"/>
              </w:rPr>
              <w:t>Referentie:</w:t>
            </w:r>
          </w:p>
        </w:tc>
        <w:tc>
          <w:tcPr>
            <w:tcW w:type="dxa" w:w="4703"/>
          </w:tcPr>
          <w:p>
            <w:pPr>
              <w:jc w:val="left"/>
            </w:pPr>
            <w:r/>
            <w:r>
              <w:rPr>
                <w:rFonts w:ascii="Calibri" w:hAnsi="Calibri"/>
                <w:b w:val="0"/>
                <w:color w:val="2C3E50"/>
                <w:sz w:val="18"/>
              </w:rPr>
              <w:t>Art. 4.51</w:t>
            </w:r>
          </w:p>
        </w:tc>
      </w:tr>
      <w:tr>
        <w:tc>
          <w:tcPr>
            <w:tcW w:type="dxa" w:w="4703"/>
          </w:tcPr>
          <w:p>
            <w:pPr>
              <w:jc w:val="left"/>
            </w:pPr>
            <w:r/>
            <w:r>
              <w:rPr>
                <w:rFonts w:ascii="Calibri" w:hAnsi="Calibri"/>
                <w:b/>
                <w:color w:val="2C3E50"/>
                <w:sz w:val="18"/>
              </w:rPr>
              <w:t>Status:</w:t>
            </w:r>
          </w:p>
        </w:tc>
        <w:tc>
          <w:tcPr>
            <w:tcW w:type="dxa" w:w="4703"/>
            <w:shd w:fill="fde8e8"/>
          </w:tcPr>
          <w:p>
            <w:pPr>
              <w:jc w:val="left"/>
            </w:pPr>
            <w:r/>
            <w:r>
              <w:rPr>
                <w:rFonts w:ascii="Calibri" w:hAnsi="Calibri"/>
                <w:b w:val="0"/>
                <w:color w:val="C0392B"/>
                <w:sz w:val="18"/>
              </w:rPr>
              <w:t>❌ NON-CONFORM — Herziening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c0392b"/>
          </w:tcPr>
          <w:p>
            <w:pPr>
              <w:jc w:val="left"/>
            </w:pPr>
            <w:r/>
            <w:r>
              <w:rPr>
                <w:rFonts w:ascii="Calibri" w:hAnsi="Calibri"/>
                <w:b/>
                <w:color w:val="FFFFFF"/>
                <w:sz w:val="20"/>
              </w:rPr>
              <w:t>A-08</w:t>
            </w:r>
          </w:p>
        </w:tc>
        <w:tc>
          <w:tcPr>
            <w:tcW w:type="dxa" w:w="4703"/>
            <w:shd w:fill="fde8e8"/>
          </w:tcPr>
          <w:p>
            <w:pPr>
              <w:jc w:val="left"/>
            </w:pPr>
            <w:r/>
            <w:r>
              <w:rPr>
                <w:rFonts w:ascii="Calibri" w:hAnsi="Calibri"/>
                <w:b/>
                <w:color w:val="2C3E50"/>
                <w:sz w:val="20"/>
              </w:rPr>
              <w:t>Geen blootstellingsregistratie</w:t>
            </w:r>
          </w:p>
        </w:tc>
      </w:tr>
      <w:tr>
        <w:tc>
          <w:tcPr>
            <w:tcW w:type="dxa" w:w="9406"/>
            <w:gridSpan w:val="2"/>
          </w:tcPr>
          <w:p>
            <w:pPr>
              <w:jc w:val="left"/>
            </w:pPr>
            <w:r/>
            <w:r>
              <w:rPr>
                <w:rFonts w:ascii="Calibri" w:hAnsi="Calibri"/>
                <w:b w:val="0"/>
                <w:color w:val="2C3E50"/>
                <w:sz w:val="20"/>
              </w:rPr>
              <w:t>Persoonlijk blootstellingsdossier (40 jaar bewaring) niet opgenomen. Risico bij claims Asbestslachtoffers.</w:t>
            </w:r>
          </w:p>
        </w:tc>
      </w:tr>
      <w:tr>
        <w:tc>
          <w:tcPr>
            <w:tcW w:type="dxa" w:w="4703"/>
          </w:tcPr>
          <w:p>
            <w:pPr>
              <w:jc w:val="left"/>
            </w:pPr>
            <w:r/>
            <w:r>
              <w:rPr>
                <w:rFonts w:ascii="Calibri" w:hAnsi="Calibri"/>
                <w:b/>
                <w:color w:val="2C3E50"/>
                <w:sz w:val="18"/>
              </w:rPr>
              <w:t>Referentie:</w:t>
            </w:r>
          </w:p>
        </w:tc>
        <w:tc>
          <w:tcPr>
            <w:tcW w:type="dxa" w:w="4703"/>
          </w:tcPr>
          <w:p>
            <w:pPr>
              <w:jc w:val="left"/>
            </w:pPr>
            <w:r/>
            <w:r>
              <w:rPr>
                <w:rFonts w:ascii="Calibri" w:hAnsi="Calibri"/>
                <w:b w:val="0"/>
                <w:color w:val="2C3E50"/>
                <w:sz w:val="18"/>
              </w:rPr>
              <w:t>Art. 4.52</w:t>
            </w:r>
          </w:p>
        </w:tc>
      </w:tr>
      <w:tr>
        <w:tc>
          <w:tcPr>
            <w:tcW w:type="dxa" w:w="4703"/>
          </w:tcPr>
          <w:p>
            <w:pPr>
              <w:jc w:val="left"/>
            </w:pPr>
            <w:r/>
            <w:r>
              <w:rPr>
                <w:rFonts w:ascii="Calibri" w:hAnsi="Calibri"/>
                <w:b/>
                <w:color w:val="2C3E50"/>
                <w:sz w:val="18"/>
              </w:rPr>
              <w:t>Status:</w:t>
            </w:r>
          </w:p>
        </w:tc>
        <w:tc>
          <w:tcPr>
            <w:tcW w:type="dxa" w:w="4703"/>
            <w:shd w:fill="fde8e8"/>
          </w:tcPr>
          <w:p>
            <w:pPr>
              <w:jc w:val="left"/>
            </w:pPr>
            <w:r/>
            <w:r>
              <w:rPr>
                <w:rFonts w:ascii="Calibri" w:hAnsi="Calibri"/>
                <w:b w:val="0"/>
                <w:color w:val="C0392B"/>
                <w:sz w:val="18"/>
              </w:rPr>
              <w:t>❌ NON-CONFORM — Herziening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c0392b"/>
          </w:tcPr>
          <w:p>
            <w:pPr>
              <w:jc w:val="left"/>
            </w:pPr>
            <w:r/>
            <w:r>
              <w:rPr>
                <w:rFonts w:ascii="Calibri" w:hAnsi="Calibri"/>
                <w:b/>
                <w:color w:val="FFFFFF"/>
                <w:sz w:val="20"/>
              </w:rPr>
              <w:t>A-09</w:t>
            </w:r>
          </w:p>
        </w:tc>
        <w:tc>
          <w:tcPr>
            <w:tcW w:type="dxa" w:w="4703"/>
            <w:shd w:fill="fde8e8"/>
          </w:tcPr>
          <w:p>
            <w:pPr>
              <w:jc w:val="left"/>
            </w:pPr>
            <w:r/>
            <w:r>
              <w:rPr>
                <w:rFonts w:ascii="Calibri" w:hAnsi="Calibri"/>
                <w:b/>
                <w:color w:val="2C3E50"/>
                <w:sz w:val="20"/>
              </w:rPr>
              <w:t>Batteryspray niet VIP-goedgekeurd</w:t>
            </w:r>
          </w:p>
        </w:tc>
      </w:tr>
      <w:tr>
        <w:tc>
          <w:tcPr>
            <w:tcW w:type="dxa" w:w="9406"/>
            <w:gridSpan w:val="2"/>
          </w:tcPr>
          <w:p>
            <w:pPr>
              <w:jc w:val="left"/>
            </w:pPr>
            <w:r/>
            <w:r>
              <w:rPr>
                <w:rFonts w:ascii="Calibri" w:hAnsi="Calibri"/>
                <w:b w:val="0"/>
                <w:color w:val="2C3E50"/>
                <w:sz w:val="20"/>
              </w:rPr>
              <w:t>Methode staat niet in SMA-rt. Per juli 2023 slechts 2 methoden VIP-goedgekeurd. Verificatie bij RIVM/Ascert nodig.</w:t>
            </w:r>
          </w:p>
        </w:tc>
      </w:tr>
      <w:tr>
        <w:tc>
          <w:tcPr>
            <w:tcW w:type="dxa" w:w="4703"/>
          </w:tcPr>
          <w:p>
            <w:pPr>
              <w:jc w:val="left"/>
            </w:pPr>
            <w:r/>
            <w:r>
              <w:rPr>
                <w:rFonts w:ascii="Calibri" w:hAnsi="Calibri"/>
                <w:b/>
                <w:color w:val="2C3E50"/>
                <w:sz w:val="18"/>
              </w:rPr>
              <w:t>Referentie:</w:t>
            </w:r>
          </w:p>
        </w:tc>
        <w:tc>
          <w:tcPr>
            <w:tcW w:type="dxa" w:w="4703"/>
          </w:tcPr>
          <w:p>
            <w:pPr>
              <w:jc w:val="left"/>
            </w:pPr>
            <w:r/>
            <w:r>
              <w:rPr>
                <w:rFonts w:ascii="Calibri" w:hAnsi="Calibri"/>
                <w:b w:val="0"/>
                <w:color w:val="2C3E50"/>
                <w:sz w:val="18"/>
              </w:rPr>
              <w:t>AI-blad §4.1.3</w:t>
            </w:r>
          </w:p>
        </w:tc>
      </w:tr>
      <w:tr>
        <w:tc>
          <w:tcPr>
            <w:tcW w:type="dxa" w:w="4703"/>
          </w:tcPr>
          <w:p>
            <w:pPr>
              <w:jc w:val="left"/>
            </w:pPr>
            <w:r/>
            <w:r>
              <w:rPr>
                <w:rFonts w:ascii="Calibri" w:hAnsi="Calibri"/>
                <w:b/>
                <w:color w:val="2C3E50"/>
                <w:sz w:val="18"/>
              </w:rPr>
              <w:t>Status:</w:t>
            </w:r>
          </w:p>
        </w:tc>
        <w:tc>
          <w:tcPr>
            <w:tcW w:type="dxa" w:w="4703"/>
            <w:shd w:fill="fde8e8"/>
          </w:tcPr>
          <w:p>
            <w:pPr>
              <w:jc w:val="left"/>
            </w:pPr>
            <w:r/>
            <w:r>
              <w:rPr>
                <w:rFonts w:ascii="Calibri" w:hAnsi="Calibri"/>
                <w:b w:val="0"/>
                <w:color w:val="C0392B"/>
                <w:sz w:val="18"/>
              </w:rPr>
              <w:t>❌ NON-CONFORM — Herziening vereist</w:t>
            </w:r>
          </w:p>
        </w:tc>
      </w:tr>
    </w:tbl>
    <w:p/>
    <w:p>
      <w:r>
        <w:rPr>
          <w:rFonts w:ascii="Calibri" w:hAnsi="Calibri"/>
          <w:b/>
          <w:color w:val="E67E22"/>
          <w:sz w:val="26"/>
        </w:rPr>
        <w:t>5.2 Categorie B — Belangrijke Afwijkingen</w:t>
      </w:r>
    </w:p>
    <w:tbl>
      <w:tblPr>
        <w:tblStyle w:val="TableGrid"/>
        <w:tblW w:type="auto" w:w="0"/>
        <w:tblLook w:firstColumn="1" w:firstRow="1" w:lastColumn="0" w:lastRow="0" w:noHBand="0" w:noVBand="1" w:val="04A0"/>
      </w:tblPr>
      <w:tblGrid>
        <w:gridCol w:w="4703"/>
        <w:gridCol w:w="4703"/>
      </w:tblGrid>
      <w:tr>
        <w:tc>
          <w:tcPr>
            <w:tcW w:type="dxa" w:w="4703"/>
            <w:shd w:fill="e67e22"/>
          </w:tcPr>
          <w:p>
            <w:pPr>
              <w:jc w:val="left"/>
            </w:pPr>
            <w:r/>
            <w:r>
              <w:rPr>
                <w:rFonts w:ascii="Calibri" w:hAnsi="Calibri"/>
                <w:b/>
                <w:color w:val="FFFFFF"/>
                <w:sz w:val="20"/>
              </w:rPr>
              <w:t>B-01</w:t>
            </w:r>
          </w:p>
        </w:tc>
        <w:tc>
          <w:tcPr>
            <w:tcW w:type="dxa" w:w="4703"/>
            <w:shd w:fill="fff4e0"/>
          </w:tcPr>
          <w:p>
            <w:pPr>
              <w:jc w:val="left"/>
            </w:pPr>
            <w:r/>
            <w:r>
              <w:rPr>
                <w:rFonts w:ascii="Calibri" w:hAnsi="Calibri"/>
                <w:b/>
                <w:color w:val="2C3E50"/>
                <w:sz w:val="20"/>
              </w:rPr>
              <w:t>Grenswaarde 2.000 vezels/m³ niet opgenomen</w:t>
            </w:r>
          </w:p>
        </w:tc>
      </w:tr>
      <w:tr>
        <w:tc>
          <w:tcPr>
            <w:tcW w:type="dxa" w:w="9406"/>
            <w:gridSpan w:val="2"/>
          </w:tcPr>
          <w:p>
            <w:pPr>
              <w:jc w:val="left"/>
            </w:pPr>
            <w:r/>
            <w:r>
              <w:rPr>
                <w:rFonts w:ascii="Calibri" w:hAnsi="Calibri"/>
                <w:b w:val="0"/>
                <w:color w:val="2C3E50"/>
                <w:sz w:val="20"/>
              </w:rPr>
              <w:t>Zonder grenswaarde kan risicoklasse niet worden bepaald.</w:t>
            </w:r>
          </w:p>
        </w:tc>
      </w:tr>
      <w:tr>
        <w:tc>
          <w:tcPr>
            <w:tcW w:type="dxa" w:w="4703"/>
          </w:tcPr>
          <w:p>
            <w:pPr>
              <w:jc w:val="left"/>
            </w:pPr>
            <w:r/>
            <w:r>
              <w:rPr>
                <w:rFonts w:ascii="Calibri" w:hAnsi="Calibri"/>
                <w:b/>
                <w:color w:val="2C3E50"/>
                <w:sz w:val="18"/>
              </w:rPr>
              <w:t>Status:</w:t>
            </w:r>
          </w:p>
        </w:tc>
        <w:tc>
          <w:tcPr>
            <w:tcW w:type="dxa" w:w="4703"/>
            <w:shd w:fill="fff4e0"/>
          </w:tcPr>
          <w:p>
            <w:pPr>
              <w:jc w:val="left"/>
            </w:pPr>
            <w:r/>
            <w:r>
              <w:rPr>
                <w:rFonts w:ascii="Calibri" w:hAnsi="Calibri"/>
                <w:b w:val="0"/>
                <w:color w:val="E67E22"/>
                <w:sz w:val="18"/>
              </w:rPr>
              <w:t>⚠️ DEELS CONFORM — Aanvulling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e67e22"/>
          </w:tcPr>
          <w:p>
            <w:pPr>
              <w:jc w:val="left"/>
            </w:pPr>
            <w:r/>
            <w:r>
              <w:rPr>
                <w:rFonts w:ascii="Calibri" w:hAnsi="Calibri"/>
                <w:b/>
                <w:color w:val="FFFFFF"/>
                <w:sz w:val="20"/>
              </w:rPr>
              <w:t>B-02</w:t>
            </w:r>
          </w:p>
        </w:tc>
        <w:tc>
          <w:tcPr>
            <w:tcW w:type="dxa" w:w="4703"/>
            <w:shd w:fill="fff4e0"/>
          </w:tcPr>
          <w:p>
            <w:pPr>
              <w:jc w:val="left"/>
            </w:pPr>
            <w:r/>
            <w:r>
              <w:rPr>
                <w:rFonts w:ascii="Calibri" w:hAnsi="Calibri"/>
                <w:b/>
                <w:color w:val="2C3E50"/>
                <w:sz w:val="20"/>
              </w:rPr>
              <w:t>PPE/RPE niet specifiek (geen P3)</w:t>
            </w:r>
          </w:p>
        </w:tc>
      </w:tr>
      <w:tr>
        <w:tc>
          <w:tcPr>
            <w:tcW w:type="dxa" w:w="9406"/>
            <w:gridSpan w:val="2"/>
          </w:tcPr>
          <w:p>
            <w:pPr>
              <w:jc w:val="left"/>
            </w:pPr>
            <w:r/>
            <w:r>
              <w:rPr>
                <w:rFonts w:ascii="Calibri" w:hAnsi="Calibri"/>
                <w:b w:val="0"/>
                <w:color w:val="2C3E50"/>
                <w:sz w:val="20"/>
              </w:rPr>
              <w:t>Annex III noemt 'suitable RPE' maar geen P3-filterkwaliteit of APF.</w:t>
            </w:r>
          </w:p>
        </w:tc>
      </w:tr>
      <w:tr>
        <w:tc>
          <w:tcPr>
            <w:tcW w:type="dxa" w:w="4703"/>
          </w:tcPr>
          <w:p>
            <w:pPr>
              <w:jc w:val="left"/>
            </w:pPr>
            <w:r/>
            <w:r>
              <w:rPr>
                <w:rFonts w:ascii="Calibri" w:hAnsi="Calibri"/>
                <w:b/>
                <w:color w:val="2C3E50"/>
                <w:sz w:val="18"/>
              </w:rPr>
              <w:t>Status:</w:t>
            </w:r>
          </w:p>
        </w:tc>
        <w:tc>
          <w:tcPr>
            <w:tcW w:type="dxa" w:w="4703"/>
            <w:shd w:fill="fff4e0"/>
          </w:tcPr>
          <w:p>
            <w:pPr>
              <w:jc w:val="left"/>
            </w:pPr>
            <w:r/>
            <w:r>
              <w:rPr>
                <w:rFonts w:ascii="Calibri" w:hAnsi="Calibri"/>
                <w:b w:val="0"/>
                <w:color w:val="E67E22"/>
                <w:sz w:val="18"/>
              </w:rPr>
              <w:t>⚠️ DEELS CONFORM — Aanvulling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e67e22"/>
          </w:tcPr>
          <w:p>
            <w:pPr>
              <w:jc w:val="left"/>
            </w:pPr>
            <w:r/>
            <w:r>
              <w:rPr>
                <w:rFonts w:ascii="Calibri" w:hAnsi="Calibri"/>
                <w:b/>
                <w:color w:val="FFFFFF"/>
                <w:sz w:val="20"/>
              </w:rPr>
              <w:t>B-03</w:t>
            </w:r>
          </w:p>
        </w:tc>
        <w:tc>
          <w:tcPr>
            <w:tcW w:type="dxa" w:w="4703"/>
            <w:shd w:fill="fff4e0"/>
          </w:tcPr>
          <w:p>
            <w:pPr>
              <w:jc w:val="left"/>
            </w:pPr>
            <w:r/>
            <w:r>
              <w:rPr>
                <w:rFonts w:ascii="Calibri" w:hAnsi="Calibri"/>
                <w:b/>
                <w:color w:val="2C3E50"/>
                <w:sz w:val="20"/>
              </w:rPr>
              <w:t>Geen decontaminatieprocedure</w:t>
            </w:r>
          </w:p>
        </w:tc>
      </w:tr>
      <w:tr>
        <w:tc>
          <w:tcPr>
            <w:tcW w:type="dxa" w:w="9406"/>
            <w:gridSpan w:val="2"/>
          </w:tcPr>
          <w:p>
            <w:pPr>
              <w:jc w:val="left"/>
            </w:pPr>
            <w:r/>
            <w:r>
              <w:rPr>
                <w:rFonts w:ascii="Calibri" w:hAnsi="Calibri"/>
                <w:b w:val="0"/>
                <w:color w:val="2C3E50"/>
                <w:sz w:val="20"/>
              </w:rPr>
              <w:t>Sluis/ponddouche niet gespecificeerd. Risico kruisbesmetting.</w:t>
            </w:r>
          </w:p>
        </w:tc>
      </w:tr>
      <w:tr>
        <w:tc>
          <w:tcPr>
            <w:tcW w:type="dxa" w:w="4703"/>
          </w:tcPr>
          <w:p>
            <w:pPr>
              <w:jc w:val="left"/>
            </w:pPr>
            <w:r/>
            <w:r>
              <w:rPr>
                <w:rFonts w:ascii="Calibri" w:hAnsi="Calibri"/>
                <w:b/>
                <w:color w:val="2C3E50"/>
                <w:sz w:val="18"/>
              </w:rPr>
              <w:t>Status:</w:t>
            </w:r>
          </w:p>
        </w:tc>
        <w:tc>
          <w:tcPr>
            <w:tcW w:type="dxa" w:w="4703"/>
            <w:shd w:fill="fff4e0"/>
          </w:tcPr>
          <w:p>
            <w:pPr>
              <w:jc w:val="left"/>
            </w:pPr>
            <w:r/>
            <w:r>
              <w:rPr>
                <w:rFonts w:ascii="Calibri" w:hAnsi="Calibri"/>
                <w:b w:val="0"/>
                <w:color w:val="E67E22"/>
                <w:sz w:val="18"/>
              </w:rPr>
              <w:t>⚠️ DEELS CONFORM — Aanvulling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e67e22"/>
          </w:tcPr>
          <w:p>
            <w:pPr>
              <w:jc w:val="left"/>
            </w:pPr>
            <w:r/>
            <w:r>
              <w:rPr>
                <w:rFonts w:ascii="Calibri" w:hAnsi="Calibri"/>
                <w:b/>
                <w:color w:val="FFFFFF"/>
                <w:sz w:val="20"/>
              </w:rPr>
              <w:t>B-04</w:t>
            </w:r>
          </w:p>
        </w:tc>
        <w:tc>
          <w:tcPr>
            <w:tcW w:type="dxa" w:w="4703"/>
            <w:shd w:fill="fff4e0"/>
          </w:tcPr>
          <w:p>
            <w:pPr>
              <w:jc w:val="left"/>
            </w:pPr>
            <w:r/>
            <w:r>
              <w:rPr>
                <w:rFonts w:ascii="Calibri" w:hAnsi="Calibri"/>
                <w:b/>
                <w:color w:val="2C3E50"/>
                <w:sz w:val="20"/>
              </w:rPr>
              <w:t>Geen dubbele verpakking</w:t>
            </w:r>
          </w:p>
        </w:tc>
      </w:tr>
      <w:tr>
        <w:tc>
          <w:tcPr>
            <w:tcW w:type="dxa" w:w="9406"/>
            <w:gridSpan w:val="2"/>
          </w:tcPr>
          <w:p>
            <w:pPr>
              <w:jc w:val="left"/>
            </w:pPr>
            <w:r/>
            <w:r>
              <w:rPr>
                <w:rFonts w:ascii="Calibri" w:hAnsi="Calibri"/>
                <w:b w:val="0"/>
                <w:color w:val="2C3E50"/>
                <w:sz w:val="20"/>
              </w:rPr>
              <w:t>Enkele verpakking genoemd; wettelijk dubbele verpakking + asbestetiket vereist.</w:t>
            </w:r>
          </w:p>
        </w:tc>
      </w:tr>
      <w:tr>
        <w:tc>
          <w:tcPr>
            <w:tcW w:type="dxa" w:w="4703"/>
          </w:tcPr>
          <w:p>
            <w:pPr>
              <w:jc w:val="left"/>
            </w:pPr>
            <w:r/>
            <w:r>
              <w:rPr>
                <w:rFonts w:ascii="Calibri" w:hAnsi="Calibri"/>
                <w:b/>
                <w:color w:val="2C3E50"/>
                <w:sz w:val="18"/>
              </w:rPr>
              <w:t>Status:</w:t>
            </w:r>
          </w:p>
        </w:tc>
        <w:tc>
          <w:tcPr>
            <w:tcW w:type="dxa" w:w="4703"/>
            <w:shd w:fill="fff4e0"/>
          </w:tcPr>
          <w:p>
            <w:pPr>
              <w:jc w:val="left"/>
            </w:pPr>
            <w:r/>
            <w:r>
              <w:rPr>
                <w:rFonts w:ascii="Calibri" w:hAnsi="Calibri"/>
                <w:b w:val="0"/>
                <w:color w:val="E67E22"/>
                <w:sz w:val="18"/>
              </w:rPr>
              <w:t>⚠️ DEELS CONFORM — Aanvulling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e67e22"/>
          </w:tcPr>
          <w:p>
            <w:pPr>
              <w:jc w:val="left"/>
            </w:pPr>
            <w:r/>
            <w:r>
              <w:rPr>
                <w:rFonts w:ascii="Calibri" w:hAnsi="Calibri"/>
                <w:b/>
                <w:color w:val="FFFFFF"/>
                <w:sz w:val="20"/>
              </w:rPr>
              <w:t>B-05</w:t>
            </w:r>
          </w:p>
        </w:tc>
        <w:tc>
          <w:tcPr>
            <w:tcW w:type="dxa" w:w="4703"/>
            <w:shd w:fill="fff4e0"/>
          </w:tcPr>
          <w:p>
            <w:pPr>
              <w:jc w:val="left"/>
            </w:pPr>
            <w:r/>
            <w:r>
              <w:rPr>
                <w:rFonts w:ascii="Calibri" w:hAnsi="Calibri"/>
                <w:b/>
                <w:color w:val="2C3E50"/>
                <w:sz w:val="20"/>
              </w:rPr>
              <w:t>Referenties niet specifiek</w:t>
            </w:r>
          </w:p>
        </w:tc>
      </w:tr>
      <w:tr>
        <w:tc>
          <w:tcPr>
            <w:tcW w:type="dxa" w:w="9406"/>
            <w:gridSpan w:val="2"/>
          </w:tcPr>
          <w:p>
            <w:pPr>
              <w:jc w:val="left"/>
            </w:pPr>
            <w:r/>
            <w:r>
              <w:rPr>
                <w:rFonts w:ascii="Calibri" w:hAnsi="Calibri"/>
                <w:b w:val="0"/>
                <w:color w:val="2C3E50"/>
                <w:sz w:val="20"/>
              </w:rPr>
              <w:t>Algemene verwijzingen i.p.v. specifieke artikelverwijzingen.</w:t>
            </w:r>
          </w:p>
        </w:tc>
      </w:tr>
      <w:tr>
        <w:tc>
          <w:tcPr>
            <w:tcW w:type="dxa" w:w="4703"/>
          </w:tcPr>
          <w:p>
            <w:pPr>
              <w:jc w:val="left"/>
            </w:pPr>
            <w:r/>
            <w:r>
              <w:rPr>
                <w:rFonts w:ascii="Calibri" w:hAnsi="Calibri"/>
                <w:b/>
                <w:color w:val="2C3E50"/>
                <w:sz w:val="18"/>
              </w:rPr>
              <w:t>Status:</w:t>
            </w:r>
          </w:p>
        </w:tc>
        <w:tc>
          <w:tcPr>
            <w:tcW w:type="dxa" w:w="4703"/>
            <w:shd w:fill="fff4e0"/>
          </w:tcPr>
          <w:p>
            <w:pPr>
              <w:jc w:val="left"/>
            </w:pPr>
            <w:r/>
            <w:r>
              <w:rPr>
                <w:rFonts w:ascii="Calibri" w:hAnsi="Calibri"/>
                <w:b w:val="0"/>
                <w:color w:val="E67E22"/>
                <w:sz w:val="18"/>
              </w:rPr>
              <w:t>⚠️ DEELS CONFORM — Aanvulling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e67e22"/>
          </w:tcPr>
          <w:p>
            <w:pPr>
              <w:jc w:val="left"/>
            </w:pPr>
            <w:r/>
            <w:r>
              <w:rPr>
                <w:rFonts w:ascii="Calibri" w:hAnsi="Calibri"/>
                <w:b/>
                <w:color w:val="FFFFFF"/>
                <w:sz w:val="20"/>
              </w:rPr>
              <w:t>B-06</w:t>
            </w:r>
          </w:p>
        </w:tc>
        <w:tc>
          <w:tcPr>
            <w:tcW w:type="dxa" w:w="4703"/>
            <w:shd w:fill="fff4e0"/>
          </w:tcPr>
          <w:p>
            <w:pPr>
              <w:jc w:val="left"/>
            </w:pPr>
            <w:r/>
            <w:r>
              <w:rPr>
                <w:rFonts w:ascii="Calibri" w:hAnsi="Calibri"/>
                <w:b/>
                <w:color w:val="2C3E50"/>
                <w:sz w:val="20"/>
              </w:rPr>
              <w:t>Asbestinventarisatie niet expliciet</w:t>
            </w:r>
          </w:p>
        </w:tc>
      </w:tr>
      <w:tr>
        <w:tc>
          <w:tcPr>
            <w:tcW w:type="dxa" w:w="9406"/>
            <w:gridSpan w:val="2"/>
          </w:tcPr>
          <w:p>
            <w:pPr>
              <w:jc w:val="left"/>
            </w:pPr>
            <w:r/>
            <w:r>
              <w:rPr>
                <w:rFonts w:ascii="Calibri" w:hAnsi="Calibri"/>
                <w:b w:val="0"/>
                <w:color w:val="2C3E50"/>
                <w:sz w:val="20"/>
              </w:rPr>
              <w:t>Niet als harde voorwaarde met DIA-certificeringseis.</w:t>
            </w:r>
          </w:p>
        </w:tc>
      </w:tr>
      <w:tr>
        <w:tc>
          <w:tcPr>
            <w:tcW w:type="dxa" w:w="4703"/>
          </w:tcPr>
          <w:p>
            <w:pPr>
              <w:jc w:val="left"/>
            </w:pPr>
            <w:r/>
            <w:r>
              <w:rPr>
                <w:rFonts w:ascii="Calibri" w:hAnsi="Calibri"/>
                <w:b/>
                <w:color w:val="2C3E50"/>
                <w:sz w:val="18"/>
              </w:rPr>
              <w:t>Status:</w:t>
            </w:r>
          </w:p>
        </w:tc>
        <w:tc>
          <w:tcPr>
            <w:tcW w:type="dxa" w:w="4703"/>
            <w:shd w:fill="fff4e0"/>
          </w:tcPr>
          <w:p>
            <w:pPr>
              <w:jc w:val="left"/>
            </w:pPr>
            <w:r/>
            <w:r>
              <w:rPr>
                <w:rFonts w:ascii="Calibri" w:hAnsi="Calibri"/>
                <w:b w:val="0"/>
                <w:color w:val="E67E22"/>
                <w:sz w:val="18"/>
              </w:rPr>
              <w:t>⚠️ DEELS CONFORM — Aanvulling vereist</w:t>
            </w:r>
          </w:p>
        </w:tc>
      </w:tr>
    </w:tbl>
    <w:p/>
    <w:tbl>
      <w:tblPr>
        <w:tblStyle w:val="TableGrid"/>
        <w:tblW w:type="auto" w:w="0"/>
        <w:tblLook w:firstColumn="1" w:firstRow="1" w:lastColumn="0" w:lastRow="0" w:noHBand="0" w:noVBand="1" w:val="04A0"/>
      </w:tblPr>
      <w:tblGrid>
        <w:gridCol w:w="4703"/>
        <w:gridCol w:w="4703"/>
      </w:tblGrid>
      <w:tr>
        <w:tc>
          <w:tcPr>
            <w:tcW w:type="dxa" w:w="4703"/>
            <w:shd w:fill="e67e22"/>
          </w:tcPr>
          <w:p>
            <w:pPr>
              <w:jc w:val="left"/>
            </w:pPr>
            <w:r/>
            <w:r>
              <w:rPr>
                <w:rFonts w:ascii="Calibri" w:hAnsi="Calibri"/>
                <w:b/>
                <w:color w:val="FFFFFF"/>
                <w:sz w:val="20"/>
              </w:rPr>
              <w:t>B-07</w:t>
            </w:r>
          </w:p>
        </w:tc>
        <w:tc>
          <w:tcPr>
            <w:tcW w:type="dxa" w:w="4703"/>
            <w:shd w:fill="fff4e0"/>
          </w:tcPr>
          <w:p>
            <w:pPr>
              <w:jc w:val="left"/>
            </w:pPr>
            <w:r/>
            <w:r>
              <w:rPr>
                <w:rFonts w:ascii="Calibri" w:hAnsi="Calibri"/>
                <w:b/>
                <w:color w:val="2C3E50"/>
                <w:sz w:val="20"/>
              </w:rPr>
              <w:t>Offshore jurisdictie niet adres gesteld</w:t>
            </w:r>
          </w:p>
        </w:tc>
      </w:tr>
      <w:tr>
        <w:tc>
          <w:tcPr>
            <w:tcW w:type="dxa" w:w="9406"/>
            <w:gridSpan w:val="2"/>
          </w:tcPr>
          <w:p>
            <w:pPr>
              <w:jc w:val="left"/>
            </w:pPr>
            <w:r/>
            <w:r>
              <w:rPr>
                <w:rFonts w:ascii="Calibri" w:hAnsi="Calibri"/>
                <w:b w:val="0"/>
                <w:color w:val="2C3E50"/>
                <w:sz w:val="20"/>
              </w:rPr>
              <w:t>Niet verduidelijkt welk recht geldt op het continentale plat.</w:t>
            </w:r>
          </w:p>
        </w:tc>
      </w:tr>
      <w:tr>
        <w:tc>
          <w:tcPr>
            <w:tcW w:type="dxa" w:w="4703"/>
          </w:tcPr>
          <w:p>
            <w:pPr>
              <w:jc w:val="left"/>
            </w:pPr>
            <w:r/>
            <w:r>
              <w:rPr>
                <w:rFonts w:ascii="Calibri" w:hAnsi="Calibri"/>
                <w:b/>
                <w:color w:val="2C3E50"/>
                <w:sz w:val="18"/>
              </w:rPr>
              <w:t>Status:</w:t>
            </w:r>
          </w:p>
        </w:tc>
        <w:tc>
          <w:tcPr>
            <w:tcW w:type="dxa" w:w="4703"/>
            <w:shd w:fill="fff4e0"/>
          </w:tcPr>
          <w:p>
            <w:pPr>
              <w:jc w:val="left"/>
            </w:pPr>
            <w:r/>
            <w:r>
              <w:rPr>
                <w:rFonts w:ascii="Calibri" w:hAnsi="Calibri"/>
                <w:b w:val="0"/>
                <w:color w:val="E67E22"/>
                <w:sz w:val="18"/>
              </w:rPr>
              <w:t>⚠️ DEELS CONFORM — Aanvulling vereist</w:t>
            </w:r>
          </w:p>
        </w:tc>
      </w:tr>
    </w:tbl>
    <w:p/>
    <w:p>
      <w:r>
        <w:rPr>
          <w:rFonts w:ascii="Calibri" w:hAnsi="Calibri"/>
          <w:b/>
          <w:color w:val="1A3A5C"/>
          <w:sz w:val="26"/>
        </w:rPr>
        <w:t>5.3 Categorie C — Observaties</w:t>
      </w:r>
    </w:p>
    <w:p>
      <w:r>
        <w:rPr>
          <w:b w:val="0"/>
          <w:i w:val="0"/>
          <w:color w:val="2C3E50"/>
          <w:sz w:val="22"/>
        </w:rPr>
        <w:t xml:space="preserve">  C-01: Definities onvolledig (risicoklassen, grenswaarde, niet-hechtgebonden asbest ontbreken)</w:t>
      </w:r>
    </w:p>
    <w:p>
      <w:r>
        <w:rPr>
          <w:b w:val="0"/>
          <w:i w:val="0"/>
          <w:color w:val="2C3E50"/>
          <w:sz w:val="22"/>
        </w:rPr>
        <w:t xml:space="preserve">  C-02: Trainingseisen generiek (geen specifieke certificering DTA/DAV)</w:t>
      </w:r>
    </w:p>
    <w:p>
      <w:r>
        <w:rPr>
          <w:b w:val="0"/>
          <w:i w:val="0"/>
          <w:color w:val="2C3E50"/>
          <w:sz w:val="22"/>
        </w:rPr>
        <w:t xml:space="preserve">  C-03: Emergency response minimaal (geen asbestspecifiek evacuatieplan)</w:t>
      </w:r>
    </w:p>
    <w:p>
      <w:r>
        <w:rPr>
          <w:b w:val="0"/>
          <w:i w:val="0"/>
          <w:color w:val="2C3E50"/>
          <w:sz w:val="22"/>
        </w:rPr>
        <w:t xml:space="preserve">  C-04: SIMOPS niet uitgewerkt voor asbest</w:t>
      </w:r>
    </w:p>
    <w:p>
      <w:r>
        <w:rPr>
          <w:b w:val="0"/>
          <w:i w:val="0"/>
          <w:color w:val="2C3E50"/>
          <w:sz w:val="22"/>
        </w:rPr>
        <w:t xml:space="preserve">  C-05: Geen exposure monitoring strategie (SCi-548 ontbreekt)</w:t>
      </w:r>
    </w:p>
    <w:p>
      <w:r>
        <w:rPr>
          <w:b w:val="0"/>
          <w:i w:val="0"/>
          <w:color w:val="2C3E50"/>
          <w:sz w:val="22"/>
        </w:rPr>
        <w:t xml:space="preserve">  C-06: Geen verwijzing naar Asbestkaart / Instituut Asbestslachtoffers</w:t>
      </w:r>
    </w:p>
    <w:p>
      <w:r>
        <w:br w:type="page"/>
      </w:r>
    </w:p>
    <w:p>
      <w:r>
        <w:rPr>
          <w:rFonts w:ascii="Calibri" w:hAnsi="Calibri"/>
          <w:b/>
          <w:color w:val="1A3A5C"/>
          <w:sz w:val="32"/>
        </w:rPr>
        <w:t>6. Conformiteitsmatrix</w:t>
      </w:r>
    </w:p>
    <w:p>
      <w:r>
        <w:rPr>
          <w:b w:val="0"/>
          <w:i w:val="0"/>
          <w:color w:val="2C3E50"/>
          <w:sz w:val="22"/>
        </w:rPr>
        <w:t>Volledige toetsing van de Koole procedure aan alle wettelijke eisen:</w:t>
      </w:r>
    </w:p>
    <w:tbl>
      <w:tblPr>
        <w:tblStyle w:val="TableGrid"/>
        <w:tblW w:type="auto" w:w="0"/>
        <w:tblLook w:firstColumn="1" w:firstRow="1" w:lastColumn="0" w:lastRow="0" w:noHBand="0" w:noVBand="1" w:val="04A0"/>
      </w:tblPr>
      <w:tblGrid>
        <w:gridCol w:w="3135"/>
        <w:gridCol w:w="3135"/>
        <w:gridCol w:w="3135"/>
      </w:tblGrid>
      <w:tr>
        <w:tc>
          <w:tcPr>
            <w:tcW w:type="dxa" w:w="3135"/>
            <w:shd w:fill="1a3a5c"/>
          </w:tcPr>
          <w:p>
            <w:pPr>
              <w:jc w:val="left"/>
            </w:pPr>
            <w:r/>
            <w:r>
              <w:rPr>
                <w:rFonts w:ascii="Calibri" w:hAnsi="Calibri"/>
                <w:b/>
                <w:color w:val="FFFFFF"/>
                <w:sz w:val="18"/>
              </w:rPr>
              <w:t>Wettelijke Eis</w:t>
            </w:r>
          </w:p>
        </w:tc>
        <w:tc>
          <w:tcPr>
            <w:tcW w:type="dxa" w:w="3135"/>
            <w:shd w:fill="1a3a5c"/>
          </w:tcPr>
          <w:p>
            <w:pPr>
              <w:jc w:val="left"/>
            </w:pPr>
            <w:r/>
            <w:r>
              <w:rPr>
                <w:rFonts w:ascii="Calibri" w:hAnsi="Calibri"/>
                <w:b/>
                <w:color w:val="FFFFFF"/>
                <w:sz w:val="18"/>
              </w:rPr>
              <w:t>Procedure 003.059</w:t>
            </w:r>
          </w:p>
        </w:tc>
        <w:tc>
          <w:tcPr>
            <w:tcW w:type="dxa" w:w="3135"/>
            <w:shd w:fill="1a3a5c"/>
          </w:tcPr>
          <w:p>
            <w:pPr>
              <w:jc w:val="center"/>
            </w:pPr>
            <w:r/>
            <w:r>
              <w:rPr>
                <w:rFonts w:ascii="Calibri" w:hAnsi="Calibri"/>
                <w:b/>
                <w:color w:val="FFFFFF"/>
                <w:sz w:val="18"/>
              </w:rPr>
              <w:t>Status</w:t>
            </w:r>
          </w:p>
        </w:tc>
      </w:tr>
      <w:tr>
        <w:tc>
          <w:tcPr>
            <w:tcW w:type="dxa" w:w="3135"/>
          </w:tcPr>
          <w:p>
            <w:pPr>
              <w:jc w:val="left"/>
            </w:pPr>
            <w:r/>
            <w:r>
              <w:rPr>
                <w:rFonts w:ascii="Calibri" w:hAnsi="Calibri"/>
                <w:b w:val="0"/>
                <w:color w:val="2C3E50"/>
                <w:sz w:val="18"/>
              </w:rPr>
              <w:t>Asbestinventarisatie (4.48)</w:t>
            </w:r>
          </w:p>
        </w:tc>
        <w:tc>
          <w:tcPr>
            <w:tcW w:type="dxa" w:w="3135"/>
          </w:tcPr>
          <w:p>
            <w:pPr>
              <w:jc w:val="left"/>
            </w:pPr>
            <w:r/>
            <w:r>
              <w:rPr>
                <w:rFonts w:ascii="Calibri" w:hAnsi="Calibri"/>
                <w:b w:val="0"/>
                <w:color w:val="2C3E50"/>
                <w:sz w:val="18"/>
              </w:rPr>
              <w:t>Genoemd, niet als harde eis</w:t>
            </w:r>
          </w:p>
        </w:tc>
        <w:tc>
          <w:tcPr>
            <w:tcW w:type="dxa" w:w="3135"/>
            <w:shd w:fill="fff4e0"/>
          </w:tcPr>
          <w:p>
            <w:pPr>
              <w:jc w:val="center"/>
            </w:pPr>
            <w:r/>
            <w:r>
              <w:rPr>
                <w:rFonts w:ascii="Calibri" w:hAnsi="Calibri"/>
                <w:b w:val="0"/>
                <w:color w:val="2C3E50"/>
                <w:sz w:val="18"/>
              </w:rPr>
              <w:t>⚠️ DEEL</w:t>
            </w:r>
          </w:p>
        </w:tc>
      </w:tr>
      <w:tr>
        <w:tc>
          <w:tcPr>
            <w:tcW w:type="dxa" w:w="3135"/>
          </w:tcPr>
          <w:p>
            <w:pPr>
              <w:jc w:val="left"/>
            </w:pPr>
            <w:r/>
            <w:r>
              <w:rPr>
                <w:rFonts w:ascii="Calibri" w:hAnsi="Calibri"/>
                <w:b w:val="0"/>
                <w:color w:val="2C3E50"/>
                <w:sz w:val="18"/>
              </w:rPr>
              <w:t>Risicoklasse via SMA-rt (4.50)</w:t>
            </w:r>
          </w:p>
        </w:tc>
        <w:tc>
          <w:tcPr>
            <w:tcW w:type="dxa" w:w="3135"/>
          </w:tcPr>
          <w:p>
            <w:pPr>
              <w:jc w:val="left"/>
            </w:pPr>
            <w:r/>
            <w:r>
              <w:rPr>
                <w:rFonts w:ascii="Calibri" w:hAnsi="Calibri"/>
                <w:b w:val="0"/>
                <w:color w:val="2C3E50"/>
                <w:sz w:val="18"/>
              </w:rPr>
              <w:t>Niet genoemd</w:t>
            </w:r>
          </w:p>
        </w:tc>
        <w:tc>
          <w:tcPr>
            <w:tcW w:type="dxa" w:w="3135"/>
            <w:shd w:fill="fde8e8"/>
          </w:tcPr>
          <w:p>
            <w:pPr>
              <w:jc w:val="center"/>
            </w:pPr>
            <w:r/>
            <w:r>
              <w:rPr>
                <w:rFonts w:ascii="Calibri" w:hAnsi="Calibri"/>
                <w:b w:val="0"/>
                <w:color w:val="2C3E50"/>
                <w:sz w:val="18"/>
              </w:rPr>
              <w:t>❌ NON-CONFORM</w:t>
            </w:r>
          </w:p>
        </w:tc>
      </w:tr>
      <w:tr>
        <w:tc>
          <w:tcPr>
            <w:tcW w:type="dxa" w:w="3135"/>
          </w:tcPr>
          <w:p>
            <w:pPr>
              <w:jc w:val="left"/>
            </w:pPr>
            <w:r/>
            <w:r>
              <w:rPr>
                <w:rFonts w:ascii="Calibri" w:hAnsi="Calibri"/>
                <w:b w:val="0"/>
                <w:color w:val="2C3E50"/>
                <w:sz w:val="18"/>
              </w:rPr>
              <w:t>Risicoklassen 1/2/2A expliciet</w:t>
            </w:r>
          </w:p>
        </w:tc>
        <w:tc>
          <w:tcPr>
            <w:tcW w:type="dxa" w:w="3135"/>
          </w:tcPr>
          <w:p>
            <w:pPr>
              <w:jc w:val="left"/>
            </w:pPr>
            <w:r/>
            <w:r>
              <w:rPr>
                <w:rFonts w:ascii="Calibri" w:hAnsi="Calibri"/>
                <w:b w:val="0"/>
                <w:color w:val="2C3E50"/>
                <w:sz w:val="18"/>
              </w:rPr>
              <w:t>Niet genoemd</w:t>
            </w:r>
          </w:p>
        </w:tc>
        <w:tc>
          <w:tcPr>
            <w:tcW w:type="dxa" w:w="3135"/>
            <w:shd w:fill="fde8e8"/>
          </w:tcPr>
          <w:p>
            <w:pPr>
              <w:jc w:val="center"/>
            </w:pPr>
            <w:r/>
            <w:r>
              <w:rPr>
                <w:rFonts w:ascii="Calibri" w:hAnsi="Calibri"/>
                <w:b w:val="0"/>
                <w:color w:val="2C3E50"/>
                <w:sz w:val="18"/>
              </w:rPr>
              <w:t>❌ NON-CONFORM</w:t>
            </w:r>
          </w:p>
        </w:tc>
      </w:tr>
      <w:tr>
        <w:tc>
          <w:tcPr>
            <w:tcW w:type="dxa" w:w="3135"/>
          </w:tcPr>
          <w:p>
            <w:pPr>
              <w:jc w:val="left"/>
            </w:pPr>
            <w:r/>
            <w:r>
              <w:rPr>
                <w:rFonts w:ascii="Calibri" w:hAnsi="Calibri"/>
                <w:b w:val="0"/>
                <w:color w:val="2C3E50"/>
                <w:sz w:val="18"/>
              </w:rPr>
              <w:t>Grenswaarde 2.000 vezels/m³</w:t>
            </w:r>
          </w:p>
        </w:tc>
        <w:tc>
          <w:tcPr>
            <w:tcW w:type="dxa" w:w="3135"/>
          </w:tcPr>
          <w:p>
            <w:pPr>
              <w:jc w:val="left"/>
            </w:pPr>
            <w:r/>
            <w:r>
              <w:rPr>
                <w:rFonts w:ascii="Calibri" w:hAnsi="Calibri"/>
                <w:b w:val="0"/>
                <w:color w:val="2C3E50"/>
                <w:sz w:val="18"/>
              </w:rPr>
              <w:t>Niet genoemd</w:t>
            </w:r>
          </w:p>
        </w:tc>
        <w:tc>
          <w:tcPr>
            <w:tcW w:type="dxa" w:w="3135"/>
            <w:shd w:fill="fde8e8"/>
          </w:tcPr>
          <w:p>
            <w:pPr>
              <w:jc w:val="center"/>
            </w:pPr>
            <w:r/>
            <w:r>
              <w:rPr>
                <w:rFonts w:ascii="Calibri" w:hAnsi="Calibri"/>
                <w:b w:val="0"/>
                <w:color w:val="2C3E50"/>
                <w:sz w:val="18"/>
              </w:rPr>
              <w:t>❌ NON-CONFORM</w:t>
            </w:r>
          </w:p>
        </w:tc>
      </w:tr>
      <w:tr>
        <w:tc>
          <w:tcPr>
            <w:tcW w:type="dxa" w:w="3135"/>
          </w:tcPr>
          <w:p>
            <w:pPr>
              <w:jc w:val="left"/>
            </w:pPr>
            <w:r/>
            <w:r>
              <w:rPr>
                <w:rFonts w:ascii="Calibri" w:hAnsi="Calibri"/>
                <w:b w:val="0"/>
                <w:color w:val="2C3E50"/>
                <w:sz w:val="18"/>
              </w:rPr>
              <w:t>LAVS-melding (4.49)</w:t>
            </w:r>
          </w:p>
        </w:tc>
        <w:tc>
          <w:tcPr>
            <w:tcW w:type="dxa" w:w="3135"/>
          </w:tcPr>
          <w:p>
            <w:pPr>
              <w:jc w:val="left"/>
            </w:pPr>
            <w:r/>
            <w:r>
              <w:rPr>
                <w:rFonts w:ascii="Calibri" w:hAnsi="Calibri"/>
                <w:b w:val="0"/>
                <w:color w:val="2C3E50"/>
                <w:sz w:val="18"/>
              </w:rPr>
              <w:t>Niet genoemd</w:t>
            </w:r>
          </w:p>
        </w:tc>
        <w:tc>
          <w:tcPr>
            <w:tcW w:type="dxa" w:w="3135"/>
            <w:shd w:fill="fde8e8"/>
          </w:tcPr>
          <w:p>
            <w:pPr>
              <w:jc w:val="center"/>
            </w:pPr>
            <w:r/>
            <w:r>
              <w:rPr>
                <w:rFonts w:ascii="Calibri" w:hAnsi="Calibri"/>
                <w:b w:val="0"/>
                <w:color w:val="2C3E50"/>
                <w:sz w:val="18"/>
              </w:rPr>
              <w:t>❌ NON-CONFORM</w:t>
            </w:r>
          </w:p>
        </w:tc>
      </w:tr>
      <w:tr>
        <w:tc>
          <w:tcPr>
            <w:tcW w:type="dxa" w:w="3135"/>
          </w:tcPr>
          <w:p>
            <w:pPr>
              <w:jc w:val="left"/>
            </w:pPr>
            <w:r/>
            <w:r>
              <w:rPr>
                <w:rFonts w:ascii="Calibri" w:hAnsi="Calibri"/>
                <w:b w:val="0"/>
                <w:color w:val="2C3E50"/>
                <w:sz w:val="18"/>
              </w:rPr>
              <w:t>Gecertificeerd bedrijf (2/2A)</w:t>
            </w:r>
          </w:p>
        </w:tc>
        <w:tc>
          <w:tcPr>
            <w:tcW w:type="dxa" w:w="3135"/>
          </w:tcPr>
          <w:p>
            <w:pPr>
              <w:jc w:val="left"/>
            </w:pPr>
            <w:r/>
            <w:r>
              <w:rPr>
                <w:rFonts w:ascii="Calibri" w:hAnsi="Calibri"/>
                <w:b w:val="0"/>
                <w:color w:val="2C3E50"/>
                <w:sz w:val="18"/>
              </w:rPr>
              <w:t>Niet genoemd</w:t>
            </w:r>
          </w:p>
        </w:tc>
        <w:tc>
          <w:tcPr>
            <w:tcW w:type="dxa" w:w="3135"/>
            <w:shd w:fill="fde8e8"/>
          </w:tcPr>
          <w:p>
            <w:pPr>
              <w:jc w:val="center"/>
            </w:pPr>
            <w:r/>
            <w:r>
              <w:rPr>
                <w:rFonts w:ascii="Calibri" w:hAnsi="Calibri"/>
                <w:b w:val="0"/>
                <w:color w:val="2C3E50"/>
                <w:sz w:val="18"/>
              </w:rPr>
              <w:t>❌ NON-CONFORM</w:t>
            </w:r>
          </w:p>
        </w:tc>
      </w:tr>
      <w:tr>
        <w:tc>
          <w:tcPr>
            <w:tcW w:type="dxa" w:w="3135"/>
          </w:tcPr>
          <w:p>
            <w:pPr>
              <w:jc w:val="left"/>
            </w:pPr>
            <w:r/>
            <w:r>
              <w:rPr>
                <w:rFonts w:ascii="Calibri" w:hAnsi="Calibri"/>
                <w:b w:val="0"/>
                <w:color w:val="2C3E50"/>
                <w:sz w:val="18"/>
              </w:rPr>
              <w:t>DTA-toezicht (SC-510)</w:t>
            </w:r>
          </w:p>
        </w:tc>
        <w:tc>
          <w:tcPr>
            <w:tcW w:type="dxa" w:w="3135"/>
          </w:tcPr>
          <w:p>
            <w:pPr>
              <w:jc w:val="left"/>
            </w:pPr>
            <w:r/>
            <w:r>
              <w:rPr>
                <w:rFonts w:ascii="Calibri" w:hAnsi="Calibri"/>
                <w:b w:val="0"/>
                <w:color w:val="2C3E50"/>
                <w:sz w:val="18"/>
              </w:rPr>
              <w:t>DTA in definities, niet als eis</w:t>
            </w:r>
          </w:p>
        </w:tc>
        <w:tc>
          <w:tcPr>
            <w:tcW w:type="dxa" w:w="3135"/>
            <w:shd w:fill="fff4e0"/>
          </w:tcPr>
          <w:p>
            <w:pPr>
              <w:jc w:val="center"/>
            </w:pPr>
            <w:r/>
            <w:r>
              <w:rPr>
                <w:rFonts w:ascii="Calibri" w:hAnsi="Calibri"/>
                <w:b w:val="0"/>
                <w:color w:val="2C3E50"/>
                <w:sz w:val="18"/>
              </w:rPr>
              <w:t>⚠️ DEEL</w:t>
            </w:r>
          </w:p>
        </w:tc>
      </w:tr>
      <w:tr>
        <w:tc>
          <w:tcPr>
            <w:tcW w:type="dxa" w:w="3135"/>
          </w:tcPr>
          <w:p>
            <w:pPr>
              <w:jc w:val="left"/>
            </w:pPr>
            <w:r/>
            <w:r>
              <w:rPr>
                <w:rFonts w:ascii="Calibri" w:hAnsi="Calibri"/>
                <w:b w:val="0"/>
                <w:color w:val="2C3E50"/>
                <w:sz w:val="18"/>
              </w:rPr>
              <w:t>Werkplan specifieke inhoud (4.50)</w:t>
            </w:r>
          </w:p>
        </w:tc>
        <w:tc>
          <w:tcPr>
            <w:tcW w:type="dxa" w:w="3135"/>
          </w:tcPr>
          <w:p>
            <w:pPr>
              <w:jc w:val="left"/>
            </w:pPr>
            <w:r/>
            <w:r>
              <w:rPr>
                <w:rFonts w:ascii="Calibri" w:hAnsi="Calibri"/>
                <w:b w:val="0"/>
                <w:color w:val="2C3E50"/>
                <w:sz w:val="18"/>
              </w:rPr>
              <w:t>Workpack genoemd, niet gespecificeerd</w:t>
            </w:r>
          </w:p>
        </w:tc>
        <w:tc>
          <w:tcPr>
            <w:tcW w:type="dxa" w:w="3135"/>
            <w:shd w:fill="fff4e0"/>
          </w:tcPr>
          <w:p>
            <w:pPr>
              <w:jc w:val="center"/>
            </w:pPr>
            <w:r/>
            <w:r>
              <w:rPr>
                <w:rFonts w:ascii="Calibri" w:hAnsi="Calibri"/>
                <w:b w:val="0"/>
                <w:color w:val="2C3E50"/>
                <w:sz w:val="18"/>
              </w:rPr>
              <w:t>⚠️ DEEL</w:t>
            </w:r>
          </w:p>
        </w:tc>
      </w:tr>
      <w:tr>
        <w:tc>
          <w:tcPr>
            <w:tcW w:type="dxa" w:w="3135"/>
          </w:tcPr>
          <w:p>
            <w:pPr>
              <w:jc w:val="left"/>
            </w:pPr>
            <w:r/>
            <w:r>
              <w:rPr>
                <w:rFonts w:ascii="Calibri" w:hAnsi="Calibri"/>
                <w:b w:val="0"/>
                <w:color w:val="2C3E50"/>
                <w:sz w:val="18"/>
              </w:rPr>
              <w:t>P3 ademhalingsbescherming (4.50)</w:t>
            </w:r>
          </w:p>
        </w:tc>
        <w:tc>
          <w:tcPr>
            <w:tcW w:type="dxa" w:w="3135"/>
          </w:tcPr>
          <w:p>
            <w:pPr>
              <w:jc w:val="left"/>
            </w:pPr>
            <w:r/>
            <w:r>
              <w:rPr>
                <w:rFonts w:ascii="Calibri" w:hAnsi="Calibri"/>
                <w:b w:val="0"/>
                <w:color w:val="2C3E50"/>
                <w:sz w:val="18"/>
              </w:rPr>
              <w:t>Suitable RPE, geen P3</w:t>
            </w:r>
          </w:p>
        </w:tc>
        <w:tc>
          <w:tcPr>
            <w:tcW w:type="dxa" w:w="3135"/>
            <w:shd w:fill="fff4e0"/>
          </w:tcPr>
          <w:p>
            <w:pPr>
              <w:jc w:val="center"/>
            </w:pPr>
            <w:r/>
            <w:r>
              <w:rPr>
                <w:rFonts w:ascii="Calibri" w:hAnsi="Calibri"/>
                <w:b w:val="0"/>
                <w:color w:val="2C3E50"/>
                <w:sz w:val="18"/>
              </w:rPr>
              <w:t>⚠️ DEEL</w:t>
            </w:r>
          </w:p>
        </w:tc>
      </w:tr>
      <w:tr>
        <w:tc>
          <w:tcPr>
            <w:tcW w:type="dxa" w:w="3135"/>
          </w:tcPr>
          <w:p>
            <w:pPr>
              <w:jc w:val="left"/>
            </w:pPr>
            <w:r/>
            <w:r>
              <w:rPr>
                <w:rFonts w:ascii="Calibri" w:hAnsi="Calibri"/>
                <w:b w:val="0"/>
                <w:color w:val="2C3E50"/>
                <w:sz w:val="18"/>
              </w:rPr>
              <w:t>Eindbeoordeling NEN 2990 (4.53)</w:t>
            </w:r>
          </w:p>
        </w:tc>
        <w:tc>
          <w:tcPr>
            <w:tcW w:type="dxa" w:w="3135"/>
          </w:tcPr>
          <w:p>
            <w:pPr>
              <w:jc w:val="left"/>
            </w:pPr>
            <w:r/>
            <w:r>
              <w:rPr>
                <w:rFonts w:ascii="Calibri" w:hAnsi="Calibri"/>
                <w:b w:val="0"/>
                <w:color w:val="2C3E50"/>
                <w:sz w:val="18"/>
              </w:rPr>
              <w:t>In refs, niet als procedure</w:t>
            </w:r>
          </w:p>
        </w:tc>
        <w:tc>
          <w:tcPr>
            <w:tcW w:type="dxa" w:w="3135"/>
            <w:shd w:fill="fff4e0"/>
          </w:tcPr>
          <w:p>
            <w:pPr>
              <w:jc w:val="center"/>
            </w:pPr>
            <w:r/>
            <w:r>
              <w:rPr>
                <w:rFonts w:ascii="Calibri" w:hAnsi="Calibri"/>
                <w:b w:val="0"/>
                <w:color w:val="2C3E50"/>
                <w:sz w:val="18"/>
              </w:rPr>
              <w:t>⚠️ DEEL</w:t>
            </w:r>
          </w:p>
        </w:tc>
      </w:tr>
      <w:tr>
        <w:tc>
          <w:tcPr>
            <w:tcW w:type="dxa" w:w="3135"/>
          </w:tcPr>
          <w:p>
            <w:pPr>
              <w:jc w:val="left"/>
            </w:pPr>
            <w:r/>
            <w:r>
              <w:rPr>
                <w:rFonts w:ascii="Calibri" w:hAnsi="Calibri"/>
                <w:b w:val="0"/>
                <w:color w:val="2C3E50"/>
                <w:sz w:val="18"/>
              </w:rPr>
              <w:t>Accreditatie laboratorium (4.53)</w:t>
            </w:r>
          </w:p>
        </w:tc>
        <w:tc>
          <w:tcPr>
            <w:tcW w:type="dxa" w:w="3135"/>
          </w:tcPr>
          <w:p>
            <w:pPr>
              <w:jc w:val="left"/>
            </w:pPr>
            <w:r/>
            <w:r>
              <w:rPr>
                <w:rFonts w:ascii="Calibri" w:hAnsi="Calibri"/>
                <w:b w:val="0"/>
                <w:color w:val="2C3E50"/>
                <w:sz w:val="18"/>
              </w:rPr>
              <w:t>Niet genoemd</w:t>
            </w:r>
          </w:p>
        </w:tc>
        <w:tc>
          <w:tcPr>
            <w:tcW w:type="dxa" w:w="3135"/>
            <w:shd w:fill="fde8e8"/>
          </w:tcPr>
          <w:p>
            <w:pPr>
              <w:jc w:val="center"/>
            </w:pPr>
            <w:r/>
            <w:r>
              <w:rPr>
                <w:rFonts w:ascii="Calibri" w:hAnsi="Calibri"/>
                <w:b w:val="0"/>
                <w:color w:val="2C3E50"/>
                <w:sz w:val="18"/>
              </w:rPr>
              <w:t>❌ NON-CONFORM</w:t>
            </w:r>
          </w:p>
        </w:tc>
      </w:tr>
      <w:tr>
        <w:tc>
          <w:tcPr>
            <w:tcW w:type="dxa" w:w="3135"/>
          </w:tcPr>
          <w:p>
            <w:pPr>
              <w:jc w:val="left"/>
            </w:pPr>
            <w:r/>
            <w:r>
              <w:rPr>
                <w:rFonts w:ascii="Calibri" w:hAnsi="Calibri"/>
                <w:b w:val="0"/>
                <w:color w:val="2C3E50"/>
                <w:sz w:val="18"/>
              </w:rPr>
              <w:t>AGK-onderzoek (4.51)</w:t>
            </w:r>
          </w:p>
        </w:tc>
        <w:tc>
          <w:tcPr>
            <w:tcW w:type="dxa" w:w="3135"/>
          </w:tcPr>
          <w:p>
            <w:pPr>
              <w:jc w:val="left"/>
            </w:pPr>
            <w:r/>
            <w:r>
              <w:rPr>
                <w:rFonts w:ascii="Calibri" w:hAnsi="Calibri"/>
                <w:b w:val="0"/>
                <w:color w:val="2C3E50"/>
                <w:sz w:val="18"/>
              </w:rPr>
              <w:t>Niet genoemd</w:t>
            </w:r>
          </w:p>
        </w:tc>
        <w:tc>
          <w:tcPr>
            <w:tcW w:type="dxa" w:w="3135"/>
            <w:shd w:fill="fde8e8"/>
          </w:tcPr>
          <w:p>
            <w:pPr>
              <w:jc w:val="center"/>
            </w:pPr>
            <w:r/>
            <w:r>
              <w:rPr>
                <w:rFonts w:ascii="Calibri" w:hAnsi="Calibri"/>
                <w:b w:val="0"/>
                <w:color w:val="2C3E50"/>
                <w:sz w:val="18"/>
              </w:rPr>
              <w:t>❌ NON-CONFORM</w:t>
            </w:r>
          </w:p>
        </w:tc>
      </w:tr>
      <w:tr>
        <w:tc>
          <w:tcPr>
            <w:tcW w:type="dxa" w:w="3135"/>
          </w:tcPr>
          <w:p>
            <w:pPr>
              <w:jc w:val="left"/>
            </w:pPr>
            <w:r/>
            <w:r>
              <w:rPr>
                <w:rFonts w:ascii="Calibri" w:hAnsi="Calibri"/>
                <w:b w:val="0"/>
                <w:color w:val="2C3E50"/>
                <w:sz w:val="18"/>
              </w:rPr>
              <w:t>Blootstellingsregistratie (4.52)</w:t>
            </w:r>
          </w:p>
        </w:tc>
        <w:tc>
          <w:tcPr>
            <w:tcW w:type="dxa" w:w="3135"/>
          </w:tcPr>
          <w:p>
            <w:pPr>
              <w:jc w:val="left"/>
            </w:pPr>
            <w:r/>
            <w:r>
              <w:rPr>
                <w:rFonts w:ascii="Calibri" w:hAnsi="Calibri"/>
                <w:b w:val="0"/>
                <w:color w:val="2C3E50"/>
                <w:sz w:val="18"/>
              </w:rPr>
              <w:t>Niet genoemd</w:t>
            </w:r>
          </w:p>
        </w:tc>
        <w:tc>
          <w:tcPr>
            <w:tcW w:type="dxa" w:w="3135"/>
            <w:shd w:fill="fde8e8"/>
          </w:tcPr>
          <w:p>
            <w:pPr>
              <w:jc w:val="center"/>
            </w:pPr>
            <w:r/>
            <w:r>
              <w:rPr>
                <w:rFonts w:ascii="Calibri" w:hAnsi="Calibri"/>
                <w:b w:val="0"/>
                <w:color w:val="2C3E50"/>
                <w:sz w:val="18"/>
              </w:rPr>
              <w:t>❌ NON-CONFORM</w:t>
            </w:r>
          </w:p>
        </w:tc>
      </w:tr>
      <w:tr>
        <w:tc>
          <w:tcPr>
            <w:tcW w:type="dxa" w:w="3135"/>
          </w:tcPr>
          <w:p>
            <w:pPr>
              <w:jc w:val="left"/>
            </w:pPr>
            <w:r/>
            <w:r>
              <w:rPr>
                <w:rFonts w:ascii="Calibri" w:hAnsi="Calibri"/>
                <w:b w:val="0"/>
                <w:color w:val="2C3E50"/>
                <w:sz w:val="18"/>
              </w:rPr>
              <w:t>Dubbele verpakking (4.47)</w:t>
            </w:r>
          </w:p>
        </w:tc>
        <w:tc>
          <w:tcPr>
            <w:tcW w:type="dxa" w:w="3135"/>
          </w:tcPr>
          <w:p>
            <w:pPr>
              <w:jc w:val="left"/>
            </w:pPr>
            <w:r/>
            <w:r>
              <w:rPr>
                <w:rFonts w:ascii="Calibri" w:hAnsi="Calibri"/>
                <w:b w:val="0"/>
                <w:color w:val="2C3E50"/>
                <w:sz w:val="18"/>
              </w:rPr>
              <w:t>Sealed packaging, niet dubbel</w:t>
            </w:r>
          </w:p>
        </w:tc>
        <w:tc>
          <w:tcPr>
            <w:tcW w:type="dxa" w:w="3135"/>
            <w:shd w:fill="fff4e0"/>
          </w:tcPr>
          <w:p>
            <w:pPr>
              <w:jc w:val="center"/>
            </w:pPr>
            <w:r/>
            <w:r>
              <w:rPr>
                <w:rFonts w:ascii="Calibri" w:hAnsi="Calibri"/>
                <w:b w:val="0"/>
                <w:color w:val="2C3E50"/>
                <w:sz w:val="18"/>
              </w:rPr>
              <w:t>⚠️ DEEL</w:t>
            </w:r>
          </w:p>
        </w:tc>
      </w:tr>
      <w:tr>
        <w:tc>
          <w:tcPr>
            <w:tcW w:type="dxa" w:w="3135"/>
          </w:tcPr>
          <w:p>
            <w:pPr>
              <w:jc w:val="left"/>
            </w:pPr>
            <w:r/>
            <w:r>
              <w:rPr>
                <w:rFonts w:ascii="Calibri" w:hAnsi="Calibri"/>
                <w:b w:val="0"/>
                <w:color w:val="2C3E50"/>
                <w:sz w:val="18"/>
              </w:rPr>
              <w:t>Asbestetiket (Productenbesluit)</w:t>
            </w:r>
          </w:p>
        </w:tc>
        <w:tc>
          <w:tcPr>
            <w:tcW w:type="dxa" w:w="3135"/>
          </w:tcPr>
          <w:p>
            <w:pPr>
              <w:jc w:val="left"/>
            </w:pPr>
            <w:r/>
            <w:r>
              <w:rPr>
                <w:rFonts w:ascii="Calibri" w:hAnsi="Calibri"/>
                <w:b w:val="0"/>
                <w:color w:val="2C3E50"/>
                <w:sz w:val="18"/>
              </w:rPr>
              <w:t>Labelled, niet gespecificeerd</w:t>
            </w:r>
          </w:p>
        </w:tc>
        <w:tc>
          <w:tcPr>
            <w:tcW w:type="dxa" w:w="3135"/>
            <w:shd w:fill="fff4e0"/>
          </w:tcPr>
          <w:p>
            <w:pPr>
              <w:jc w:val="center"/>
            </w:pPr>
            <w:r/>
            <w:r>
              <w:rPr>
                <w:rFonts w:ascii="Calibri" w:hAnsi="Calibri"/>
                <w:b w:val="0"/>
                <w:color w:val="2C3E50"/>
                <w:sz w:val="18"/>
              </w:rPr>
              <w:t>⚠️ DEEL</w:t>
            </w:r>
          </w:p>
        </w:tc>
      </w:tr>
      <w:tr>
        <w:tc>
          <w:tcPr>
            <w:tcW w:type="dxa" w:w="3135"/>
          </w:tcPr>
          <w:p>
            <w:pPr>
              <w:jc w:val="left"/>
            </w:pPr>
            <w:r/>
            <w:r>
              <w:rPr>
                <w:rFonts w:ascii="Calibri" w:hAnsi="Calibri"/>
                <w:b w:val="0"/>
                <w:color w:val="2C3E50"/>
                <w:sz w:val="18"/>
              </w:rPr>
              <w:t>Decontaminatie sluis</w:t>
            </w:r>
          </w:p>
        </w:tc>
        <w:tc>
          <w:tcPr>
            <w:tcW w:type="dxa" w:w="3135"/>
          </w:tcPr>
          <w:p>
            <w:pPr>
              <w:jc w:val="left"/>
            </w:pPr>
            <w:r/>
            <w:r>
              <w:rPr>
                <w:rFonts w:ascii="Calibri" w:hAnsi="Calibri"/>
                <w:b w:val="0"/>
                <w:color w:val="2C3E50"/>
                <w:sz w:val="18"/>
              </w:rPr>
              <w:t>Arrangements genoemd</w:t>
            </w:r>
          </w:p>
        </w:tc>
        <w:tc>
          <w:tcPr>
            <w:tcW w:type="dxa" w:w="3135"/>
            <w:shd w:fill="fff4e0"/>
          </w:tcPr>
          <w:p>
            <w:pPr>
              <w:jc w:val="center"/>
            </w:pPr>
            <w:r/>
            <w:r>
              <w:rPr>
                <w:rFonts w:ascii="Calibri" w:hAnsi="Calibri"/>
                <w:b w:val="0"/>
                <w:color w:val="2C3E50"/>
                <w:sz w:val="18"/>
              </w:rPr>
              <w:t>⚠️ DEEL</w:t>
            </w:r>
          </w:p>
        </w:tc>
      </w:tr>
      <w:tr>
        <w:tc>
          <w:tcPr>
            <w:tcW w:type="dxa" w:w="3135"/>
          </w:tcPr>
          <w:p>
            <w:pPr>
              <w:jc w:val="left"/>
            </w:pPr>
            <w:r/>
            <w:r>
              <w:rPr>
                <w:rFonts w:ascii="Calibri" w:hAnsi="Calibri"/>
                <w:b w:val="0"/>
                <w:color w:val="2C3E50"/>
                <w:sz w:val="18"/>
              </w:rPr>
              <w:t>Batteryspray VIP-goedkeuring</w:t>
            </w:r>
          </w:p>
        </w:tc>
        <w:tc>
          <w:tcPr>
            <w:tcW w:type="dxa" w:w="3135"/>
          </w:tcPr>
          <w:p>
            <w:pPr>
              <w:jc w:val="left"/>
            </w:pPr>
            <w:r/>
            <w:r>
              <w:rPr>
                <w:rFonts w:ascii="Calibri" w:hAnsi="Calibri"/>
                <w:b w:val="0"/>
                <w:color w:val="2C3E50"/>
                <w:sz w:val="18"/>
              </w:rPr>
              <w:t>Niet geverifieerd</w:t>
            </w:r>
          </w:p>
        </w:tc>
        <w:tc>
          <w:tcPr>
            <w:tcW w:type="dxa" w:w="3135"/>
            <w:shd w:fill="fde8e8"/>
          </w:tcPr>
          <w:p>
            <w:pPr>
              <w:jc w:val="center"/>
            </w:pPr>
            <w:r/>
            <w:r>
              <w:rPr>
                <w:rFonts w:ascii="Calibri" w:hAnsi="Calibri"/>
                <w:b w:val="0"/>
                <w:color w:val="2C3E50"/>
                <w:sz w:val="18"/>
              </w:rPr>
              <w:t>❌ NON-CONFORM</w:t>
            </w:r>
          </w:p>
        </w:tc>
      </w:tr>
    </w:tbl>
    <w:p>
      <w:r>
        <w:rPr>
          <w:b w:val="0"/>
          <w:i w:val="0"/>
          <w:color w:val="2C3E50"/>
          <w:sz w:val="22"/>
        </w:rPr>
      </w:r>
    </w:p>
    <w:p>
      <w:r>
        <w:rPr>
          <w:b/>
          <w:i w:val="0"/>
          <w:color w:val="C0392B"/>
          <w:sz w:val="22"/>
        </w:rPr>
        <w:t>Totaal: 11 NON-CONFORM · 8 DEELS · 0 VOLLEDIG CONFORM</w:t>
      </w:r>
    </w:p>
    <w:p>
      <w:r>
        <w:br w:type="page"/>
      </w:r>
    </w:p>
    <w:p>
      <w:r>
        <w:rPr>
          <w:rFonts w:ascii="Calibri" w:hAnsi="Calibri"/>
          <w:b/>
          <w:color w:val="1A3A5C"/>
          <w:sz w:val="32"/>
        </w:rPr>
        <w:t>7. Risicobeoordeling</w:t>
      </w:r>
    </w:p>
    <w:p>
      <w:r>
        <w:rPr>
          <w:b/>
          <w:i w:val="0"/>
          <w:color w:val="C0392B"/>
          <w:sz w:val="28"/>
        </w:rPr>
        <w:t>Overall risicobeoordeling: HOOG</w:t>
      </w:r>
    </w:p>
    <w:p>
      <w:r>
        <w:rPr>
          <w:b w:val="0"/>
          <w:i w:val="0"/>
          <w:color w:val="2C3E50"/>
          <w:sz w:val="22"/>
        </w:rPr>
      </w:r>
    </w:p>
    <w:p>
      <w:r>
        <w:rPr>
          <w:b w:val="0"/>
          <w:i w:val="0"/>
          <w:color w:val="2C3E50"/>
          <w:sz w:val="22"/>
        </w:rPr>
        <w:t>Met 11 kritieke non-conformiteiten is er een significant risico op:</w:t>
      </w:r>
    </w:p>
    <w:p>
      <w:r>
        <w:rPr>
          <w:b w:val="0"/>
          <w:i w:val="0"/>
          <w:color w:val="2C3E50"/>
          <w:sz w:val="22"/>
        </w:rPr>
        <w:t>1. Wettelijke handhaving door Nederlandse Arbeidsinspectie (boetes, stillegging)</w:t>
      </w:r>
    </w:p>
    <w:p>
      <w:r>
        <w:rPr>
          <w:b w:val="0"/>
          <w:i w:val="0"/>
          <w:color w:val="2C3E50"/>
          <w:sz w:val="22"/>
        </w:rPr>
        <w:t>2. Onbeschermde blootstelling van werknemers aan asbestvezels</w:t>
      </w:r>
    </w:p>
    <w:p>
      <w:r>
        <w:rPr>
          <w:b w:val="0"/>
          <w:i w:val="0"/>
          <w:color w:val="2C3E50"/>
          <w:sz w:val="22"/>
        </w:rPr>
        <w:t>3. Onjuiste vrijgave van werkgebieden (restvervuiling niet opgespoord)</w:t>
      </w:r>
    </w:p>
    <w:p>
      <w:r>
        <w:rPr>
          <w:b w:val="0"/>
          <w:i w:val="0"/>
          <w:color w:val="2C3E50"/>
          <w:sz w:val="22"/>
        </w:rPr>
        <w:t>4. Aansprakelijkheidsclaims via Instituut Asbestslachtoffers</w:t>
      </w:r>
    </w:p>
    <w:p>
      <w:r>
        <w:rPr>
          <w:b w:val="0"/>
          <w:i w:val="0"/>
          <w:color w:val="2C3E50"/>
          <w:sz w:val="22"/>
        </w:rPr>
        <w:t>5. Vertraging van het decommissioning project door stillegging</w:t>
      </w:r>
    </w:p>
    <w:p>
      <w:r>
        <w:rPr>
          <w:b w:val="0"/>
          <w:i w:val="0"/>
          <w:color w:val="2C3E50"/>
          <w:sz w:val="22"/>
        </w:rPr>
        <w:t>6. Reputatieschade voor Wintershall en Koole</w:t>
      </w:r>
    </w:p>
    <w:p>
      <w:r>
        <w:br w:type="page"/>
      </w:r>
    </w:p>
    <w:p>
      <w:r>
        <w:rPr>
          <w:rFonts w:ascii="Calibri" w:hAnsi="Calibri"/>
          <w:b/>
          <w:color w:val="1A3A5C"/>
          <w:sz w:val="32"/>
        </w:rPr>
        <w:t>8. Verbeteracties</w:t>
      </w:r>
    </w:p>
    <w:p>
      <w:r>
        <w:rPr>
          <w:rFonts w:ascii="Calibri" w:hAnsi="Calibri"/>
          <w:b/>
          <w:color w:val="C0392B"/>
          <w:sz w:val="26"/>
        </w:rPr>
        <w:t>P1 — Direct (vóór aanvang werkzaamheden)</w:t>
      </w:r>
    </w:p>
    <w:p>
      <w:r>
        <w:rPr>
          <w:b w:val="0"/>
          <w:i w:val="0"/>
          <w:color w:val="2C3E50"/>
          <w:sz w:val="22"/>
        </w:rPr>
        <w:t xml:space="preserve">  1. Voeg Nederlandse risicoklassen 1/2/2A toe met wettelijke referenties</w:t>
      </w:r>
    </w:p>
    <w:p>
      <w:r>
        <w:rPr>
          <w:b w:val="0"/>
          <w:i w:val="0"/>
          <w:color w:val="2C3E50"/>
          <w:sz w:val="22"/>
        </w:rPr>
        <w:t xml:space="preserve">  2. Maak SMA-rt verplicht voor risicoklassebepaling</w:t>
      </w:r>
    </w:p>
    <w:p>
      <w:r>
        <w:rPr>
          <w:b w:val="0"/>
          <w:i w:val="0"/>
          <w:color w:val="2C3E50"/>
          <w:sz w:val="22"/>
        </w:rPr>
        <w:t xml:space="preserve">  3. Voeg LAVS-melding als harde voorwaarde toe</w:t>
      </w:r>
    </w:p>
    <w:p>
      <w:r>
        <w:rPr>
          <w:b w:val="0"/>
          <w:i w:val="0"/>
          <w:color w:val="2C3E50"/>
          <w:sz w:val="22"/>
        </w:rPr>
        <w:t xml:space="preserve">  4. Eis gecertificeerd asbestverwijderingsbedrijf + DTA/DAV certificering</w:t>
      </w:r>
    </w:p>
    <w:p>
      <w:r>
        <w:rPr>
          <w:b w:val="0"/>
          <w:i w:val="0"/>
          <w:color w:val="2C3E50"/>
          <w:sz w:val="22"/>
        </w:rPr>
        <w:t xml:space="preserve">  5. Verifieer Batteryspray methode status bij VIP/RIVM</w:t>
      </w:r>
    </w:p>
    <w:p>
      <w:r>
        <w:rPr>
          <w:b w:val="0"/>
          <w:i w:val="0"/>
          <w:color w:val="2C3E50"/>
          <w:sz w:val="22"/>
        </w:rPr>
        <w:t xml:space="preserve">  6. Voeg arbeidsgezondheidskundig onderzoek toe</w:t>
      </w:r>
    </w:p>
    <w:p>
      <w:r>
        <w:rPr>
          <w:b w:val="0"/>
          <w:i w:val="0"/>
          <w:color w:val="2C3E50"/>
          <w:sz w:val="22"/>
        </w:rPr>
        <w:t xml:space="preserve">  7. Voeg blootstellingsregistratie (40 jaar bewaring) toe</w:t>
      </w:r>
    </w:p>
    <w:p>
      <w:r>
        <w:rPr>
          <w:b w:val="0"/>
          <w:i w:val="0"/>
          <w:color w:val="2C3E50"/>
          <w:sz w:val="22"/>
        </w:rPr>
        <w:t xml:space="preserve">  8. Specificeer eindbeoordeling met NEN 2990 + geaccrediteerd lab</w:t>
      </w:r>
    </w:p>
    <w:p>
      <w:r>
        <w:rPr>
          <w:rFonts w:ascii="Calibri" w:hAnsi="Calibri"/>
          <w:b/>
          <w:color w:val="E67E22"/>
          <w:sz w:val="26"/>
        </w:rPr>
        <w:t>P2 — Kortlopend (binnen 30 dagen)</w:t>
      </w:r>
    </w:p>
    <w:p>
      <w:r>
        <w:rPr>
          <w:b w:val="0"/>
          <w:i w:val="0"/>
          <w:color w:val="2C3E50"/>
          <w:sz w:val="22"/>
        </w:rPr>
        <w:t xml:space="preserve">  9. Specificeer P3-filter en APF per risicoklasse</w:t>
      </w:r>
    </w:p>
    <w:p>
      <w:r>
        <w:rPr>
          <w:b w:val="0"/>
          <w:i w:val="0"/>
          <w:color w:val="2C3E50"/>
          <w:sz w:val="22"/>
        </w:rPr>
        <w:t xml:space="preserve">  10. Voeg decontaminatieprocedure (sluis/principe) toe</w:t>
      </w:r>
    </w:p>
    <w:p>
      <w:r>
        <w:rPr>
          <w:b w:val="0"/>
          <w:i w:val="0"/>
          <w:color w:val="2C3E50"/>
          <w:sz w:val="22"/>
        </w:rPr>
        <w:t xml:space="preserve">  11. Voeg dubbele verpakking + asbestetiket specificatie toe</w:t>
      </w:r>
    </w:p>
    <w:p>
      <w:r>
        <w:rPr>
          <w:b w:val="0"/>
          <w:i w:val="0"/>
          <w:color w:val="2C3E50"/>
          <w:sz w:val="22"/>
        </w:rPr>
        <w:t xml:space="preserve">  12. Vervang algemene referenties door specifieke wettelijke artikelen</w:t>
      </w:r>
    </w:p>
    <w:p>
      <w:r>
        <w:rPr>
          <w:b w:val="0"/>
          <w:i w:val="0"/>
          <w:color w:val="2C3E50"/>
          <w:sz w:val="22"/>
        </w:rPr>
        <w:t xml:space="preserve">  13. Werk definities bij (alle risicoklassen, grenswaarde)</w:t>
      </w:r>
    </w:p>
    <w:p>
      <w:r>
        <w:rPr>
          <w:b w:val="0"/>
          <w:i w:val="0"/>
          <w:color w:val="2C3E50"/>
          <w:sz w:val="22"/>
        </w:rPr>
        <w:t xml:space="preserve">  14. Adres offshore jurisdictie</w:t>
      </w:r>
    </w:p>
    <w:p>
      <w:r>
        <w:rPr>
          <w:rFonts w:ascii="Calibri" w:hAnsi="Calibri"/>
          <w:b/>
          <w:color w:val="27AE60"/>
          <w:sz w:val="26"/>
        </w:rPr>
        <w:t>P3 — Middellange termijn (binnen 90 dagen)</w:t>
      </w:r>
    </w:p>
    <w:p>
      <w:r>
        <w:rPr>
          <w:b w:val="0"/>
          <w:i w:val="0"/>
          <w:color w:val="2C3E50"/>
          <w:sz w:val="22"/>
        </w:rPr>
        <w:t xml:space="preserve">  15. Ontwikkel SIMOPS-procedure voor asbest</w:t>
      </w:r>
    </w:p>
    <w:p>
      <w:r>
        <w:rPr>
          <w:b w:val="0"/>
          <w:i w:val="0"/>
          <w:color w:val="2C3E50"/>
          <w:sz w:val="22"/>
        </w:rPr>
        <w:t xml:space="preserve">  16. Werk emergency response uit met asbestspecifieke scenario's</w:t>
      </w:r>
    </w:p>
    <w:p>
      <w:r>
        <w:rPr>
          <w:b w:val="0"/>
          <w:i w:val="0"/>
          <w:color w:val="2C3E50"/>
          <w:sz w:val="22"/>
        </w:rPr>
        <w:t xml:space="preserve">  17. Ontwikkel exposure monitoring strategie (SCi-548)</w:t>
      </w:r>
    </w:p>
    <w:p>
      <w:r>
        <w:rPr>
          <w:b w:val="0"/>
          <w:i w:val="0"/>
          <w:color w:val="2C3E50"/>
          <w:sz w:val="22"/>
        </w:rPr>
        <w:t xml:space="preserve">  18. Voeg verwijzing naar Asbestkaart / Instituut Asbestslachtoffers toe</w:t>
      </w:r>
    </w:p>
    <w:p>
      <w:r>
        <w:br w:type="page"/>
      </w:r>
    </w:p>
    <w:p>
      <w:r>
        <w:rPr>
          <w:rFonts w:ascii="Calibri" w:hAnsi="Calibri"/>
          <w:b/>
          <w:color w:val="1A3A5C"/>
          <w:sz w:val="32"/>
        </w:rPr>
        <w:t>9. TierVerify Resultaat</w:t>
      </w:r>
    </w:p>
    <w:tbl>
      <w:tblPr>
        <w:tblStyle w:val="TableGrid"/>
        <w:tblW w:type="auto" w:w="0"/>
        <w:tblLook w:firstColumn="1" w:firstRow="1" w:lastColumn="0" w:lastRow="0" w:noHBand="0" w:noVBand="1" w:val="04A0"/>
      </w:tblPr>
      <w:tblGrid>
        <w:gridCol w:w="4703"/>
        <w:gridCol w:w="4703"/>
      </w:tblGrid>
      <w:tr>
        <w:tc>
          <w:tcPr>
            <w:tcW w:type="dxa" w:w="4703"/>
            <w:shd w:fill="1a3a5c"/>
          </w:tcPr>
          <w:p>
            <w:pPr>
              <w:jc w:val="left"/>
            </w:pPr>
            <w:r/>
            <w:r>
              <w:rPr>
                <w:rFonts w:ascii="Calibri" w:hAnsi="Calibri"/>
                <w:b/>
                <w:color w:val="FFFFFF"/>
                <w:sz w:val="20"/>
              </w:rPr>
              <w:t>Check</w:t>
            </w:r>
          </w:p>
        </w:tc>
        <w:tc>
          <w:tcPr>
            <w:tcW w:type="dxa" w:w="4703"/>
            <w:shd w:fill="1a3a5c"/>
          </w:tcPr>
          <w:p>
            <w:pPr>
              <w:jc w:val="left"/>
            </w:pPr>
            <w:r/>
            <w:r>
              <w:rPr>
                <w:rFonts w:ascii="Calibri" w:hAnsi="Calibri"/>
                <w:b/>
                <w:color w:val="FFFFFF"/>
                <w:sz w:val="20"/>
              </w:rPr>
              <w:t>Resultaat</w:t>
            </w:r>
          </w:p>
        </w:tc>
      </w:tr>
      <w:tr>
        <w:tc>
          <w:tcPr>
            <w:tcW w:type="dxa" w:w="4703"/>
          </w:tcPr>
          <w:p>
            <w:pPr>
              <w:jc w:val="left"/>
            </w:pPr>
            <w:r/>
            <w:r>
              <w:rPr>
                <w:rFonts w:ascii="Calibri" w:hAnsi="Calibri"/>
                <w:b w:val="0"/>
                <w:color w:val="2C3E50"/>
                <w:sz w:val="20"/>
              </w:rPr>
              <w:t>Completeness — alle wettelijke eisen gecheckt</w:t>
            </w:r>
          </w:p>
        </w:tc>
        <w:tc>
          <w:tcPr>
            <w:tcW w:type="dxa" w:w="4703"/>
          </w:tcPr>
          <w:p>
            <w:pPr>
              <w:jc w:val="left"/>
            </w:pPr>
            <w:r/>
            <w:r>
              <w:rPr>
                <w:rFonts w:ascii="Calibri" w:hAnsi="Calibri"/>
                <w:b w:val="0"/>
                <w:color w:val="2C3E50"/>
                <w:sz w:val="20"/>
              </w:rPr>
              <w:t>✅ PASS</w:t>
            </w:r>
          </w:p>
        </w:tc>
      </w:tr>
      <w:tr>
        <w:tc>
          <w:tcPr>
            <w:tcW w:type="dxa" w:w="4703"/>
          </w:tcPr>
          <w:p>
            <w:pPr>
              <w:jc w:val="left"/>
            </w:pPr>
            <w:r/>
            <w:r>
              <w:rPr>
                <w:rFonts w:ascii="Calibri" w:hAnsi="Calibri"/>
                <w:b w:val="0"/>
                <w:color w:val="2C3E50"/>
                <w:sz w:val="20"/>
              </w:rPr>
              <w:t>Consistency — data logisch samenhangend</w:t>
            </w:r>
          </w:p>
        </w:tc>
        <w:tc>
          <w:tcPr>
            <w:tcW w:type="dxa" w:w="4703"/>
          </w:tcPr>
          <w:p>
            <w:pPr>
              <w:jc w:val="left"/>
            </w:pPr>
            <w:r/>
            <w:r>
              <w:rPr>
                <w:rFonts w:ascii="Calibri" w:hAnsi="Calibri"/>
                <w:b w:val="0"/>
                <w:color w:val="2C3E50"/>
                <w:sz w:val="20"/>
              </w:rPr>
              <w:t>✅ PASS</w:t>
            </w:r>
          </w:p>
        </w:tc>
      </w:tr>
      <w:tr>
        <w:tc>
          <w:tcPr>
            <w:tcW w:type="dxa" w:w="4703"/>
          </w:tcPr>
          <w:p>
            <w:pPr>
              <w:jc w:val="left"/>
            </w:pPr>
            <w:r/>
            <w:r>
              <w:rPr>
                <w:rFonts w:ascii="Calibri" w:hAnsi="Calibri"/>
                <w:b w:val="0"/>
                <w:color w:val="2C3E50"/>
                <w:sz w:val="20"/>
              </w:rPr>
              <w:t>Source — bronnen bereikbaar en actueel</w:t>
            </w:r>
          </w:p>
        </w:tc>
        <w:tc>
          <w:tcPr>
            <w:tcW w:type="dxa" w:w="4703"/>
          </w:tcPr>
          <w:p>
            <w:pPr>
              <w:jc w:val="left"/>
            </w:pPr>
            <w:r/>
            <w:r>
              <w:rPr>
                <w:rFonts w:ascii="Calibri" w:hAnsi="Calibri"/>
                <w:b w:val="0"/>
                <w:color w:val="2C3E50"/>
                <w:sz w:val="20"/>
              </w:rPr>
              <w:t>✅ PASS</w:t>
            </w:r>
          </w:p>
        </w:tc>
      </w:tr>
      <w:tr>
        <w:tc>
          <w:tcPr>
            <w:tcW w:type="dxa" w:w="4703"/>
          </w:tcPr>
          <w:p>
            <w:pPr>
              <w:jc w:val="left"/>
            </w:pPr>
            <w:r/>
            <w:r>
              <w:rPr>
                <w:rFonts w:ascii="Calibri" w:hAnsi="Calibri"/>
                <w:b w:val="0"/>
                <w:color w:val="2C3E50"/>
                <w:sz w:val="20"/>
              </w:rPr>
              <w:t>CLP conformiteit</w:t>
            </w:r>
          </w:p>
        </w:tc>
        <w:tc>
          <w:tcPr>
            <w:tcW w:type="dxa" w:w="4703"/>
          </w:tcPr>
          <w:p>
            <w:pPr>
              <w:jc w:val="left"/>
            </w:pPr>
            <w:r/>
            <w:r>
              <w:rPr>
                <w:rFonts w:ascii="Calibri" w:hAnsi="Calibri"/>
                <w:b w:val="0"/>
                <w:color w:val="2C3E50"/>
                <w:sz w:val="20"/>
              </w:rPr>
              <w:t>NVT (asbest = carcinogeen Cat 1A/T)</w:t>
            </w:r>
          </w:p>
        </w:tc>
      </w:tr>
    </w:tbl>
    <w:p>
      <w:r>
        <w:rPr>
          <w:b w:val="0"/>
          <w:i w:val="0"/>
          <w:color w:val="2C3E50"/>
          <w:sz w:val="22"/>
        </w:rPr>
      </w:r>
    </w:p>
    <w:p>
      <w:r>
        <w:rPr>
          <w:b/>
          <w:i w:val="0"/>
          <w:color w:val="2C3E50"/>
          <w:sz w:val="22"/>
        </w:rPr>
        <w:t>Tier bronnen gebruikt:</w:t>
      </w:r>
    </w:p>
    <w:p>
      <w:r>
        <w:rPr>
          <w:b w:val="0"/>
          <w:i w:val="0"/>
          <w:color w:val="2C3E50"/>
          <w:sz w:val="22"/>
        </w:rPr>
        <w:t>• Tier 1: Koole 003.059 Asbestos Removal Procedure Rev 1</w:t>
      </w:r>
    </w:p>
    <w:p>
      <w:r>
        <w:rPr>
          <w:b w:val="0"/>
          <w:i w:val="0"/>
          <w:color w:val="2C3E50"/>
          <w:sz w:val="22"/>
        </w:rPr>
        <w:t>• Tier 2: AI-blad Asbest (AI-03) — Sdu Fonds, juli 2023</w:t>
      </w:r>
    </w:p>
    <w:p>
      <w:r>
        <w:rPr>
          <w:b w:val="0"/>
          <w:i w:val="0"/>
          <w:color w:val="2C3E50"/>
          <w:sz w:val="22"/>
        </w:rPr>
        <w:t>• Tier 2: Arbobesluit hoofdstuk 4, afdeling 5</w:t>
      </w:r>
    </w:p>
    <w:p>
      <w:r>
        <w:rPr>
          <w:b w:val="0"/>
          <w:i w:val="0"/>
          <w:color w:val="2C3E50"/>
          <w:sz w:val="22"/>
        </w:rPr>
      </w:r>
    </w:p>
    <w:p>
      <w:r>
        <w:rPr>
          <w:b/>
          <w:i w:val="0"/>
          <w:color w:val="27AE60"/>
          <w:sz w:val="26"/>
        </w:rPr>
        <w:t>TierVerify Status: ✅ PASS</w:t>
      </w:r>
    </w:p>
    <w:p>
      <w:r>
        <w:br w:type="page"/>
      </w:r>
    </w:p>
    <w:p>
      <w:r>
        <w:rPr>
          <w:rFonts w:ascii="Calibri" w:hAnsi="Calibri"/>
          <w:b/>
          <w:color w:val="1A3A5C"/>
          <w:sz w:val="32"/>
        </w:rPr>
        <w:t>10. Conclusie en Aanbeveling</w:t>
      </w:r>
    </w:p>
    <w:p>
      <w:r>
        <w:rPr>
          <w:b/>
          <w:color w:val="C0392B"/>
          <w:sz w:val="24"/>
        </w:rPr>
        <w:t xml:space="preserve">Conclusie: </w:t>
      </w:r>
      <w:r>
        <w:rPr>
          <w:sz w:val="24"/>
        </w:rPr>
        <w:t>De Koole procedure 003.059 is een algemeen raamwerk dat onvoldoende aansluit bij de specifieke Nederlandse asbestregelgeving. Met 11 kritieke non-conformiteiten (waaronder het ontbreken van risicoklassen, SMA-rt, LAVS-melding, certificeringseisen, AGK-onderzoek en blootstellingsregistratie) is het risico op wettelijke handhaving en onbeschermde blootstelling van werknemers HOOG.</w:t>
      </w:r>
    </w:p>
    <w:p>
      <w:r>
        <w:rPr>
          <w:b/>
          <w:color w:val="1A3A5C"/>
          <w:sz w:val="24"/>
        </w:rPr>
        <w:t xml:space="preserve">Aanbeveling: </w:t>
      </w:r>
      <w:r>
        <w:rPr>
          <w:sz w:val="24"/>
        </w:rPr>
        <w:t>De procedure MOET worden herzien vóór inzet voor asbestverwijderingswerkzaamheden. Alle P1-verbeteracties moeten zijn geïmplementeerd voordat de procedure mag worden gebruikt. Wij adviseren tevens een onafhankelijke her-audit na herziening.</w:t>
      </w:r>
    </w:p>
    <w:p>
      <w:r>
        <w:rPr>
          <w:b w:val="0"/>
          <w:i w:val="0"/>
          <w:color w:val="2C3E50"/>
          <w:sz w:val="22"/>
        </w:rPr>
      </w:r>
    </w:p>
    <w:p>
      <w:r>
        <w:rPr>
          <w:b w:val="0"/>
          <w:i/>
          <w:color w:val="2C3E50"/>
          <w:sz w:val="20"/>
        </w:rPr>
        <w:t>Dit rapport is gebaseerd op een objectieve toetsing van de beschikbare brondocumenten. Alle bevindingen zijn herleidbaar naar specifieke artikelen in het Arbobesluit en het AI-blad Asbest.</w:t>
      </w:r>
    </w:p>
    <w:p>
      <w:r>
        <w:br w:type="page"/>
      </w:r>
    </w:p>
    <w:p>
      <w:r>
        <w:rPr>
          <w:rFonts w:ascii="Calibri" w:hAnsi="Calibri"/>
          <w:b/>
          <w:color w:val="1A3A5C"/>
          <w:sz w:val="32"/>
        </w:rPr>
        <w:t>11. Bijlagen — Bronverwijzingen</w:t>
      </w:r>
    </w:p>
    <w:p>
      <w:r>
        <w:rPr>
          <w:rFonts w:ascii="Calibri" w:hAnsi="Calibri"/>
          <w:b/>
          <w:color w:val="1A3A5C"/>
          <w:sz w:val="26"/>
        </w:rPr>
        <w:t>Bijlage A: Bronnenoverzicht</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1a3a5c"/>
          </w:tcPr>
          <w:p>
            <w:pPr>
              <w:jc w:val="left"/>
            </w:pPr>
            <w:r/>
            <w:r>
              <w:rPr>
                <w:rFonts w:ascii="Calibri" w:hAnsi="Calibri"/>
                <w:b/>
                <w:color w:val="FFFFFF"/>
                <w:sz w:val="20"/>
              </w:rPr>
              <w:t>#</w:t>
            </w:r>
          </w:p>
        </w:tc>
        <w:tc>
          <w:tcPr>
            <w:tcW w:type="dxa" w:w="2351"/>
            <w:shd w:fill="1a3a5c"/>
          </w:tcPr>
          <w:p>
            <w:pPr>
              <w:jc w:val="left"/>
            </w:pPr>
            <w:r/>
            <w:r>
              <w:rPr>
                <w:rFonts w:ascii="Calibri" w:hAnsi="Calibri"/>
                <w:b/>
                <w:color w:val="FFFFFF"/>
                <w:sz w:val="20"/>
              </w:rPr>
              <w:t>Bron</w:t>
            </w:r>
          </w:p>
        </w:tc>
        <w:tc>
          <w:tcPr>
            <w:tcW w:type="dxa" w:w="2351"/>
            <w:shd w:fill="1a3a5c"/>
          </w:tcPr>
          <w:p>
            <w:pPr>
              <w:jc w:val="left"/>
            </w:pPr>
            <w:r/>
            <w:r>
              <w:rPr>
                <w:rFonts w:ascii="Calibri" w:hAnsi="Calibri"/>
                <w:b/>
                <w:color w:val="FFFFFF"/>
                <w:sz w:val="20"/>
              </w:rPr>
              <w:t>Tier</w:t>
            </w:r>
          </w:p>
        </w:tc>
        <w:tc>
          <w:tcPr>
            <w:tcW w:type="dxa" w:w="2351"/>
            <w:shd w:fill="1a3a5c"/>
          </w:tcPr>
          <w:p>
            <w:pPr>
              <w:jc w:val="left"/>
            </w:pPr>
            <w:r/>
            <w:r>
              <w:rPr>
                <w:rFonts w:ascii="Calibri" w:hAnsi="Calibri"/>
                <w:b/>
                <w:color w:val="FFFFFF"/>
                <w:sz w:val="20"/>
              </w:rPr>
              <w:t>Datum</w:t>
            </w:r>
          </w:p>
        </w:tc>
      </w:tr>
      <w:tr>
        <w:tc>
          <w:tcPr>
            <w:tcW w:type="dxa" w:w="2351"/>
          </w:tcPr>
          <w:p>
            <w:pPr>
              <w:jc w:val="left"/>
            </w:pPr>
            <w:r/>
            <w:r>
              <w:rPr>
                <w:rFonts w:ascii="Calibri" w:hAnsi="Calibri"/>
                <w:b w:val="0"/>
                <w:color w:val="2C3E50"/>
                <w:sz w:val="20"/>
              </w:rPr>
              <w:t>1</w:t>
            </w:r>
          </w:p>
        </w:tc>
        <w:tc>
          <w:tcPr>
            <w:tcW w:type="dxa" w:w="2351"/>
          </w:tcPr>
          <w:p>
            <w:pPr>
              <w:jc w:val="left"/>
            </w:pPr>
            <w:r/>
            <w:r>
              <w:rPr>
                <w:rFonts w:ascii="Calibri" w:hAnsi="Calibri"/>
                <w:b w:val="0"/>
                <w:color w:val="2C3E50"/>
                <w:sz w:val="20"/>
              </w:rPr>
              <w:t>Koole 003.059 Asbestos Removal Procedure Rev 1</w:t>
            </w:r>
          </w:p>
        </w:tc>
        <w:tc>
          <w:tcPr>
            <w:tcW w:type="dxa" w:w="2351"/>
          </w:tcPr>
          <w:p>
            <w:pPr>
              <w:jc w:val="left"/>
            </w:pPr>
            <w:r/>
            <w:r>
              <w:rPr>
                <w:rFonts w:ascii="Calibri" w:hAnsi="Calibri"/>
                <w:b w:val="0"/>
                <w:color w:val="2C3E50"/>
                <w:sz w:val="20"/>
              </w:rPr>
              <w:t>Tier 1</w:t>
            </w:r>
          </w:p>
        </w:tc>
        <w:tc>
          <w:tcPr>
            <w:tcW w:type="dxa" w:w="2351"/>
          </w:tcPr>
          <w:p>
            <w:pPr>
              <w:jc w:val="left"/>
            </w:pPr>
            <w:r/>
            <w:r>
              <w:rPr>
                <w:rFonts w:ascii="Calibri" w:hAnsi="Calibri"/>
                <w:b w:val="0"/>
                <w:color w:val="2C3E50"/>
                <w:sz w:val="20"/>
              </w:rPr>
              <w:t>19 mei 2026</w:t>
            </w:r>
          </w:p>
        </w:tc>
      </w:tr>
      <w:tr>
        <w:tc>
          <w:tcPr>
            <w:tcW w:type="dxa" w:w="2351"/>
          </w:tcPr>
          <w:p>
            <w:pPr>
              <w:jc w:val="left"/>
            </w:pPr>
            <w:r/>
            <w:r>
              <w:rPr>
                <w:rFonts w:ascii="Calibri" w:hAnsi="Calibri"/>
                <w:b w:val="0"/>
                <w:color w:val="2C3E50"/>
                <w:sz w:val="20"/>
              </w:rPr>
              <w:t>2</w:t>
            </w:r>
          </w:p>
        </w:tc>
        <w:tc>
          <w:tcPr>
            <w:tcW w:type="dxa" w:w="2351"/>
          </w:tcPr>
          <w:p>
            <w:pPr>
              <w:jc w:val="left"/>
            </w:pPr>
            <w:r/>
            <w:r>
              <w:rPr>
                <w:rFonts w:ascii="Calibri" w:hAnsi="Calibri"/>
                <w:b w:val="0"/>
                <w:color w:val="2C3E50"/>
                <w:sz w:val="20"/>
              </w:rPr>
              <w:t>AI-blad Asbest (AI-03) — Sdu Fonds</w:t>
            </w:r>
          </w:p>
        </w:tc>
        <w:tc>
          <w:tcPr>
            <w:tcW w:type="dxa" w:w="2351"/>
          </w:tcPr>
          <w:p>
            <w:pPr>
              <w:jc w:val="left"/>
            </w:pPr>
            <w:r/>
            <w:r>
              <w:rPr>
                <w:rFonts w:ascii="Calibri" w:hAnsi="Calibri"/>
                <w:b w:val="0"/>
                <w:color w:val="2C3E50"/>
                <w:sz w:val="20"/>
              </w:rPr>
              <w:t>Tier 2</w:t>
            </w:r>
          </w:p>
        </w:tc>
        <w:tc>
          <w:tcPr>
            <w:tcW w:type="dxa" w:w="2351"/>
          </w:tcPr>
          <w:p>
            <w:pPr>
              <w:jc w:val="left"/>
            </w:pPr>
            <w:r/>
            <w:r>
              <w:rPr>
                <w:rFonts w:ascii="Calibri" w:hAnsi="Calibri"/>
                <w:b w:val="0"/>
                <w:color w:val="2C3E50"/>
                <w:sz w:val="20"/>
              </w:rPr>
              <w:t>juli 2023</w:t>
            </w:r>
          </w:p>
        </w:tc>
      </w:tr>
      <w:tr>
        <w:tc>
          <w:tcPr>
            <w:tcW w:type="dxa" w:w="2351"/>
          </w:tcPr>
          <w:p>
            <w:pPr>
              <w:jc w:val="left"/>
            </w:pPr>
            <w:r/>
            <w:r>
              <w:rPr>
                <w:rFonts w:ascii="Calibri" w:hAnsi="Calibri"/>
                <w:b w:val="0"/>
                <w:color w:val="2C3E50"/>
                <w:sz w:val="20"/>
              </w:rPr>
              <w:t>3</w:t>
            </w:r>
          </w:p>
        </w:tc>
        <w:tc>
          <w:tcPr>
            <w:tcW w:type="dxa" w:w="2351"/>
          </w:tcPr>
          <w:p>
            <w:pPr>
              <w:jc w:val="left"/>
            </w:pPr>
            <w:r/>
            <w:r>
              <w:rPr>
                <w:rFonts w:ascii="Calibri" w:hAnsi="Calibri"/>
                <w:b w:val="0"/>
                <w:color w:val="2C3E50"/>
                <w:sz w:val="20"/>
              </w:rPr>
              <w:t>Arbobesluit art. 4.44-4.53c — Asbestbepalingen</w:t>
            </w:r>
          </w:p>
        </w:tc>
        <w:tc>
          <w:tcPr>
            <w:tcW w:type="dxa" w:w="2351"/>
          </w:tcPr>
          <w:p>
            <w:pPr>
              <w:jc w:val="left"/>
            </w:pPr>
            <w:r/>
            <w:r>
              <w:rPr>
                <w:rFonts w:ascii="Calibri" w:hAnsi="Calibri"/>
                <w:b w:val="0"/>
                <w:color w:val="2C3E50"/>
                <w:sz w:val="20"/>
              </w:rPr>
              <w:t>Tier 2</w:t>
            </w:r>
          </w:p>
        </w:tc>
        <w:tc>
          <w:tcPr>
            <w:tcW w:type="dxa" w:w="2351"/>
          </w:tcPr>
          <w:p>
            <w:pPr>
              <w:jc w:val="left"/>
            </w:pPr>
            <w:r/>
            <w:r>
              <w:rPr>
                <w:rFonts w:ascii="Calibri" w:hAnsi="Calibri"/>
                <w:b w:val="0"/>
                <w:color w:val="2C3E50"/>
                <w:sz w:val="20"/>
              </w:rPr>
              <w:t>actueel</w:t>
            </w:r>
          </w:p>
        </w:tc>
      </w:tr>
      <w:tr>
        <w:tc>
          <w:tcPr>
            <w:tcW w:type="dxa" w:w="2351"/>
          </w:tcPr>
          <w:p>
            <w:pPr>
              <w:jc w:val="left"/>
            </w:pPr>
            <w:r/>
            <w:r>
              <w:rPr>
                <w:rFonts w:ascii="Calibri" w:hAnsi="Calibri"/>
                <w:b w:val="0"/>
                <w:color w:val="2C3E50"/>
                <w:sz w:val="20"/>
              </w:rPr>
              <w:t>4</w:t>
            </w:r>
          </w:p>
        </w:tc>
        <w:tc>
          <w:tcPr>
            <w:tcW w:type="dxa" w:w="2351"/>
          </w:tcPr>
          <w:p>
            <w:pPr>
              <w:jc w:val="left"/>
            </w:pPr>
            <w:r/>
            <w:r>
              <w:rPr>
                <w:rFonts w:ascii="Calibri" w:hAnsi="Calibri"/>
                <w:b w:val="0"/>
                <w:color w:val="2C3E50"/>
                <w:sz w:val="20"/>
              </w:rPr>
              <w:t>Arbeidsomstandighedenregeling — Certificatieschema</w:t>
            </w:r>
          </w:p>
        </w:tc>
        <w:tc>
          <w:tcPr>
            <w:tcW w:type="dxa" w:w="2351"/>
          </w:tcPr>
          <w:p>
            <w:pPr>
              <w:jc w:val="left"/>
            </w:pPr>
            <w:r/>
            <w:r>
              <w:rPr>
                <w:rFonts w:ascii="Calibri" w:hAnsi="Calibri"/>
                <w:b w:val="0"/>
                <w:color w:val="2C3E50"/>
                <w:sz w:val="20"/>
              </w:rPr>
              <w:t>Tier 2</w:t>
            </w:r>
          </w:p>
        </w:tc>
        <w:tc>
          <w:tcPr>
            <w:tcW w:type="dxa" w:w="2351"/>
          </w:tcPr>
          <w:p>
            <w:pPr>
              <w:jc w:val="left"/>
            </w:pPr>
            <w:r/>
            <w:r>
              <w:rPr>
                <w:rFonts w:ascii="Calibri" w:hAnsi="Calibri"/>
                <w:b w:val="0"/>
                <w:color w:val="2C3E50"/>
                <w:sz w:val="20"/>
              </w:rPr>
              <w:t>actueel</w:t>
            </w:r>
          </w:p>
        </w:tc>
      </w:tr>
      <w:tr>
        <w:tc>
          <w:tcPr>
            <w:tcW w:type="dxa" w:w="2351"/>
          </w:tcPr>
          <w:p>
            <w:pPr>
              <w:jc w:val="left"/>
            </w:pPr>
            <w:r/>
            <w:r>
              <w:rPr>
                <w:rFonts w:ascii="Calibri" w:hAnsi="Calibri"/>
                <w:b w:val="0"/>
                <w:color w:val="2C3E50"/>
                <w:sz w:val="20"/>
              </w:rPr>
              <w:t>5</w:t>
            </w:r>
          </w:p>
        </w:tc>
        <w:tc>
          <w:tcPr>
            <w:tcW w:type="dxa" w:w="2351"/>
          </w:tcPr>
          <w:p>
            <w:pPr>
              <w:jc w:val="left"/>
            </w:pPr>
            <w:r/>
            <w:r>
              <w:rPr>
                <w:rFonts w:ascii="Calibri" w:hAnsi="Calibri"/>
                <w:b w:val="0"/>
                <w:color w:val="2C3E50"/>
                <w:sz w:val="20"/>
              </w:rPr>
              <w:t>Productenbesluit asbest — Etikettering</w:t>
            </w:r>
          </w:p>
        </w:tc>
        <w:tc>
          <w:tcPr>
            <w:tcW w:type="dxa" w:w="2351"/>
          </w:tcPr>
          <w:p>
            <w:pPr>
              <w:jc w:val="left"/>
            </w:pPr>
            <w:r/>
            <w:r>
              <w:rPr>
                <w:rFonts w:ascii="Calibri" w:hAnsi="Calibri"/>
                <w:b w:val="0"/>
                <w:color w:val="2C3E50"/>
                <w:sz w:val="20"/>
              </w:rPr>
              <w:t>Tier 2</w:t>
            </w:r>
          </w:p>
        </w:tc>
        <w:tc>
          <w:tcPr>
            <w:tcW w:type="dxa" w:w="2351"/>
          </w:tcPr>
          <w:p>
            <w:pPr>
              <w:jc w:val="left"/>
            </w:pPr>
            <w:r/>
            <w:r>
              <w:rPr>
                <w:rFonts w:ascii="Calibri" w:hAnsi="Calibri"/>
                <w:b w:val="0"/>
                <w:color w:val="2C3E50"/>
                <w:sz w:val="20"/>
              </w:rPr>
              <w:t>actueel</w:t>
            </w:r>
          </w:p>
        </w:tc>
      </w:tr>
      <w:tr>
        <w:tc>
          <w:tcPr>
            <w:tcW w:type="dxa" w:w="2351"/>
          </w:tcPr>
          <w:p>
            <w:pPr>
              <w:jc w:val="left"/>
            </w:pPr>
            <w:r/>
            <w:r>
              <w:rPr>
                <w:rFonts w:ascii="Calibri" w:hAnsi="Calibri"/>
                <w:b w:val="0"/>
                <w:color w:val="2C3E50"/>
                <w:sz w:val="20"/>
              </w:rPr>
              <w:t>6</w:t>
            </w:r>
          </w:p>
        </w:tc>
        <w:tc>
          <w:tcPr>
            <w:tcW w:type="dxa" w:w="2351"/>
          </w:tcPr>
          <w:p>
            <w:pPr>
              <w:jc w:val="left"/>
            </w:pPr>
            <w:r/>
            <w:r>
              <w:rPr>
                <w:rFonts w:ascii="Calibri" w:hAnsi="Calibri"/>
                <w:b w:val="0"/>
                <w:color w:val="2C3E50"/>
                <w:sz w:val="20"/>
              </w:rPr>
              <w:t>Asbestverwijderingsbesluit 2005</w:t>
            </w:r>
          </w:p>
        </w:tc>
        <w:tc>
          <w:tcPr>
            <w:tcW w:type="dxa" w:w="2351"/>
          </w:tcPr>
          <w:p>
            <w:pPr>
              <w:jc w:val="left"/>
            </w:pPr>
            <w:r/>
            <w:r>
              <w:rPr>
                <w:rFonts w:ascii="Calibri" w:hAnsi="Calibri"/>
                <w:b w:val="0"/>
                <w:color w:val="2C3E50"/>
                <w:sz w:val="20"/>
              </w:rPr>
              <w:t>Tier 2</w:t>
            </w:r>
          </w:p>
        </w:tc>
        <w:tc>
          <w:tcPr>
            <w:tcW w:type="dxa" w:w="2351"/>
          </w:tcPr>
          <w:p>
            <w:pPr>
              <w:jc w:val="left"/>
            </w:pPr>
            <w:r/>
            <w:r>
              <w:rPr>
                <w:rFonts w:ascii="Calibri" w:hAnsi="Calibri"/>
                <w:b w:val="0"/>
                <w:color w:val="2C3E50"/>
                <w:sz w:val="20"/>
              </w:rPr>
              <w:t>actueel</w:t>
            </w:r>
          </w:p>
        </w:tc>
      </w:tr>
      <w:tr>
        <w:tc>
          <w:tcPr>
            <w:tcW w:type="dxa" w:w="2351"/>
          </w:tcPr>
          <w:p>
            <w:pPr>
              <w:jc w:val="left"/>
            </w:pPr>
            <w:r/>
            <w:r>
              <w:rPr>
                <w:rFonts w:ascii="Calibri" w:hAnsi="Calibri"/>
                <w:b w:val="0"/>
                <w:color w:val="2C3E50"/>
                <w:sz w:val="20"/>
              </w:rPr>
              <w:t>7</w:t>
            </w:r>
          </w:p>
        </w:tc>
        <w:tc>
          <w:tcPr>
            <w:tcW w:type="dxa" w:w="2351"/>
          </w:tcPr>
          <w:p>
            <w:pPr>
              <w:jc w:val="left"/>
            </w:pPr>
            <w:r/>
            <w:r>
              <w:rPr>
                <w:rFonts w:ascii="Calibri" w:hAnsi="Calibri"/>
                <w:b w:val="0"/>
                <w:color w:val="2C3E50"/>
                <w:sz w:val="20"/>
              </w:rPr>
              <w:t>EG-richtlijn 1999/77/EG</w:t>
            </w:r>
          </w:p>
        </w:tc>
        <w:tc>
          <w:tcPr>
            <w:tcW w:type="dxa" w:w="2351"/>
          </w:tcPr>
          <w:p>
            <w:pPr>
              <w:jc w:val="left"/>
            </w:pPr>
            <w:r/>
            <w:r>
              <w:rPr>
                <w:rFonts w:ascii="Calibri" w:hAnsi="Calibri"/>
                <w:b w:val="0"/>
                <w:color w:val="2C3E50"/>
                <w:sz w:val="20"/>
              </w:rPr>
              <w:t>Tier 2</w:t>
            </w:r>
          </w:p>
        </w:tc>
        <w:tc>
          <w:tcPr>
            <w:tcW w:type="dxa" w:w="2351"/>
          </w:tcPr>
          <w:p>
            <w:pPr>
              <w:jc w:val="left"/>
            </w:pPr>
            <w:r/>
            <w:r>
              <w:rPr>
                <w:rFonts w:ascii="Calibri" w:hAnsi="Calibri"/>
                <w:b w:val="0"/>
                <w:color w:val="2C3E50"/>
                <w:sz w:val="20"/>
              </w:rPr>
              <w:t>1999</w:t>
            </w:r>
          </w:p>
        </w:tc>
      </w:tr>
      <w:tr>
        <w:tc>
          <w:tcPr>
            <w:tcW w:type="dxa" w:w="2351"/>
          </w:tcPr>
          <w:p>
            <w:pPr>
              <w:jc w:val="left"/>
            </w:pPr>
            <w:r/>
            <w:r>
              <w:rPr>
                <w:rFonts w:ascii="Calibri" w:hAnsi="Calibri"/>
                <w:b w:val="0"/>
                <w:color w:val="2C3E50"/>
                <w:sz w:val="20"/>
              </w:rPr>
              <w:t>8</w:t>
            </w:r>
          </w:p>
        </w:tc>
        <w:tc>
          <w:tcPr>
            <w:tcW w:type="dxa" w:w="2351"/>
          </w:tcPr>
          <w:p>
            <w:pPr>
              <w:jc w:val="left"/>
            </w:pPr>
            <w:r/>
            <w:r>
              <w:rPr>
                <w:rFonts w:ascii="Calibri" w:hAnsi="Calibri"/>
                <w:b w:val="0"/>
                <w:color w:val="2C3E50"/>
                <w:sz w:val="20"/>
              </w:rPr>
              <w:t>NEN 2990 — Luchtmetingen asbest</w:t>
            </w:r>
          </w:p>
        </w:tc>
        <w:tc>
          <w:tcPr>
            <w:tcW w:type="dxa" w:w="2351"/>
          </w:tcPr>
          <w:p>
            <w:pPr>
              <w:jc w:val="left"/>
            </w:pPr>
            <w:r/>
            <w:r>
              <w:rPr>
                <w:rFonts w:ascii="Calibri" w:hAnsi="Calibri"/>
                <w:b w:val="0"/>
                <w:color w:val="2C3E50"/>
                <w:sz w:val="20"/>
              </w:rPr>
              <w:t>Tier 2</w:t>
            </w:r>
          </w:p>
        </w:tc>
        <w:tc>
          <w:tcPr>
            <w:tcW w:type="dxa" w:w="2351"/>
          </w:tcPr>
          <w:p>
            <w:pPr>
              <w:jc w:val="left"/>
            </w:pPr>
            <w:r/>
            <w:r>
              <w:rPr>
                <w:rFonts w:ascii="Calibri" w:hAnsi="Calibri"/>
                <w:b w:val="0"/>
                <w:color w:val="2C3E50"/>
                <w:sz w:val="20"/>
              </w:rPr>
              <w:t>actueel</w:t>
            </w:r>
          </w:p>
        </w:tc>
      </w:tr>
      <w:tr>
        <w:tc>
          <w:tcPr>
            <w:tcW w:type="dxa" w:w="2351"/>
          </w:tcPr>
          <w:p>
            <w:pPr>
              <w:jc w:val="left"/>
            </w:pPr>
            <w:r/>
            <w:r>
              <w:rPr>
                <w:rFonts w:ascii="Calibri" w:hAnsi="Calibri"/>
                <w:b w:val="0"/>
                <w:color w:val="2C3E50"/>
                <w:sz w:val="20"/>
              </w:rPr>
              <w:t>9</w:t>
            </w:r>
          </w:p>
        </w:tc>
        <w:tc>
          <w:tcPr>
            <w:tcW w:type="dxa" w:w="2351"/>
          </w:tcPr>
          <w:p>
            <w:pPr>
              <w:jc w:val="left"/>
            </w:pPr>
            <w:r/>
            <w:r>
              <w:rPr>
                <w:rFonts w:ascii="Calibri" w:hAnsi="Calibri"/>
                <w:b w:val="0"/>
                <w:color w:val="2C3E50"/>
                <w:sz w:val="20"/>
              </w:rPr>
              <w:t>SCi-548 — Blootstellingsprotocol</w:t>
            </w:r>
          </w:p>
        </w:tc>
        <w:tc>
          <w:tcPr>
            <w:tcW w:type="dxa" w:w="2351"/>
          </w:tcPr>
          <w:p>
            <w:pPr>
              <w:jc w:val="left"/>
            </w:pPr>
            <w:r/>
            <w:r>
              <w:rPr>
                <w:rFonts w:ascii="Calibri" w:hAnsi="Calibri"/>
                <w:b w:val="0"/>
                <w:color w:val="2C3E50"/>
                <w:sz w:val="20"/>
              </w:rPr>
              <w:t>Tier 2</w:t>
            </w:r>
          </w:p>
        </w:tc>
        <w:tc>
          <w:tcPr>
            <w:tcW w:type="dxa" w:w="2351"/>
          </w:tcPr>
          <w:p>
            <w:pPr>
              <w:jc w:val="left"/>
            </w:pPr>
            <w:r/>
            <w:r>
              <w:rPr>
                <w:rFonts w:ascii="Calibri" w:hAnsi="Calibri"/>
                <w:b w:val="0"/>
                <w:color w:val="2C3E50"/>
                <w:sz w:val="20"/>
              </w:rPr>
              <w:t>actueel</w:t>
            </w:r>
          </w:p>
        </w:tc>
      </w:tr>
      <w:tr>
        <w:tc>
          <w:tcPr>
            <w:tcW w:type="dxa" w:w="2351"/>
          </w:tcPr>
          <w:p>
            <w:pPr>
              <w:jc w:val="left"/>
            </w:pPr>
            <w:r/>
            <w:r>
              <w:rPr>
                <w:rFonts w:ascii="Calibri" w:hAnsi="Calibri"/>
                <w:b w:val="0"/>
                <w:color w:val="2C3E50"/>
                <w:sz w:val="20"/>
              </w:rPr>
              <w:t>10</w:t>
            </w:r>
          </w:p>
        </w:tc>
        <w:tc>
          <w:tcPr>
            <w:tcW w:type="dxa" w:w="2351"/>
          </w:tcPr>
          <w:p>
            <w:pPr>
              <w:jc w:val="left"/>
            </w:pPr>
            <w:r/>
            <w:r>
              <w:rPr>
                <w:rFonts w:ascii="Calibri" w:hAnsi="Calibri"/>
                <w:b w:val="0"/>
                <w:color w:val="2C3E50"/>
                <w:sz w:val="20"/>
              </w:rPr>
              <w:t>RIVM Rapport Gezondheidseffecten Asbest 2017</w:t>
            </w:r>
          </w:p>
        </w:tc>
        <w:tc>
          <w:tcPr>
            <w:tcW w:type="dxa" w:w="2351"/>
          </w:tcPr>
          <w:p>
            <w:pPr>
              <w:jc w:val="left"/>
            </w:pPr>
            <w:r/>
            <w:r>
              <w:rPr>
                <w:rFonts w:ascii="Calibri" w:hAnsi="Calibri"/>
                <w:b w:val="0"/>
                <w:color w:val="2C3E50"/>
                <w:sz w:val="20"/>
              </w:rPr>
              <w:t>Tier 3</w:t>
            </w:r>
          </w:p>
        </w:tc>
        <w:tc>
          <w:tcPr>
            <w:tcW w:type="dxa" w:w="2351"/>
          </w:tcPr>
          <w:p>
            <w:pPr>
              <w:jc w:val="left"/>
            </w:pPr>
            <w:r/>
            <w:r>
              <w:rPr>
                <w:rFonts w:ascii="Calibri" w:hAnsi="Calibri"/>
                <w:b w:val="0"/>
                <w:color w:val="2C3E50"/>
                <w:sz w:val="20"/>
              </w:rPr>
              <w:t>2017</w:t>
            </w:r>
          </w:p>
        </w:tc>
      </w:tr>
    </w:tbl>
    <w:p>
      <w:r>
        <w:rPr>
          <w:b w:val="0"/>
          <w:i w:val="0"/>
          <w:color w:val="2C3E50"/>
          <w:sz w:val="22"/>
        </w:rPr>
      </w:r>
    </w:p>
    <w:p>
      <w:r>
        <w:rPr>
          <w:rFonts w:ascii="Calibri" w:hAnsi="Calibri"/>
          <w:b/>
          <w:color w:val="1A3A5C"/>
          <w:sz w:val="26"/>
        </w:rPr>
        <w:t>Bijlage B: Audit Metadata</w:t>
      </w:r>
    </w:p>
    <w:p>
      <w:r>
        <w:rPr>
          <w:b w:val="0"/>
          <w:i w:val="0"/>
          <w:color w:val="2C3E50"/>
          <w:sz w:val="22"/>
        </w:rPr>
        <w:t>Projectnummer: 2026-hseq-asbest-audit-koole</w:t>
      </w:r>
    </w:p>
    <w:p>
      <w:r>
        <w:rPr>
          <w:b w:val="0"/>
          <w:i w:val="0"/>
          <w:color w:val="2C3E50"/>
          <w:sz w:val="22"/>
        </w:rPr>
        <w:t>Auditor: Kas — Director of Operations, JvG Consultancy</w:t>
      </w:r>
    </w:p>
    <w:p>
      <w:r>
        <w:rPr>
          <w:b w:val="0"/>
          <w:i w:val="0"/>
          <w:color w:val="2C3E50"/>
          <w:sz w:val="22"/>
        </w:rPr>
        <w:t>Auditdatum: 7 augustus 2026</w:t>
      </w:r>
    </w:p>
    <w:p>
      <w:r>
        <w:rPr>
          <w:b w:val="0"/>
          <w:i w:val="0"/>
          <w:color w:val="2C3E50"/>
          <w:sz w:val="22"/>
        </w:rPr>
        <w:t>Rapportversie: 1.0</w:t>
      </w:r>
    </w:p>
    <w:p>
      <w:r>
        <w:rPr>
          <w:b w:val="0"/>
          <w:i w:val="0"/>
          <w:color w:val="2C3E50"/>
          <w:sz w:val="22"/>
        </w:rPr>
        <w:t>Classificatie: CONFIDENTIEEL</w:t>
      </w:r>
    </w:p>
    <w:p>
      <w:r>
        <w:rPr>
          <w:b w:val="0"/>
          <w:i w:val="0"/>
          <w:color w:val="2C3E50"/>
          <w:sz w:val="22"/>
        </w:rPr>
        <w:t>SOP Versie: 8.8 (Autonome ReAct Loop Edition)</w:t>
      </w:r>
    </w:p>
    <w:sectPr w:rsidR="00FC693F" w:rsidRPr="0006063C" w:rsidSect="00034616">
      <w:head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JvG Consultancy | Audit 003.059 Asbest | 2026-hseq-asbest-audit-koole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C3E5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7F8C8D"/>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