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Segoe UI" w:hAnsi="Segoe UI"/>
          <w:b/>
          <w:color w:val="003366"/>
          <w:sz w:val="56"/>
        </w:rPr>
        <w:t>VERGADERRAPPORT</w:t>
      </w:r>
    </w:p>
    <w:p>
      <w:pPr>
        <w:jc w:val="center"/>
      </w:pPr>
      <w:r>
        <w:rPr>
          <w:rFonts w:ascii="Segoe UI" w:hAnsi="Segoe UI"/>
          <w:color w:val="374151"/>
          <w:sz w:val="32"/>
        </w:rPr>
        <w:t>REACH_2026_voor_de_HSEQ_adviseur.m4a</w:t>
      </w:r>
    </w:p>
    <w:p/>
    <w:p>
      <w:pPr>
        <w:jc w:val="center"/>
      </w:pPr>
      <w:r>
        <w:rPr>
          <w:rFonts w:ascii="Segoe UI" w:hAnsi="Segoe UI"/>
          <w:color w:val="374151"/>
          <w:sz w:val="24"/>
        </w:rPr>
        <w:t>14-08-2026 • 12:14</w:t>
      </w:r>
    </w:p>
    <w:p/>
    <w:p>
      <w:pPr>
        <w:jc w:val="center"/>
      </w:pPr>
      <w:r>
        <w:rPr>
          <w:rFonts w:ascii="Segoe UI" w:hAnsi="Segoe UI"/>
          <w:b/>
          <w:color w:val="003366"/>
          <w:sz w:val="22"/>
        </w:rPr>
        <w:t>JvG Consultancy — Safety • Governance • Advisory</w:t>
      </w:r>
    </w:p>
    <w:p>
      <w:pPr>
        <w:jc w:val="right"/>
      </w:pPr>
      <w:r>
        <w:drawing>
          <wp:inline xmlns:a="http://schemas.openxmlformats.org/drawingml/2006/main" xmlns:pic="http://schemas.openxmlformats.org/drawingml/2006/picture">
            <wp:extent cx="720000" cy="6462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6200"/>
                    </a:xfrm>
                    <a:prstGeom prst="rect"/>
                  </pic:spPr>
                </pic:pic>
              </a:graphicData>
            </a:graphic>
          </wp:inline>
        </w:drawing>
      </w:r>
    </w:p>
    <w:p>
      <w:r>
        <w:br w:type="page"/>
      </w:r>
    </w:p>
    <w:p>
      <w:pPr>
        <w:pStyle w:val="Heading1"/>
      </w:pPr>
      <w:r>
        <w:rPr>
          <w:rFonts w:ascii="Segoe UI" w:hAnsi="Segoe UI"/>
          <w:color w:val="003366"/>
        </w:rPr>
        <w:t>Samenvatting</w:t>
      </w:r>
    </w:p>
    <w:p>
      <w:r>
        <w:rPr>
          <w:rFonts w:ascii="Segoe UI" w:hAnsi="Segoe UI"/>
          <w:color w:val="1F2937"/>
          <w:sz w:val="22"/>
        </w:rPr>
        <w:t>Deze transcriptie betreft geen klassieke besluitvormende vergadering, maar een educatieve deep-dive-audio (podcastformaat) met twee sprekers: een gastheer/interviewer en een expert op het gebied van REACH/CLP, gericht op de professional die als HSEQ-adviseur in de zware chemie werkt. De gastheer opent met het beeld van een chemische fabriek en stelt dat het meest kwetsbare onderdeel niet de technologie is, maar het web van Europese regelgeving. De expert schetst hoe ECHA (in de transcriptie ook als 'EGA'/'Acha' weergegeven) in Helsinki de scheidsrechter is. Kern van REACH is de volledige omkering van de bewijslast: 'no data, no market'; wie meer dan 1 ton per jaar produceert of importeert, moet een loodzwaar registratiedossier indienen. Dit heeft geleid tot een database van ruim 23.000 geregistreerde stoffen. CLP wordt gepositioneerd als het communicatie-instrument dat REACH-data vertaalt naar pictogrammen, H&amp;P-zinnen en het veiligheidsinformatieblad (SDS), treffend vergeleken met een 'felle waarschuwingssticker'. Daarna duiken de sprekers in downstream-user-verplichtingen: binnen 12 maanden na ontvangst van een uitgebreid SDS moeten risicobeheersmaatregelen zijn geïmplementeerd; bij een niet-ondersteund gebruik geldt een meldtermijn van 6 maanden bij ECHA, met als opties ketencommunicatie met de leverancier of een eigen Downstream User Chemical Safety Report (DU CSR) ter bescherming van bedrijfsgeheimen. Verder aan bod: SVHC's (kandidaatslijst, Bijlage XIV-autorisaties met sunset dates, Bijlage XVII-restricties), regrettable substitution (BPA/BPS-voorbeeld), ECHA's groepsbeoordeling via de Integrated Regulatory Strategy, de hiërarchie van beheersmaatregelen (substitutie, dan techniek, dan pas PBM's), de SCIP-database bij meer dan 0,1% SVHC en PCN/UFI-meldingen (deadlines 2021 consument, 2024 industrieel). De gastheer levert kritische pushback over intellectueel eigendom; de expert introduceert de 'limited submission' met verplicht 24/7 lokaal noodnummer. De podcast sluit af met vier kernacties en een provocerende slotvraag over 'one substance, one assessment': wordt radicale transparantie de ondergang of juist de motor van groene innovatie?</w:t>
      </w:r>
    </w:p>
    <w:p/>
    <w:p>
      <w:pPr>
        <w:pStyle w:val="Heading1"/>
      </w:pPr>
      <w:r>
        <w:rPr>
          <w:rFonts w:ascii="Segoe UI" w:hAnsi="Segoe UI"/>
          <w:color w:val="003366"/>
        </w:rPr>
        <w:t>Deelnemers</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Segoe UI" w:hAnsi="Segoe UI"/>
                <w:b/>
                <w:color w:val="FFFFFF"/>
                <w:sz w:val="20"/>
              </w:rPr>
              <w:t>Naam/Rol</w:t>
            </w:r>
          </w:p>
        </w:tc>
        <w:tc>
          <w:tcPr>
            <w:tcW w:type="dxa" w:w="3135"/>
            <w:shd w:fill="003366"/>
          </w:tcPr>
          <w:p>
            <w:r/>
            <w:r>
              <w:rPr>
                <w:rFonts w:ascii="Segoe UI" w:hAnsi="Segoe UI"/>
                <w:b/>
                <w:color w:val="FFFFFF"/>
                <w:sz w:val="20"/>
              </w:rPr>
              <w:t>Functie</w:t>
            </w:r>
          </w:p>
        </w:tc>
        <w:tc>
          <w:tcPr>
            <w:tcW w:type="dxa" w:w="3135"/>
            <w:shd w:fill="003366"/>
          </w:tcPr>
          <w:p>
            <w:r/>
            <w:r>
              <w:rPr>
                <w:rFonts w:ascii="Segoe UI" w:hAnsi="Segoe UI"/>
                <w:b/>
                <w:color w:val="FFFFFF"/>
                <w:sz w:val="20"/>
              </w:rPr>
              <w:t>Bijdrage</w:t>
            </w:r>
          </w:p>
        </w:tc>
      </w:tr>
      <w:tr>
        <w:tc>
          <w:tcPr>
            <w:tcW w:type="dxa" w:w="3135"/>
            <w:shd w:fill="F8F9FA"/>
          </w:tcPr>
          <w:p>
            <w:r/>
            <w:r>
              <w:rPr>
                <w:rFonts w:ascii="Segoe UI" w:hAnsi="Segoe UI"/>
                <w:color w:val="1F2937"/>
                <w:sz w:val="18"/>
              </w:rPr>
              <w:t>De gastheer / podcastpresentator</w:t>
            </w:r>
          </w:p>
        </w:tc>
        <w:tc>
          <w:tcPr>
            <w:tcW w:type="dxa" w:w="3135"/>
            <w:shd w:fill="F8F9FA"/>
          </w:tcPr>
          <w:p>
            <w:r/>
            <w:r>
              <w:rPr>
                <w:rFonts w:ascii="Segoe UI" w:hAnsi="Segoe UI"/>
                <w:color w:val="1F2937"/>
                <w:sz w:val="18"/>
              </w:rPr>
              <w:t>Interviewer / medepresentator, treedt op als advocaat van de duivel</w:t>
            </w:r>
          </w:p>
        </w:tc>
        <w:tc>
          <w:tcPr>
            <w:tcW w:type="dxa" w:w="3135"/>
            <w:shd w:fill="F8F9FA"/>
          </w:tcPr>
          <w:p>
            <w:r/>
            <w:r>
              <w:rPr>
                <w:rFonts w:ascii="Segoe UI" w:hAnsi="Segoe UI"/>
                <w:color w:val="1F2937"/>
                <w:sz w:val="18"/>
              </w:rPr>
              <w:t>Stuurt de structuur van het gesprek, stelt kritische doorvragen (o.a. over concurrentiepositie en lekkage van intellectueel eigendom bij PCN-meldingen), formuleert leesbare analogieën (REACH als 'antecedenteonderzoek', CLP als 'waarschuwingssticker'), vat samen en spreekt de slotscène in.</w:t>
            </w:r>
          </w:p>
        </w:tc>
      </w:tr>
      <w:tr>
        <w:tc>
          <w:tcPr>
            <w:tcW w:type="dxa" w:w="3135"/>
          </w:tcPr>
          <w:p>
            <w:r/>
            <w:r>
              <w:rPr>
                <w:rFonts w:ascii="Segoe UI" w:hAnsi="Segoe UI"/>
                <w:color w:val="1F2937"/>
                <w:sz w:val="18"/>
              </w:rPr>
              <w:t>De expert / medepresentator (REACH-CLP-specialist)</w:t>
            </w:r>
          </w:p>
        </w:tc>
        <w:tc>
          <w:tcPr>
            <w:tcW w:type="dxa" w:w="3135"/>
          </w:tcPr>
          <w:p>
            <w:r/>
            <w:r>
              <w:rPr>
                <w:rFonts w:ascii="Segoe UI" w:hAnsi="Segoe UI"/>
                <w:color w:val="1F2937"/>
                <w:sz w:val="18"/>
              </w:rPr>
              <w:t>Kennisexpert Europese chemieregelgeving en HSEQ</w:t>
            </w:r>
          </w:p>
        </w:tc>
        <w:tc>
          <w:tcPr>
            <w:tcW w:type="dxa" w:w="3135"/>
          </w:tcPr>
          <w:p>
            <w:r/>
            <w:r>
              <w:rPr>
                <w:rFonts w:ascii="Segoe UI" w:hAnsi="Segoe UI"/>
                <w:color w:val="1F2937"/>
                <w:sz w:val="18"/>
              </w:rPr>
              <w:t>Doet de feitelijke uitleg: bewijslastomkering ('no data, no market'), 1-tonsdrempel, 23.000+ geregistreerde stoffen, downstream-user-verplichtingen, deadlines van 12 en 6 maanden, DU CSR, SVHC-traject (kandidaatslijst, Bijlage XIV/XVII, sunset dates), regrettable substitution, groepsbeoordeling, SCIP-database, PCN/UFI en de limited submission met 24/7 noodnummer. Formuleert de vier slotadviezen.</w:t>
            </w:r>
          </w:p>
        </w:tc>
      </w:tr>
    </w:tbl>
    <w:p/>
    <w:p>
      <w:pPr>
        <w:pStyle w:val="Heading1"/>
      </w:pPr>
      <w:r>
        <w:rPr>
          <w:rFonts w:ascii="Segoe UI" w:hAnsi="Segoe UI"/>
          <w:color w:val="003366"/>
        </w:rPr>
        <w:t>Onderwerpen</w:t>
      </w:r>
    </w:p>
    <w:p>
      <w:pPr>
        <w:pStyle w:val="Heading2"/>
      </w:pPr>
      <w:r>
        <w:rPr>
          <w:rFonts w:ascii="Segoe UI" w:hAnsi="Segoe UI"/>
          <w:color w:val="003366"/>
        </w:rPr>
        <w:t>Context: de veranderde rol van de HSEQ-adviseur in 2026</w:t>
      </w:r>
    </w:p>
    <w:p>
      <w:r>
        <w:rPr>
          <w:rFonts w:ascii="Segoe UI" w:hAnsi="Segoe UI"/>
          <w:i/>
          <w:color w:val="374151"/>
          <w:sz w:val="18"/>
        </w:rPr>
        <w:t>Sentiment: neutraal</w:t>
      </w:r>
    </w:p>
    <w:p>
      <w:pPr>
        <w:pStyle w:val="ListBullet"/>
      </w:pPr>
      <w:r>
        <w:rPr>
          <w:rFonts w:ascii="Segoe UI" w:hAnsi="Segoe UI"/>
          <w:color w:val="1F2937"/>
          <w:sz w:val="20"/>
        </w:rPr>
        <w:t>Van achteraf controleren van helmen naar strategische rol in het senior management</w:t>
      </w:r>
    </w:p>
    <w:p>
      <w:pPr>
        <w:pStyle w:val="ListBullet"/>
      </w:pPr>
      <w:r>
        <w:rPr>
          <w:rFonts w:ascii="Segoe UI" w:hAnsi="Segoe UI"/>
          <w:color w:val="1F2937"/>
          <w:sz w:val="20"/>
        </w:rPr>
        <w:t>Spanningsveld tussen commerciële innovatiedrang en het compliance-apparaat</w:t>
      </w:r>
    </w:p>
    <w:p>
      <w:pPr>
        <w:pStyle w:val="ListBullet"/>
      </w:pPr>
      <w:r>
        <w:rPr>
          <w:rFonts w:ascii="Segoe UI" w:hAnsi="Segoe UI"/>
          <w:color w:val="1F2937"/>
          <w:sz w:val="20"/>
        </w:rPr>
        <w:t>Eén gemiste deadline of fout SDS kan leiden tot productiestops, boetes en veiligheidsrisico's</w:t>
      </w:r>
    </w:p>
    <w:p>
      <w:pPr>
        <w:pStyle w:val="Heading2"/>
      </w:pPr>
      <w:r>
        <w:rPr>
          <w:rFonts w:ascii="Segoe UI" w:hAnsi="Segoe UI"/>
          <w:color w:val="003366"/>
        </w:rPr>
        <w:t>REACH: het 'no data, no market'-principe</w:t>
      </w:r>
    </w:p>
    <w:p>
      <w:r>
        <w:rPr>
          <w:rFonts w:ascii="Segoe UI" w:hAnsi="Segoe UI"/>
          <w:i/>
          <w:color w:val="374151"/>
          <w:sz w:val="18"/>
        </w:rPr>
        <w:t>Sentiment: neutraal</w:t>
      </w:r>
    </w:p>
    <w:p>
      <w:pPr>
        <w:pStyle w:val="ListBullet"/>
      </w:pPr>
      <w:r>
        <w:rPr>
          <w:rFonts w:ascii="Segoe UI" w:hAnsi="Segoe UI"/>
          <w:color w:val="1F2937"/>
          <w:sz w:val="20"/>
        </w:rPr>
        <w:t>Vóór REACH lag de bewijslast bij overheden (belastingbetaler betaalde het onderzoek); REACH draaide dit 180 graden om</w:t>
      </w:r>
    </w:p>
    <w:p>
      <w:pPr>
        <w:pStyle w:val="ListBullet"/>
      </w:pPr>
      <w:r>
        <w:rPr>
          <w:rFonts w:ascii="Segoe UI" w:hAnsi="Segoe UI"/>
          <w:color w:val="1F2937"/>
          <w:sz w:val="20"/>
        </w:rPr>
        <w:t>Bij productie of import van meer dan 1 ton per jaar is een registratiedossier verplicht, anders geen EU-markttoegang</w:t>
      </w:r>
    </w:p>
    <w:p>
      <w:pPr>
        <w:pStyle w:val="ListBullet"/>
      </w:pPr>
      <w:r>
        <w:rPr>
          <w:rFonts w:ascii="Segoe UI" w:hAnsi="Segoe UI"/>
          <w:color w:val="1F2937"/>
          <w:sz w:val="20"/>
        </w:rPr>
        <w:t>Resultaat: database met meer dan 23.000 geregistreerde stoffen; ECHA in Helsinki is de 'scheidsrechter'</w:t>
      </w:r>
    </w:p>
    <w:p>
      <w:pPr>
        <w:pStyle w:val="Heading2"/>
      </w:pPr>
      <w:r>
        <w:rPr>
          <w:rFonts w:ascii="Segoe UI" w:hAnsi="Segoe UI"/>
          <w:color w:val="003366"/>
        </w:rPr>
        <w:t>CLP als communicatiesysteem (pictogrammen, H&amp;P-zinnen, SDS)</w:t>
      </w:r>
    </w:p>
    <w:p>
      <w:r>
        <w:rPr>
          <w:rFonts w:ascii="Segoe UI" w:hAnsi="Segoe UI"/>
          <w:i/>
          <w:color w:val="374151"/>
          <w:sz w:val="18"/>
        </w:rPr>
        <w:t>Sentiment: positief</w:t>
      </w:r>
    </w:p>
    <w:p>
      <w:pPr>
        <w:pStyle w:val="ListBullet"/>
      </w:pPr>
      <w:r>
        <w:rPr>
          <w:rFonts w:ascii="Segoe UI" w:hAnsi="Segoe UI"/>
          <w:color w:val="1F2937"/>
          <w:sz w:val="20"/>
        </w:rPr>
        <w:t>CLP vertaalt harde REACH-data (o.a. toxicologische waarden) naar de werkvloer</w:t>
      </w:r>
    </w:p>
    <w:p>
      <w:pPr>
        <w:pStyle w:val="ListBullet"/>
      </w:pPr>
      <w:r>
        <w:rPr>
          <w:rFonts w:ascii="Segoe UI" w:hAnsi="Segoe UI"/>
          <w:color w:val="1F2937"/>
          <w:sz w:val="20"/>
        </w:rPr>
        <w:t>Bepaalt pictogrammen op tankauto's, H&amp;P-zinnen op etiketten en opbouw van het veiligheidsinformatieblad (SDS)</w:t>
      </w:r>
    </w:p>
    <w:p>
      <w:pPr>
        <w:pStyle w:val="ListBullet"/>
      </w:pPr>
      <w:r>
        <w:rPr>
          <w:rFonts w:ascii="Segoe UI" w:hAnsi="Segoe UI"/>
          <w:color w:val="1F2937"/>
          <w:sz w:val="20"/>
        </w:rPr>
        <w:t>Zonder REACH-data geen betrouwbare classificatie en dus geen legale CLP-labeling</w:t>
      </w:r>
    </w:p>
    <w:p>
      <w:pPr>
        <w:pStyle w:val="Heading2"/>
      </w:pPr>
      <w:r>
        <w:rPr>
          <w:rFonts w:ascii="Segoe UI" w:hAnsi="Segoe UI"/>
          <w:color w:val="003366"/>
        </w:rPr>
        <w:t>Rollen in de keten: fabrikant/importeur versus downstream user</w:t>
      </w:r>
    </w:p>
    <w:p>
      <w:r>
        <w:rPr>
          <w:rFonts w:ascii="Segoe UI" w:hAnsi="Segoe UI"/>
          <w:i/>
          <w:color w:val="374151"/>
          <w:sz w:val="18"/>
        </w:rPr>
        <w:t>Sentiment: neutraal</w:t>
      </w:r>
    </w:p>
    <w:p>
      <w:pPr>
        <w:pStyle w:val="ListBullet"/>
      </w:pPr>
      <w:r>
        <w:rPr>
          <w:rFonts w:ascii="Segoe UI" w:hAnsi="Segoe UI"/>
          <w:color w:val="1F2937"/>
          <w:sz w:val="20"/>
        </w:rPr>
        <w:t>Fabrikant/importeur bouwt het dure registratiedossier; downstream user (meestal de zware chemie: mengen van harsen, lijmen) is consument van data</w:t>
      </w:r>
    </w:p>
    <w:p>
      <w:pPr>
        <w:pStyle w:val="ListBullet"/>
      </w:pPr>
      <w:r>
        <w:rPr>
          <w:rFonts w:ascii="Segoe UI" w:hAnsi="Segoe UI"/>
          <w:color w:val="1F2937"/>
          <w:sz w:val="20"/>
        </w:rPr>
        <w:t>Leverancier stuurt uitgebreid SDS (e-SDS) met blootstellingsscenario's mee</w:t>
      </w:r>
    </w:p>
    <w:p>
      <w:pPr>
        <w:pStyle w:val="ListBullet"/>
      </w:pPr>
      <w:r>
        <w:rPr>
          <w:rFonts w:ascii="Segoe UI" w:hAnsi="Segoe UI"/>
          <w:color w:val="1F2937"/>
          <w:sz w:val="20"/>
        </w:rPr>
        <w:t>SDS behandelen als 'administratief vinkje' (pdf opslaan) is een gigantische valkuil</w:t>
      </w:r>
    </w:p>
    <w:p>
      <w:pPr>
        <w:pStyle w:val="Heading2"/>
      </w:pPr>
      <w:r>
        <w:rPr>
          <w:rFonts w:ascii="Segoe UI" w:hAnsi="Segoe UI"/>
          <w:color w:val="003366"/>
        </w:rPr>
        <w:t>De 12-maandstermijn voor implementatie van risicobeheersmaatregelen</w:t>
      </w:r>
    </w:p>
    <w:p>
      <w:r>
        <w:rPr>
          <w:rFonts w:ascii="Segoe UI" w:hAnsi="Segoe UI"/>
          <w:i/>
          <w:color w:val="374151"/>
          <w:sz w:val="18"/>
        </w:rPr>
        <w:t>Sentiment: negatief</w:t>
      </w:r>
    </w:p>
    <w:p>
      <w:pPr>
        <w:pStyle w:val="ListBullet"/>
      </w:pPr>
      <w:r>
        <w:rPr>
          <w:rFonts w:ascii="Segoe UI" w:hAnsi="Segoe UI"/>
          <w:color w:val="1F2937"/>
          <w:sz w:val="20"/>
        </w:rPr>
        <w:t>Downstream user heeft exact 12 maanden na ontvangst van het SDS om risicobeheersmaatregelen te implementeren</w:t>
      </w:r>
    </w:p>
    <w:p>
      <w:pPr>
        <w:pStyle w:val="ListBullet"/>
      </w:pPr>
      <w:r>
        <w:rPr>
          <w:rFonts w:ascii="Segoe UI" w:hAnsi="Segoe UI"/>
          <w:color w:val="1F2937"/>
          <w:sz w:val="20"/>
        </w:rPr>
        <w:t>Nieuw blootstellingsscenario (bijv. alleen gesloten systemen i.p.v. open reactievaten) kan miljoeneninvesteringen in afzuiging en leidingwerk vergen</w:t>
      </w:r>
    </w:p>
    <w:p>
      <w:pPr>
        <w:pStyle w:val="ListBullet"/>
      </w:pPr>
      <w:r>
        <w:rPr>
          <w:rFonts w:ascii="Segoe UI" w:hAnsi="Segoe UI"/>
          <w:color w:val="1F2937"/>
          <w:sz w:val="20"/>
        </w:rPr>
        <w:t>Weigerende directie riskeert inspectie en stillegging; 'we doen het al twintig jaar zo' geldt in 2026 niet meer — REACH-data is leidend</w:t>
      </w:r>
    </w:p>
    <w:p>
      <w:pPr>
        <w:pStyle w:val="Heading2"/>
      </w:pPr>
      <w:r>
        <w:rPr>
          <w:rFonts w:ascii="Segoe UI" w:hAnsi="Segoe UI"/>
          <w:color w:val="003366"/>
        </w:rPr>
        <w:t>Niet-ondersteund gebruik: 6-maandstermijn en DU CSR</w:t>
      </w:r>
    </w:p>
    <w:p>
      <w:r>
        <w:rPr>
          <w:rFonts w:ascii="Segoe UI" w:hAnsi="Segoe UI"/>
          <w:i/>
          <w:color w:val="374151"/>
          <w:sz w:val="18"/>
        </w:rPr>
        <w:t>Sentiment: neutraal</w:t>
      </w:r>
    </w:p>
    <w:p>
      <w:pPr>
        <w:pStyle w:val="ListBullet"/>
      </w:pPr>
      <w:r>
        <w:rPr>
          <w:rFonts w:ascii="Segoe UI" w:hAnsi="Segoe UI"/>
          <w:color w:val="1F2937"/>
          <w:sz w:val="20"/>
        </w:rPr>
        <w:t>Binnen 6 maanden na ontvangst van het SDS moet een niet-ondersteund gebruik bij ECHA worden gemeld</w:t>
      </w:r>
    </w:p>
    <w:p>
      <w:pPr>
        <w:pStyle w:val="ListBullet"/>
      </w:pPr>
      <w:r>
        <w:rPr>
          <w:rFonts w:ascii="Segoe UI" w:hAnsi="Segoe UI"/>
          <w:color w:val="1F2937"/>
          <w:sz w:val="20"/>
        </w:rPr>
        <w:t>Optie 1: ketencommunicatie met leverancier — risico op lekkage van bedrijfsgeheim aan concurrenten die bij dezelfde leverancier kopen</w:t>
      </w:r>
    </w:p>
    <w:p>
      <w:pPr>
        <w:pStyle w:val="ListBullet"/>
      </w:pPr>
      <w:r>
        <w:rPr>
          <w:rFonts w:ascii="Segoe UI" w:hAnsi="Segoe UI"/>
          <w:color w:val="1F2937"/>
          <w:sz w:val="20"/>
        </w:rPr>
        <w:t>Optie 2: eigen Downstream User Chemical Safety Report (DU CSR) op eigen kosten met toxicologen, rechtstreeks naar ECHA — beschermt IP maar vereist extreme proactiviteit van HSEQ richting R&amp;D</w:t>
      </w:r>
    </w:p>
    <w:p>
      <w:pPr>
        <w:pStyle w:val="Heading2"/>
      </w:pPr>
      <w:r>
        <w:rPr>
          <w:rFonts w:ascii="Segoe UI" w:hAnsi="Segoe UI"/>
          <w:color w:val="003366"/>
        </w:rPr>
        <w:t>SVHC's, autorisatie en sunset dates</w:t>
      </w:r>
    </w:p>
    <w:p>
      <w:r>
        <w:rPr>
          <w:rFonts w:ascii="Segoe UI" w:hAnsi="Segoe UI"/>
          <w:i/>
          <w:color w:val="374151"/>
          <w:sz w:val="18"/>
        </w:rPr>
        <w:t>Sentiment: negatief</w:t>
      </w:r>
    </w:p>
    <w:p>
      <w:pPr>
        <w:pStyle w:val="ListBullet"/>
      </w:pPr>
      <w:r>
        <w:rPr>
          <w:rFonts w:ascii="Segoe UI" w:hAnsi="Segoe UI"/>
          <w:color w:val="1F2937"/>
          <w:sz w:val="20"/>
        </w:rPr>
        <w:t>SVHC's (kankerverwekkend, mutageen, hormoonverstorend) staan op de kandidaatslijst; doorstroom naar Bijlage XIV (autorisatie) of Bijlage XVII (restrictie)</w:t>
      </w:r>
    </w:p>
    <w:p>
      <w:pPr>
        <w:pStyle w:val="ListBullet"/>
      </w:pPr>
      <w:r>
        <w:rPr>
          <w:rFonts w:ascii="Segoe UI" w:hAnsi="Segoe UI"/>
          <w:color w:val="1F2937"/>
          <w:sz w:val="20"/>
        </w:rPr>
        <w:t>Bijlage XIV geeft een sunset date: daarna is gebruik illegaal, tenzij autorisatie is verleend</w:t>
      </w:r>
    </w:p>
    <w:p>
      <w:pPr>
        <w:pStyle w:val="ListBullet"/>
      </w:pPr>
      <w:r>
        <w:rPr>
          <w:rFonts w:ascii="Segoe UI" w:hAnsi="Segoe UI"/>
          <w:color w:val="1F2937"/>
          <w:sz w:val="20"/>
        </w:rPr>
        <w:t>Autorisatie is geen recht maar tijdelijke uitzondering: bewijs dat sociaal-economische voordelen opwegen tegen risico's én dat er geen technisch of economisch haalbaar alternatief is</w:t>
      </w:r>
    </w:p>
    <w:p>
      <w:pPr>
        <w:pStyle w:val="Heading2"/>
      </w:pPr>
      <w:r>
        <w:rPr>
          <w:rFonts w:ascii="Segoe UI" w:hAnsi="Segoe UI"/>
          <w:color w:val="003366"/>
        </w:rPr>
        <w:t>Regrettable substitution en ECHA's groepsbeoordeling</w:t>
      </w:r>
    </w:p>
    <w:p>
      <w:r>
        <w:rPr>
          <w:rFonts w:ascii="Segoe UI" w:hAnsi="Segoe UI"/>
          <w:i/>
          <w:color w:val="374151"/>
          <w:sz w:val="18"/>
        </w:rPr>
        <w:t>Sentiment: neutraal</w:t>
      </w:r>
    </w:p>
    <w:p>
      <w:pPr>
        <w:pStyle w:val="ListBullet"/>
      </w:pPr>
      <w:r>
        <w:rPr>
          <w:rFonts w:ascii="Segoe UI" w:hAnsi="Segoe UI"/>
          <w:color w:val="1F2937"/>
          <w:sz w:val="20"/>
        </w:rPr>
        <w:t>Klassiek voorbeeld: BPA vervangen door BPS leverde 'BPA-vrije' maar alsnog schadelijke producten op</w:t>
      </w:r>
    </w:p>
    <w:p>
      <w:pPr>
        <w:pStyle w:val="ListBullet"/>
      </w:pPr>
      <w:r>
        <w:rPr>
          <w:rFonts w:ascii="Segoe UI" w:hAnsi="Segoe UI"/>
          <w:color w:val="1F2937"/>
          <w:sz w:val="20"/>
        </w:rPr>
        <w:t>Via de Integrated Regulatory Strategy beoordeelt ECHA stoffen in groepen op chemische ruggengraat — vluchten naar een 'giftig neefje' is niet meer mogelijk</w:t>
      </w:r>
    </w:p>
    <w:p>
      <w:pPr>
        <w:pStyle w:val="ListBullet"/>
      </w:pPr>
      <w:r>
        <w:rPr>
          <w:rFonts w:ascii="Segoe UI" w:hAnsi="Segoe UI"/>
          <w:color w:val="1F2937"/>
          <w:sz w:val="20"/>
        </w:rPr>
        <w:t>Substitutie is altijd stap 1 in de hiërarchie van beheersmaatregelen</w:t>
      </w:r>
    </w:p>
    <w:p>
      <w:pPr>
        <w:pStyle w:val="Heading2"/>
      </w:pPr>
      <w:r>
        <w:rPr>
          <w:rFonts w:ascii="Segoe UI" w:hAnsi="Segoe UI"/>
          <w:color w:val="003366"/>
        </w:rPr>
        <w:t>Hiërarchie van beheersmaatregelen en de PBM-valkuil</w:t>
      </w:r>
    </w:p>
    <w:p>
      <w:r>
        <w:rPr>
          <w:rFonts w:ascii="Segoe UI" w:hAnsi="Segoe UI"/>
          <w:i/>
          <w:color w:val="374151"/>
          <w:sz w:val="18"/>
        </w:rPr>
        <w:t>Sentiment: negatief</w:t>
      </w:r>
    </w:p>
    <w:p>
      <w:pPr>
        <w:pStyle w:val="ListBullet"/>
      </w:pPr>
      <w:r>
        <w:rPr>
          <w:rFonts w:ascii="Segoe UI" w:hAnsi="Segoe UI"/>
          <w:color w:val="1F2937"/>
          <w:sz w:val="20"/>
        </w:rPr>
        <w:t>Volgorde: substitutie → technische controles (gesloten systemen, afzuiging) → pas als laatste redmiddel PBM's</w:t>
      </w:r>
    </w:p>
    <w:p>
      <w:pPr>
        <w:pStyle w:val="ListBullet"/>
      </w:pPr>
      <w:r>
        <w:rPr>
          <w:rFonts w:ascii="Segoe UI" w:hAnsi="Segoe UI"/>
          <w:color w:val="1F2937"/>
          <w:sz w:val="20"/>
        </w:rPr>
        <w:t>Trots op operators in dikke hesmatpakken is eigenlijk een 'zwaktebod': het gevaar is niet bij de bron weggenomen</w:t>
      </w:r>
    </w:p>
    <w:p>
      <w:pPr>
        <w:pStyle w:val="ListBullet"/>
      </w:pPr>
      <w:r>
        <w:rPr>
          <w:rFonts w:ascii="Segoe UI" w:hAnsi="Segoe UI"/>
          <w:color w:val="1F2937"/>
          <w:sz w:val="20"/>
        </w:rPr>
        <w:t>Signaalwaarde voor directie: PBM-afhankelijkheid = falende bronbeheersing</w:t>
      </w:r>
    </w:p>
    <w:p>
      <w:pPr>
        <w:pStyle w:val="Heading2"/>
      </w:pPr>
      <w:r>
        <w:rPr>
          <w:rFonts w:ascii="Segoe UI" w:hAnsi="Segoe UI"/>
          <w:color w:val="003366"/>
        </w:rPr>
        <w:t>SCIP-database en afvalstoffenwetgeving</w:t>
      </w:r>
    </w:p>
    <w:p>
      <w:r>
        <w:rPr>
          <w:rFonts w:ascii="Segoe UI" w:hAnsi="Segoe UI"/>
          <w:i/>
          <w:color w:val="374151"/>
          <w:sz w:val="18"/>
        </w:rPr>
        <w:t>Sentiment: positief</w:t>
      </w:r>
    </w:p>
    <w:p>
      <w:pPr>
        <w:pStyle w:val="ListBullet"/>
      </w:pPr>
      <w:r>
        <w:rPr>
          <w:rFonts w:ascii="Segoe UI" w:hAnsi="Segoe UI"/>
          <w:color w:val="1F2937"/>
          <w:sz w:val="20"/>
        </w:rPr>
        <w:t>Meldplicht zodra een product meer dan 0,1% SVHC bevat</w:t>
      </w:r>
    </w:p>
    <w:p>
      <w:pPr>
        <w:pStyle w:val="ListBullet"/>
      </w:pPr>
      <w:r>
        <w:rPr>
          <w:rFonts w:ascii="Segoe UI" w:hAnsi="Segoe UI"/>
          <w:color w:val="1F2937"/>
          <w:sz w:val="20"/>
        </w:rPr>
        <w:t>Gekoppeld aan afvalstoffenwetgeving: afvalverwerkers moeten weten wat zij recyclen</w:t>
      </w:r>
    </w:p>
    <w:p>
      <w:pPr>
        <w:pStyle w:val="ListBullet"/>
      </w:pPr>
      <w:r>
        <w:rPr>
          <w:rFonts w:ascii="Segoe UI" w:hAnsi="Segoe UI"/>
          <w:color w:val="1F2937"/>
          <w:sz w:val="20"/>
        </w:rPr>
        <w:t>Doel: voorkomen dat onbewust giftige stoffen in nieuwe producten terechtkomen; keten transparant houden</w:t>
      </w:r>
    </w:p>
    <w:p>
      <w:pPr>
        <w:pStyle w:val="Heading2"/>
      </w:pPr>
      <w:r>
        <w:rPr>
          <w:rFonts w:ascii="Segoe UI" w:hAnsi="Segoe UI"/>
          <w:color w:val="003366"/>
        </w:rPr>
        <w:t>Handhaving: PCN-meldingen en UFI-code</w:t>
      </w:r>
    </w:p>
    <w:p>
      <w:r>
        <w:rPr>
          <w:rFonts w:ascii="Segoe UI" w:hAnsi="Segoe UI"/>
          <w:i/>
          <w:color w:val="374151"/>
          <w:sz w:val="18"/>
        </w:rPr>
        <w:t>Sentiment: neutraal</w:t>
      </w:r>
    </w:p>
    <w:p>
      <w:pPr>
        <w:pStyle w:val="ListBullet"/>
      </w:pPr>
      <w:r>
        <w:rPr>
          <w:rFonts w:ascii="Segoe UI" w:hAnsi="Segoe UI"/>
          <w:color w:val="1F2937"/>
          <w:sz w:val="20"/>
        </w:rPr>
        <w:t>Deadlines: 2021 voor consumentenmengsels, 2024 voor industriële mengsels</w:t>
      </w:r>
    </w:p>
    <w:p>
      <w:pPr>
        <w:pStyle w:val="ListBullet"/>
      </w:pPr>
      <w:r>
        <w:rPr>
          <w:rFonts w:ascii="Segoe UI" w:hAnsi="Segoe UI"/>
          <w:color w:val="1F2937"/>
          <w:sz w:val="20"/>
        </w:rPr>
        <w:t>UFI-code op elk etiket stelt antigifcentra in staat binnen seconden de samenstelling te identificeren bij een ongeluk</w:t>
      </w:r>
    </w:p>
    <w:p>
      <w:pPr>
        <w:pStyle w:val="ListBullet"/>
      </w:pPr>
      <w:r>
        <w:rPr>
          <w:rFonts w:ascii="Segoe UI" w:hAnsi="Segoe UI"/>
          <w:color w:val="1F2937"/>
          <w:sz w:val="20"/>
        </w:rPr>
        <w:t>Handhaving is in 2026 sterk aangescherpt</w:t>
      </w:r>
    </w:p>
    <w:p>
      <w:pPr>
        <w:pStyle w:val="Heading2"/>
      </w:pPr>
      <w:r>
        <w:rPr>
          <w:rFonts w:ascii="Segoe UI" w:hAnsi="Segoe UI"/>
          <w:color w:val="003366"/>
        </w:rPr>
        <w:t>Limited submission: IP-bescherming voor industriële mengsels</w:t>
      </w:r>
    </w:p>
    <w:p>
      <w:r>
        <w:rPr>
          <w:rFonts w:ascii="Segoe UI" w:hAnsi="Segoe UI"/>
          <w:i/>
          <w:color w:val="374151"/>
          <w:sz w:val="18"/>
        </w:rPr>
        <w:t>Sentiment: positief</w:t>
      </w:r>
    </w:p>
    <w:p>
      <w:pPr>
        <w:pStyle w:val="ListBullet"/>
      </w:pPr>
      <w:r>
        <w:rPr>
          <w:rFonts w:ascii="Segoe UI" w:hAnsi="Segoe UI"/>
          <w:color w:val="1F2937"/>
          <w:sz w:val="20"/>
        </w:rPr>
        <w:t>Alleen voor mengsels voor industrieel gebruik: exacte concentraties/samenstelling (sectie 3 SDS) hoeven niet volledig in de centrale database</w:t>
      </w:r>
    </w:p>
    <w:p>
      <w:pPr>
        <w:pStyle w:val="ListBullet"/>
      </w:pPr>
      <w:r>
        <w:rPr>
          <w:rFonts w:ascii="Segoe UI" w:hAnsi="Segoe UI"/>
          <w:color w:val="1F2937"/>
          <w:sz w:val="20"/>
        </w:rPr>
        <w:t>Harde voorwaarde: lokaal noodnummer 24/7 bereikbaar, met iemand die direct in de landstaal met de behandelend arts van het antigifcentrum kan communiceren én toegang heeft tot interne systemen</w:t>
      </w:r>
    </w:p>
    <w:p>
      <w:pPr>
        <w:pStyle w:val="ListBullet"/>
      </w:pPr>
      <w:r>
        <w:rPr>
          <w:rFonts w:ascii="Segoe UI" w:hAnsi="Segoe UI"/>
          <w:color w:val="1F2937"/>
          <w:sz w:val="20"/>
        </w:rPr>
        <w:t>Strategische balans tussen R&amp;D-bescherming en medische veiligheid; aanzienlijke investering maar 'strategisch slim'</w:t>
      </w:r>
    </w:p>
    <w:p>
      <w:pPr>
        <w:pStyle w:val="Heading2"/>
      </w:pPr>
      <w:r>
        <w:rPr>
          <w:rFonts w:ascii="Segoe UI" w:hAnsi="Segoe UI"/>
          <w:color w:val="003366"/>
        </w:rPr>
        <w:t>Slotbeschouwing: 'one substance, one assessment' en radicale transparantie</w:t>
      </w:r>
    </w:p>
    <w:p>
      <w:r>
        <w:rPr>
          <w:rFonts w:ascii="Segoe UI" w:hAnsi="Segoe UI"/>
          <w:i/>
          <w:color w:val="374151"/>
          <w:sz w:val="18"/>
        </w:rPr>
        <w:t>Sentiment: neutraal</w:t>
      </w:r>
    </w:p>
    <w:p>
      <w:pPr>
        <w:pStyle w:val="ListBullet"/>
      </w:pPr>
      <w:r>
        <w:rPr>
          <w:rFonts w:ascii="Segoe UI" w:hAnsi="Segoe UI"/>
          <w:color w:val="1F2937"/>
          <w:sz w:val="20"/>
        </w:rPr>
        <w:t>Europese trend naar één enkele beoordeling over REACH, cosmetica en voeding heen — massale transparante database</w:t>
      </w:r>
    </w:p>
    <w:p>
      <w:pPr>
        <w:pStyle w:val="ListBullet"/>
      </w:pPr>
      <w:r>
        <w:rPr>
          <w:rFonts w:ascii="Segoe UI" w:hAnsi="Segoe UI"/>
          <w:color w:val="1F2937"/>
          <w:sz w:val="20"/>
        </w:rPr>
        <w:t>Open vraag: wordt regeldruk de ondergang ten opzichte van werelddelen zonder regels, of de ultieme motor van groene innovatie?</w:t>
      </w:r>
    </w:p>
    <w:p>
      <w:pPr>
        <w:pStyle w:val="ListBullet"/>
      </w:pPr>
      <w:r>
        <w:rPr>
          <w:rFonts w:ascii="Segoe UI" w:hAnsi="Segoe UI"/>
          <w:color w:val="1F2937"/>
          <w:sz w:val="20"/>
        </w:rPr>
        <w:t>Kernacties uit de slot Samenvatting: (1) rol in keten glashelder, (2) deadlines van 6 en 12 maanden scherp monitoren, (3) innoveren om SVHC's te vermijden en in groepen kijken, (4) slim gebruik van limited submissions</w:t>
      </w:r>
    </w:p>
    <w:p/>
    <w:p>
      <w:pPr>
        <w:pStyle w:val="Heading1"/>
      </w:pPr>
      <w:r>
        <w:rPr>
          <w:rFonts w:ascii="Segoe UI" w:hAnsi="Segoe UI"/>
          <w:color w:val="003366"/>
        </w:rPr>
        <w:t>Beslissingen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Beslissing</w:t>
            </w:r>
          </w:p>
        </w:tc>
        <w:tc>
          <w:tcPr>
            <w:tcW w:type="dxa" w:w="2351"/>
            <w:shd w:fill="003366"/>
          </w:tcPr>
          <w:p>
            <w:r/>
            <w:r>
              <w:rPr>
                <w:rFonts w:ascii="Segoe UI" w:hAnsi="Segoe UI"/>
                <w:b/>
                <w:color w:val="FFFFFF"/>
                <w:sz w:val="20"/>
              </w:rPr>
              <w:t>Voorgesteld door</w:t>
            </w:r>
          </w:p>
        </w:tc>
        <w:tc>
          <w:tcPr>
            <w:tcW w:type="dxa" w:w="2351"/>
            <w:shd w:fill="003366"/>
          </w:tcPr>
          <w:p>
            <w:r/>
            <w:r>
              <w:rPr>
                <w:rFonts w:ascii="Segoe UI" w:hAnsi="Segoe UI"/>
                <w:b/>
                <w:color w:val="FFFFFF"/>
                <w:sz w:val="20"/>
              </w:rPr>
              <w:t>Goedgekeurd door</w:t>
            </w:r>
          </w:p>
        </w:tc>
        <w:tc>
          <w:tcPr>
            <w:tcW w:type="dxa" w:w="2351"/>
            <w:shd w:fill="003366"/>
          </w:tcPr>
          <w:p>
            <w:r/>
            <w:r>
              <w:rPr>
                <w:rFonts w:ascii="Segoe UI" w:hAnsi="Segoe UI"/>
                <w:b/>
                <w:color w:val="FFFFFF"/>
                <w:sz w:val="20"/>
              </w:rPr>
              <w:t>Rationale</w:t>
            </w:r>
          </w:p>
        </w:tc>
      </w:tr>
      <w:tr>
        <w:tc>
          <w:tcPr>
            <w:tcW w:type="dxa" w:w="2351"/>
            <w:shd w:fill="F8F9FA"/>
          </w:tcPr>
          <w:p>
            <w:r/>
            <w:r>
              <w:rPr>
                <w:rFonts w:ascii="Segoe UI" w:hAnsi="Segoe UI"/>
                <w:color w:val="1F2937"/>
                <w:sz w:val="18"/>
              </w:rPr>
              <w:t>Rol in de keten (fabrikant/importeur versus downstream user) per stof glashelder vaststellen — dit bepaalt welke regels en verplichtingen gelden</w:t>
            </w:r>
          </w:p>
        </w:tc>
        <w:tc>
          <w:tcPr>
            <w:tcW w:type="dxa" w:w="2351"/>
            <w:shd w:fill="F8F9FA"/>
          </w:tcPr>
          <w:p>
            <w:r/>
            <w:r>
              <w:rPr>
                <w:rFonts w:ascii="Segoe UI" w:hAnsi="Segoe UI"/>
                <w:color w:val="1F2937"/>
                <w:sz w:val="18"/>
              </w:rPr>
              <w:t>De expert</w:t>
            </w:r>
          </w:p>
        </w:tc>
        <w:tc>
          <w:tcPr>
            <w:tcW w:type="dxa" w:w="2351"/>
            <w:shd w:fill="F8F9FA"/>
          </w:tcPr>
          <w:p>
            <w:r/>
            <w:r>
              <w:rPr>
                <w:rFonts w:ascii="Segoe UI" w:hAnsi="Segoe UI"/>
                <w:color w:val="1F2937"/>
                <w:sz w:val="18"/>
              </w:rPr>
              <w:t>Beide sprekers (consensus in slot Samenvatting, punt 1)</w:t>
            </w:r>
          </w:p>
        </w:tc>
        <w:tc>
          <w:tcPr>
            <w:tcW w:type="dxa" w:w="2351"/>
            <w:shd w:fill="F8F9FA"/>
          </w:tcPr>
          <w:p>
            <w:r/>
            <w:r>
              <w:rPr>
                <w:rFonts w:ascii="Segoe UI" w:hAnsi="Segoe UI"/>
                <w:color w:val="1F2937"/>
                <w:sz w:val="18"/>
              </w:rPr>
              <w:t>De wet maakt een vlijmscherp onderscheid tussen rollen; elke misinterpretatie leidt direct tot non-compliance</w:t>
            </w:r>
          </w:p>
        </w:tc>
      </w:tr>
      <w:tr>
        <w:tc>
          <w:tcPr>
            <w:tcW w:type="dxa" w:w="2351"/>
          </w:tcPr>
          <w:p>
            <w:r/>
            <w:r>
              <w:rPr>
                <w:rFonts w:ascii="Segoe UI" w:hAnsi="Segoe UI"/>
                <w:color w:val="1F2937"/>
                <w:sz w:val="18"/>
              </w:rPr>
              <w:t>De deadlines van 6 maanden (melding niet-ondersteund gebruik bij ECHA) en 12 maanden (implementatie risicobeheersmaatregelen uit e-SDS) structureel monitoren</w:t>
            </w:r>
          </w:p>
        </w:tc>
        <w:tc>
          <w:tcPr>
            <w:tcW w:type="dxa" w:w="2351"/>
          </w:tcPr>
          <w:p>
            <w:r/>
            <w:r>
              <w:rPr>
                <w:rFonts w:ascii="Segoe UI" w:hAnsi="Segoe UI"/>
                <w:color w:val="1F2937"/>
                <w:sz w:val="18"/>
              </w:rPr>
              <w:t>De expert</w:t>
            </w:r>
          </w:p>
        </w:tc>
        <w:tc>
          <w:tcPr>
            <w:tcW w:type="dxa" w:w="2351"/>
          </w:tcPr>
          <w:p>
            <w:r/>
            <w:r>
              <w:rPr>
                <w:rFonts w:ascii="Segoe UI" w:hAnsi="Segoe UI"/>
                <w:color w:val="1F2937"/>
                <w:sz w:val="18"/>
              </w:rPr>
              <w:t>Beide sprekers (consensus in slot Samenvatting, punt 2)</w:t>
            </w:r>
          </w:p>
        </w:tc>
        <w:tc>
          <w:tcPr>
            <w:tcW w:type="dxa" w:w="2351"/>
          </w:tcPr>
          <w:p>
            <w:r/>
            <w:r>
              <w:rPr>
                <w:rFonts w:ascii="Segoe UI" w:hAnsi="Segoe UI"/>
                <w:color w:val="1F2937"/>
                <w:sz w:val="18"/>
              </w:rPr>
              <w:t>De klok start zodra het SDS in de inbox landt; missen leidt tot stillegging door inspectie</w:t>
            </w:r>
          </w:p>
        </w:tc>
      </w:tr>
      <w:tr>
        <w:tc>
          <w:tcPr>
            <w:tcW w:type="dxa" w:w="2351"/>
            <w:shd w:fill="F8F9FA"/>
          </w:tcPr>
          <w:p>
            <w:r/>
            <w:r>
              <w:rPr>
                <w:rFonts w:ascii="Segoe UI" w:hAnsi="Segoe UI"/>
                <w:color w:val="1F2937"/>
                <w:sz w:val="18"/>
              </w:rPr>
              <w:t>Proactief innoveren om SVHC's te vermijden, met beoordeling van stoffen in chemische groepen in plaats van individueel</w:t>
            </w:r>
          </w:p>
        </w:tc>
        <w:tc>
          <w:tcPr>
            <w:tcW w:type="dxa" w:w="2351"/>
            <w:shd w:fill="F8F9FA"/>
          </w:tcPr>
          <w:p>
            <w:r/>
            <w:r>
              <w:rPr>
                <w:rFonts w:ascii="Segoe UI" w:hAnsi="Segoe UI"/>
                <w:color w:val="1F2937"/>
                <w:sz w:val="18"/>
              </w:rPr>
              <w:t>De expert</w:t>
            </w:r>
          </w:p>
        </w:tc>
        <w:tc>
          <w:tcPr>
            <w:tcW w:type="dxa" w:w="2351"/>
            <w:shd w:fill="F8F9FA"/>
          </w:tcPr>
          <w:p>
            <w:r/>
            <w:r>
              <w:rPr>
                <w:rFonts w:ascii="Segoe UI" w:hAnsi="Segoe UI"/>
                <w:color w:val="1F2937"/>
                <w:sz w:val="18"/>
              </w:rPr>
              <w:t>Beide sprekers (consensus in slot Samenvatting, punt 3)</w:t>
            </w:r>
          </w:p>
        </w:tc>
        <w:tc>
          <w:tcPr>
            <w:tcW w:type="dxa" w:w="2351"/>
            <w:shd w:fill="F8F9FA"/>
          </w:tcPr>
          <w:p>
            <w:r/>
            <w:r>
              <w:rPr>
                <w:rFonts w:ascii="Segoe UI" w:hAnsi="Segoe UI"/>
                <w:color w:val="1F2937"/>
                <w:sz w:val="18"/>
              </w:rPr>
              <w:t>ECHA's groepsaanpak dicht de route van regrettable substitution af; substitutie is stap 1 in de beheersmaatregelenhiërarchie</w:t>
            </w:r>
          </w:p>
        </w:tc>
      </w:tr>
      <w:tr>
        <w:tc>
          <w:tcPr>
            <w:tcW w:type="dxa" w:w="2351"/>
          </w:tcPr>
          <w:p>
            <w:r/>
            <w:r>
              <w:rPr>
                <w:rFonts w:ascii="Segoe UI" w:hAnsi="Segoe UI"/>
                <w:color w:val="1F2937"/>
                <w:sz w:val="18"/>
              </w:rPr>
              <w:t>Als industrieel bedrijf gebruikmaken van limited submissions voor PCN-meldingen om recepturen en bedrijfsgeheimen te bewaken</w:t>
            </w:r>
          </w:p>
        </w:tc>
        <w:tc>
          <w:tcPr>
            <w:tcW w:type="dxa" w:w="2351"/>
          </w:tcPr>
          <w:p>
            <w:r/>
            <w:r>
              <w:rPr>
                <w:rFonts w:ascii="Segoe UI" w:hAnsi="Segoe UI"/>
                <w:color w:val="1F2937"/>
                <w:sz w:val="18"/>
              </w:rPr>
              <w:t>De expert</w:t>
            </w:r>
          </w:p>
        </w:tc>
        <w:tc>
          <w:tcPr>
            <w:tcW w:type="dxa" w:w="2351"/>
          </w:tcPr>
          <w:p>
            <w:r/>
            <w:r>
              <w:rPr>
                <w:rFonts w:ascii="Segoe UI" w:hAnsi="Segoe UI"/>
                <w:color w:val="1F2937"/>
                <w:sz w:val="18"/>
              </w:rPr>
              <w:t>Beide sprekers (consensus in slot Samenvatting, punt 4)</w:t>
            </w:r>
          </w:p>
        </w:tc>
        <w:tc>
          <w:tcPr>
            <w:tcW w:type="dxa" w:w="2351"/>
          </w:tcPr>
          <w:p>
            <w:r/>
            <w:r>
              <w:rPr>
                <w:rFonts w:ascii="Segoe UI" w:hAnsi="Segoe UI"/>
                <w:color w:val="1F2937"/>
                <w:sz w:val="18"/>
              </w:rPr>
              <w:t>Beschermt het intellectueel eigendom tegen lekkage (o.a. naar Aziatische concurrenten) terwijl medische veiligheid gewaarborgd blijft via het 24/7 noodnummer</w:t>
            </w:r>
          </w:p>
        </w:tc>
      </w:tr>
      <w:tr>
        <w:tc>
          <w:tcPr>
            <w:tcW w:type="dxa" w:w="2351"/>
            <w:shd w:fill="F8F9FA"/>
          </w:tcPr>
          <w:p>
            <w:r/>
            <w:r>
              <w:rPr>
                <w:rFonts w:ascii="Segoe UI" w:hAnsi="Segoe UI"/>
                <w:color w:val="1F2937"/>
                <w:sz w:val="18"/>
              </w:rPr>
              <w:t>PBM's worden geaccepteerd als laatste redmiddel; bronbeheersing (substitutie en technische maatregelen) heeft voorrang</w:t>
            </w:r>
          </w:p>
        </w:tc>
        <w:tc>
          <w:tcPr>
            <w:tcW w:type="dxa" w:w="2351"/>
            <w:shd w:fill="F8F9FA"/>
          </w:tcPr>
          <w:p>
            <w:r/>
            <w:r>
              <w:rPr>
                <w:rFonts w:ascii="Segoe UI" w:hAnsi="Segoe UI"/>
                <w:color w:val="1F2937"/>
                <w:sz w:val="18"/>
              </w:rPr>
              <w:t>De expert</w:t>
            </w:r>
          </w:p>
        </w:tc>
        <w:tc>
          <w:tcPr>
            <w:tcW w:type="dxa" w:w="2351"/>
            <w:shd w:fill="F8F9FA"/>
          </w:tcPr>
          <w:p>
            <w:r/>
            <w:r>
              <w:rPr>
                <w:rFonts w:ascii="Segoe UI" w:hAnsi="Segoe UI"/>
                <w:color w:val="1F2937"/>
                <w:sz w:val="18"/>
              </w:rPr>
              <w:t>De gastheer ('helemaal mee eens')</w:t>
            </w:r>
          </w:p>
        </w:tc>
        <w:tc>
          <w:tcPr>
            <w:tcW w:type="dxa" w:w="2351"/>
            <w:shd w:fill="F8F9FA"/>
          </w:tcPr>
          <w:p>
            <w:r/>
            <w:r>
              <w:rPr>
                <w:rFonts w:ascii="Segoe UI" w:hAnsi="Segoe UI"/>
                <w:color w:val="1F2937"/>
                <w:sz w:val="18"/>
              </w:rPr>
              <w:t>Trots op beschermende pakken is een zwaktebod: het geeft toe dat het gevaar bij de bron niet is weggenomen</w:t>
            </w:r>
          </w:p>
        </w:tc>
      </w:tr>
    </w:tbl>
    <w:p/>
    <w:p>
      <w:pPr>
        <w:pStyle w:val="Heading1"/>
      </w:pPr>
      <w:r>
        <w:rPr>
          <w:rFonts w:ascii="Segoe UI" w:hAnsi="Segoe UI"/>
          <w:color w:val="003366"/>
        </w:rPr>
        <w:t>Actiepunten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Actie</w:t>
            </w:r>
          </w:p>
        </w:tc>
        <w:tc>
          <w:tcPr>
            <w:tcW w:type="dxa" w:w="2351"/>
            <w:shd w:fill="003366"/>
          </w:tcPr>
          <w:p>
            <w:r/>
            <w:r>
              <w:rPr>
                <w:rFonts w:ascii="Segoe UI" w:hAnsi="Segoe UI"/>
                <w:b/>
                <w:color w:val="FFFFFF"/>
                <w:sz w:val="20"/>
              </w:rPr>
              <w:t>Eigenaar</w:t>
            </w:r>
          </w:p>
        </w:tc>
        <w:tc>
          <w:tcPr>
            <w:tcW w:type="dxa" w:w="2351"/>
            <w:shd w:fill="003366"/>
          </w:tcPr>
          <w:p>
            <w:r/>
            <w:r>
              <w:rPr>
                <w:rFonts w:ascii="Segoe UI" w:hAnsi="Segoe UI"/>
                <w:b/>
                <w:color w:val="FFFFFF"/>
                <w:sz w:val="20"/>
              </w:rPr>
              <w:t>Deadline</w:t>
            </w:r>
          </w:p>
        </w:tc>
        <w:tc>
          <w:tcPr>
            <w:tcW w:type="dxa" w:w="2351"/>
            <w:shd w:fill="003366"/>
          </w:tcPr>
          <w:p>
            <w:r/>
            <w:r>
              <w:rPr>
                <w:rFonts w:ascii="Segoe UI" w:hAnsi="Segoe UI"/>
                <w:b/>
                <w:color w:val="FFFFFF"/>
                <w:sz w:val="20"/>
              </w:rPr>
              <w:t>Prioriteit</w:t>
            </w:r>
          </w:p>
        </w:tc>
      </w:tr>
      <w:tr>
        <w:tc>
          <w:tcPr>
            <w:tcW w:type="dxa" w:w="2351"/>
            <w:shd w:fill="F8F9FA"/>
          </w:tcPr>
          <w:p>
            <w:r/>
            <w:r>
              <w:rPr>
                <w:rFonts w:ascii="Segoe UI" w:hAnsi="Segoe UI"/>
                <w:color w:val="1F2937"/>
                <w:sz w:val="18"/>
              </w:rPr>
              <w:t>Een SDS-ontvangstregister met automatische deadline-tracking opzetten, zodat de 12-maandstermijn voor implementatie van risicobeheersmaatregelen uit elk ontvangen e-SDS wordt gemonitord</w:t>
            </w:r>
          </w:p>
        </w:tc>
        <w:tc>
          <w:tcPr>
            <w:tcW w:type="dxa" w:w="2351"/>
            <w:shd w:fill="F8F9FA"/>
          </w:tcPr>
          <w:p>
            <w:r/>
            <w:r>
              <w:rPr>
                <w:rFonts w:ascii="Segoe UI" w:hAnsi="Segoe UI"/>
                <w:color w:val="1F2937"/>
                <w:sz w:val="18"/>
              </w:rPr>
              <w:t>HSEQ-adviseur</w:t>
            </w:r>
          </w:p>
        </w:tc>
        <w:tc>
          <w:tcPr>
            <w:tcW w:type="dxa" w:w="2351"/>
            <w:shd w:fill="F8F9FA"/>
          </w:tcPr>
          <w:p>
            <w:r/>
            <w:r>
              <w:rPr>
                <w:rFonts w:ascii="Segoe UI" w:hAnsi="Segoe UI"/>
                <w:color w:val="1F2937"/>
                <w:sz w:val="18"/>
              </w:rPr>
              <w:t>Direct, doorlopend (12 maanden na ontvangst van elk nieuw/gewijzigd SDS)</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Inventarisatie opstellen van niet-ondersteunde gebruiken (nieuwe R&amp;D-toepassingen die niet in meegeleverde blootstellingsscenario's staan) en waar nodig de ECHA-melding indienen of een DU CSR opstellen</w:t>
            </w:r>
          </w:p>
        </w:tc>
        <w:tc>
          <w:tcPr>
            <w:tcW w:type="dxa" w:w="2351"/>
          </w:tcPr>
          <w:p>
            <w:r/>
            <w:r>
              <w:rPr>
                <w:rFonts w:ascii="Segoe UI" w:hAnsi="Segoe UI"/>
                <w:color w:val="1F2937"/>
                <w:sz w:val="18"/>
              </w:rPr>
              <w:t>HSEQ-adviseur samen met R&amp;D</w:t>
            </w:r>
          </w:p>
        </w:tc>
        <w:tc>
          <w:tcPr>
            <w:tcW w:type="dxa" w:w="2351"/>
          </w:tcPr>
          <w:p>
            <w:r/>
            <w:r>
              <w:rPr>
                <w:rFonts w:ascii="Segoe UI" w:hAnsi="Segoe UI"/>
                <w:color w:val="1F2937"/>
                <w:sz w:val="18"/>
              </w:rPr>
              <w:t>Binnen 6 maanden na ontvangst van het betreffende SDS</w:t>
            </w:r>
          </w:p>
        </w:tc>
        <w:tc>
          <w:tcPr>
            <w:tcW w:type="dxa" w:w="2351"/>
            <w:shd w:fill="EF4444"/>
          </w:tcPr>
          <w:p>
            <w:r>
              <w:rPr>
                <w:b/>
                <w:color w:val="FFFFFF"/>
              </w:rPr>
            </w:r>
            <w:r>
              <w:rPr>
                <w:rFonts w:ascii="Segoe UI" w:hAnsi="Segoe UI"/>
                <w:b/>
                <w:color w:val="FFFFFF"/>
                <w:sz w:val="18"/>
              </w:rPr>
              <w:t>hoog</w:t>
            </w:r>
          </w:p>
        </w:tc>
      </w:tr>
      <w:tr>
        <w:tc>
          <w:tcPr>
            <w:tcW w:type="dxa" w:w="2351"/>
            <w:shd w:fill="F8F9FA"/>
          </w:tcPr>
          <w:p>
            <w:r/>
            <w:r>
              <w:rPr>
                <w:rFonts w:ascii="Segoe UI" w:hAnsi="Segoe UI"/>
                <w:color w:val="1F2937"/>
                <w:sz w:val="18"/>
              </w:rPr>
              <w:t>Jaarlijkse (en bij elke lijstupdate) SVHC-screening van het volledige inkoopportfolio tegen de kandidaatslijst, Bijlage XIV en Bijlage XVII, inclusief analyse op chemische familie/groepsniveau</w:t>
            </w:r>
          </w:p>
        </w:tc>
        <w:tc>
          <w:tcPr>
            <w:tcW w:type="dxa" w:w="2351"/>
            <w:shd w:fill="F8F9FA"/>
          </w:tcPr>
          <w:p>
            <w:r/>
            <w:r>
              <w:rPr>
                <w:rFonts w:ascii="Segoe UI" w:hAnsi="Segoe UI"/>
                <w:color w:val="1F2937"/>
                <w:sz w:val="18"/>
              </w:rPr>
              <w:t>HSEQ-adviseur samen met inkoop</w:t>
            </w:r>
          </w:p>
        </w:tc>
        <w:tc>
          <w:tcPr>
            <w:tcW w:type="dxa" w:w="2351"/>
            <w:shd w:fill="F8F9FA"/>
          </w:tcPr>
          <w:p>
            <w:r/>
            <w:r>
              <w:rPr>
                <w:rFonts w:ascii="Segoe UI" w:hAnsi="Segoe UI"/>
                <w:color w:val="1F2937"/>
                <w:sz w:val="18"/>
              </w:rPr>
              <w:t>Kwartaalsgewijs controleren; direct na elke ECHA-lijstupdate</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Voor kritische stoffen op de autorisatielijst (Bijlage XIV) een autorisatiedossier voorbereiden: sociaal-economische batenanalyse plus bewijs dat er geen technisch of economisch haalbaar alternatief is</w:t>
            </w:r>
          </w:p>
        </w:tc>
        <w:tc>
          <w:tcPr>
            <w:tcW w:type="dxa" w:w="2351"/>
          </w:tcPr>
          <w:p>
            <w:r/>
            <w:r>
              <w:rPr>
                <w:rFonts w:ascii="Segoe UI" w:hAnsi="Segoe UI"/>
                <w:color w:val="1F2937"/>
                <w:sz w:val="18"/>
              </w:rPr>
              <w:t>HSEQ-adviseur en directie</w:t>
            </w:r>
          </w:p>
        </w:tc>
        <w:tc>
          <w:tcPr>
            <w:tcW w:type="dxa" w:w="2351"/>
          </w:tcPr>
          <w:p>
            <w:r/>
            <w:r>
              <w:rPr>
                <w:rFonts w:ascii="Segoe UI" w:hAnsi="Segoe UI"/>
                <w:color w:val="1F2937"/>
                <w:sz w:val="18"/>
              </w:rPr>
              <w:t>Ruim vóór de sunset date van de betreffende stof</w:t>
            </w:r>
          </w:p>
        </w:tc>
        <w:tc>
          <w:tcPr>
            <w:tcW w:type="dxa" w:w="2351"/>
            <w:shd w:fill="EF4444"/>
          </w:tcPr>
          <w:p>
            <w:r>
              <w:rPr>
                <w:b/>
                <w:color w:val="FFFFFF"/>
              </w:rPr>
            </w:r>
            <w:r>
              <w:rPr>
                <w:rFonts w:ascii="Segoe UI" w:hAnsi="Segoe UI"/>
                <w:b/>
                <w:color w:val="FFFFFF"/>
                <w:sz w:val="18"/>
              </w:rPr>
              <w:t>hoog</w:t>
            </w:r>
          </w:p>
        </w:tc>
      </w:tr>
      <w:tr>
        <w:tc>
          <w:tcPr>
            <w:tcW w:type="dxa" w:w="2351"/>
            <w:shd w:fill="F8F9FA"/>
          </w:tcPr>
          <w:p>
            <w:r/>
            <w:r>
              <w:rPr>
                <w:rFonts w:ascii="Segoe UI" w:hAnsi="Segoe UI"/>
                <w:color w:val="1F2937"/>
                <w:sz w:val="18"/>
              </w:rPr>
              <w:t>Haalbaarheidsonderzoek limited submission voor PCN-meldingen, inclusief het opzetten van een 24/7 bereikbaar lokaal noodnummer met een deskundige die de landstaal spreekt en toegang heeft tot interne samenstellingsdata</w:t>
            </w:r>
          </w:p>
        </w:tc>
        <w:tc>
          <w:tcPr>
            <w:tcW w:type="dxa" w:w="2351"/>
            <w:shd w:fill="F8F9FA"/>
          </w:tcPr>
          <w:p>
            <w:r/>
            <w:r>
              <w:rPr>
                <w:rFonts w:ascii="Segoe UI" w:hAnsi="Segoe UI"/>
                <w:color w:val="1F2937"/>
                <w:sz w:val="18"/>
              </w:rPr>
              <w:t>HSEQ-adviseur samen met operations/directie</w:t>
            </w:r>
          </w:p>
        </w:tc>
        <w:tc>
          <w:tcPr>
            <w:tcW w:type="dxa" w:w="2351"/>
            <w:shd w:fill="F8F9FA"/>
          </w:tcPr>
          <w:p>
            <w:r/>
            <w:r>
              <w:rPr>
                <w:rFonts w:ascii="Segoe UI" w:hAnsi="Segoe UI"/>
                <w:color w:val="1F2937"/>
                <w:sz w:val="18"/>
              </w:rPr>
              <w:t>Niet gespecificeerd (voor de eerstvolgende PCN-meldingsronde)</w:t>
            </w:r>
          </w:p>
        </w:tc>
        <w:tc>
          <w:tcPr>
            <w:tcW w:type="dxa" w:w="2351"/>
            <w:shd w:fill="F8F9FA"/>
            <w:shd w:fill="F59E0B"/>
          </w:tcPr>
          <w:p>
            <w:r/>
            <w:r>
              <w:rPr>
                <w:rFonts w:ascii="Segoe UI" w:hAnsi="Segoe UI"/>
                <w:color w:val="1F2937"/>
                <w:sz w:val="18"/>
              </w:rPr>
              <w:t>medium</w:t>
            </w:r>
          </w:p>
        </w:tc>
      </w:tr>
      <w:tr>
        <w:tc>
          <w:tcPr>
            <w:tcW w:type="dxa" w:w="2351"/>
          </w:tcPr>
          <w:p>
            <w:r/>
            <w:r>
              <w:rPr>
                <w:rFonts w:ascii="Segoe UI" w:hAnsi="Segoe UI"/>
                <w:color w:val="1F2937"/>
                <w:sz w:val="18"/>
              </w:rPr>
              <w:t>Evaluatie van de PBM-afhankelijkheid per productielijn en een meerjarenplan opstellen voor bronbeheersing (gesloten systemen, afzuiging, leidingwerk) dan wel substitutie</w:t>
            </w:r>
          </w:p>
        </w:tc>
        <w:tc>
          <w:tcPr>
            <w:tcW w:type="dxa" w:w="2351"/>
          </w:tcPr>
          <w:p>
            <w:r/>
            <w:r>
              <w:rPr>
                <w:rFonts w:ascii="Segoe UI" w:hAnsi="Segoe UI"/>
                <w:color w:val="1F2937"/>
                <w:sz w:val="18"/>
              </w:rPr>
              <w:t>Plantmanager samen met HSEQ-adviseur</w:t>
            </w:r>
          </w:p>
        </w:tc>
        <w:tc>
          <w:tcPr>
            <w:tcW w:type="dxa" w:w="2351"/>
          </w:tcPr>
          <w:p>
            <w:r/>
            <w:r>
              <w:rPr>
                <w:rFonts w:ascii="Segoe UI" w:hAnsi="Segoe UI"/>
                <w:color w:val="1F2937"/>
                <w:sz w:val="18"/>
              </w:rPr>
              <w:t>Niet gespecificeerd</w:t>
            </w:r>
          </w:p>
        </w:tc>
        <w:tc>
          <w:tcPr>
            <w:tcW w:type="dxa" w:w="2351"/>
            <w:shd w:fill="F59E0B"/>
          </w:tcPr>
          <w:p>
            <w:r/>
            <w:r>
              <w:rPr>
                <w:rFonts w:ascii="Segoe UI" w:hAnsi="Segoe UI"/>
                <w:color w:val="1F2937"/>
                <w:sz w:val="18"/>
              </w:rPr>
              <w:t>medium</w:t>
            </w:r>
          </w:p>
        </w:tc>
      </w:tr>
      <w:tr>
        <w:tc>
          <w:tcPr>
            <w:tcW w:type="dxa" w:w="2351"/>
            <w:shd w:fill="F8F9FA"/>
          </w:tcPr>
          <w:p>
            <w:r/>
            <w:r>
              <w:rPr>
                <w:rFonts w:ascii="Segoe UI" w:hAnsi="Segoe UI"/>
                <w:color w:val="1F2937"/>
                <w:sz w:val="18"/>
              </w:rPr>
              <w:t>Controleren en waar nodig actualiseren van SCIP-meldingen voor alle producten die meer dan 0,1% SVHC bevatten, gekoppeld aan afval- en recyclagestroominformatie</w:t>
            </w:r>
          </w:p>
        </w:tc>
        <w:tc>
          <w:tcPr>
            <w:tcW w:type="dxa" w:w="2351"/>
            <w:shd w:fill="F8F9FA"/>
          </w:tcPr>
          <w:p>
            <w:r/>
            <w:r>
              <w:rPr>
                <w:rFonts w:ascii="Segoe UI" w:hAnsi="Segoe UI"/>
                <w:color w:val="1F2937"/>
                <w:sz w:val="18"/>
              </w:rPr>
              <w:t>HSEQ/product compliance</w:t>
            </w:r>
          </w:p>
        </w:tc>
        <w:tc>
          <w:tcPr>
            <w:tcW w:type="dxa" w:w="2351"/>
            <w:shd w:fill="F8F9FA"/>
          </w:tcPr>
          <w:p>
            <w:r/>
            <w:r>
              <w:rPr>
                <w:rFonts w:ascii="Segoe UI" w:hAnsi="Segoe UI"/>
                <w:color w:val="1F2937"/>
                <w:sz w:val="18"/>
              </w:rPr>
              <w:t>Niet gespecificeerd</w:t>
            </w:r>
          </w:p>
        </w:tc>
        <w:tc>
          <w:tcPr>
            <w:tcW w:type="dxa" w:w="2351"/>
            <w:shd w:fill="F8F9FA"/>
            <w:shd w:fill="F59E0B"/>
          </w:tcPr>
          <w:p>
            <w:r/>
            <w:r>
              <w:rPr>
                <w:rFonts w:ascii="Segoe UI" w:hAnsi="Segoe UI"/>
                <w:color w:val="1F2937"/>
                <w:sz w:val="18"/>
              </w:rPr>
              <w:t>medium</w:t>
            </w:r>
          </w:p>
        </w:tc>
      </w:tr>
      <w:tr>
        <w:tc>
          <w:tcPr>
            <w:tcW w:type="dxa" w:w="2351"/>
          </w:tcPr>
          <w:p>
            <w:r/>
            <w:r>
              <w:rPr>
                <w:rFonts w:ascii="Segoe UI" w:hAnsi="Segoe UI"/>
                <w:color w:val="1F2937"/>
                <w:sz w:val="18"/>
              </w:rPr>
              <w:t>Het opgebouwde 'kennisdossier REACH 2026' documenteren en intern delen met HSEQ-team, plantmanagement en R&amp;D</w:t>
            </w:r>
          </w:p>
        </w:tc>
        <w:tc>
          <w:tcPr>
            <w:tcW w:type="dxa" w:w="2351"/>
          </w:tcPr>
          <w:p>
            <w:r/>
            <w:r>
              <w:rPr>
                <w:rFonts w:ascii="Segoe UI" w:hAnsi="Segoe UI"/>
                <w:color w:val="1F2937"/>
                <w:sz w:val="18"/>
              </w:rPr>
              <w:t>HSEQ-adviseur</w:t>
            </w:r>
          </w:p>
        </w:tc>
        <w:tc>
          <w:tcPr>
            <w:tcW w:type="dxa" w:w="2351"/>
          </w:tcPr>
          <w:p>
            <w:r/>
            <w:r>
              <w:rPr>
                <w:rFonts w:ascii="Segoe UI" w:hAnsi="Segoe UI"/>
                <w:color w:val="1F2937"/>
                <w:sz w:val="18"/>
              </w:rPr>
              <w:t>Korte termijn (niet gespecificeerd)</w:t>
            </w:r>
          </w:p>
        </w:tc>
        <w:tc>
          <w:tcPr>
            <w:tcW w:type="dxa" w:w="2351"/>
            <w:shd w:fill="00A859"/>
          </w:tcPr>
          <w:p>
            <w:r>
              <w:rPr>
                <w:color w:val="FFFFFF"/>
              </w:rPr>
            </w:r>
            <w:r>
              <w:rPr>
                <w:rFonts w:ascii="Segoe UI" w:hAnsi="Segoe UI"/>
                <w:color w:val="FFFFFF"/>
                <w:sz w:val="18"/>
              </w:rPr>
              <w:t>laag</w:t>
            </w:r>
          </w:p>
        </w:tc>
      </w:tr>
    </w:tbl>
    <w:p/>
    <w:p>
      <w:pPr>
        <w:pStyle w:val="Heading1"/>
      </w:pPr>
      <w:r>
        <w:rPr>
          <w:rFonts w:ascii="Segoe UI" w:hAnsi="Segoe UI"/>
          <w:color w:val="003366"/>
        </w:rPr>
        <w:t>Risico's</w:t>
      </w:r>
    </w:p>
    <w:p>
      <w:pPr>
        <w:pStyle w:val="ListBullet"/>
      </w:pPr>
      <w:r>
        <w:rPr>
          <w:rFonts w:ascii="Segoe UI" w:hAnsi="Segoe UI"/>
          <w:color w:val="1F2937"/>
          <w:sz w:val="20"/>
        </w:rPr>
        <w:t>Missen van de 12-maandstermijn voor implementatie van risicobeheersmaatregelen uit een ontvangen e-SDS, met stillegging van fabrieksdelen door inspectie als gevolg</w:t>
      </w:r>
    </w:p>
    <w:p>
      <w:pPr>
        <w:pStyle w:val="ListBullet"/>
      </w:pPr>
      <w:r>
        <w:rPr>
          <w:rFonts w:ascii="Segoe UI" w:hAnsi="Segoe UI"/>
          <w:color w:val="1F2937"/>
          <w:sz w:val="20"/>
        </w:rPr>
        <w:t>Missen van de 6-maandsmeldtermijn bij ECHA voor niet-ondersteunde gebruiken, waardoor innovatieve toepassingen illegaal worden</w:t>
      </w:r>
    </w:p>
    <w:p>
      <w:pPr>
        <w:pStyle w:val="ListBullet"/>
      </w:pPr>
      <w:r>
        <w:rPr>
          <w:rFonts w:ascii="Segoe UI" w:hAnsi="Segoe UI"/>
          <w:color w:val="1F2937"/>
          <w:sz w:val="20"/>
        </w:rPr>
        <w:t>Stoffen op de kandidaatslijst die doorschuiven naar Bijlage XIV met sunset date: zonder tijdig autorisatiedossier wordt het gebruik hard illegaal</w:t>
      </w:r>
    </w:p>
    <w:p>
      <w:pPr>
        <w:pStyle w:val="ListBullet"/>
      </w:pPr>
      <w:r>
        <w:rPr>
          <w:rFonts w:ascii="Segoe UI" w:hAnsi="Segoe UI"/>
          <w:color w:val="1F2937"/>
          <w:sz w:val="20"/>
        </w:rPr>
        <w:t>Lekkende bedrijfsgeheimen bij ketencommunicatie met leveranciers die ook aan concurrenten leveren, of bij volledige PCN-indiening in centrale databases</w:t>
      </w:r>
    </w:p>
    <w:p>
      <w:pPr>
        <w:pStyle w:val="ListBullet"/>
      </w:pPr>
      <w:r>
        <w:rPr>
          <w:rFonts w:ascii="Segoe UI" w:hAnsi="Segoe UI"/>
          <w:color w:val="1F2937"/>
          <w:sz w:val="20"/>
        </w:rPr>
        <w:t>Regrettable substitution: het vervangen van een verboden stof door een chemisch verwante stof die door ECHA's groepsbeoordeling alsnog in één keer met de hele familie wordt verboden</w:t>
      </w:r>
    </w:p>
    <w:p>
      <w:pPr>
        <w:pStyle w:val="ListBullet"/>
      </w:pPr>
      <w:r>
        <w:rPr>
          <w:rFonts w:ascii="Segoe UI" w:hAnsi="Segoe UI"/>
          <w:color w:val="1F2937"/>
          <w:sz w:val="20"/>
        </w:rPr>
        <w:t>Hoge kapitaalsinvesteringen (gesloten systemen, afzuiging, leidingwerk) wanneer nieuw SDS-beleid twintig jaar oude open productiewijzen verbiedt</w:t>
      </w:r>
    </w:p>
    <w:p>
      <w:pPr>
        <w:pStyle w:val="ListBullet"/>
      </w:pPr>
      <w:r>
        <w:rPr>
          <w:rFonts w:ascii="Segoe UI" w:hAnsi="Segoe UI"/>
          <w:color w:val="1F2937"/>
          <w:sz w:val="20"/>
        </w:rPr>
        <w:t>Concurrentienadeel van Europese bedrijven ten opzichte van wereldregio's zonder vergelijkbare regeldruk ('wordt deze bureaucratie onze ondergang?')</w:t>
      </w:r>
    </w:p>
    <w:p>
      <w:pPr>
        <w:pStyle w:val="ListBullet"/>
      </w:pPr>
      <w:r>
        <w:rPr>
          <w:rFonts w:ascii="Segoe UI" w:hAnsi="Segoe UI"/>
          <w:color w:val="1F2937"/>
          <w:sz w:val="20"/>
        </w:rPr>
        <w:t>Onrealistische tijdinschatting van de 12-maandstermijn in zware chemie: 'dat klinkt als best veel tijd, maar valt tegen'</w:t>
      </w:r>
    </w:p>
    <w:p>
      <w:pPr>
        <w:pStyle w:val="ListBullet"/>
      </w:pPr>
      <w:r>
        <w:rPr>
          <w:rFonts w:ascii="Segoe UI" w:hAnsi="Segoe UI"/>
          <w:color w:val="1F2937"/>
          <w:sz w:val="20"/>
        </w:rPr>
        <w:t>Overmatige PBM-afhankelijkheid (hesmatpakken) als zichtbaar symptoom van falende bronbeheersing en juridisch zwakke positie</w:t>
      </w:r>
    </w:p>
    <w:p/>
    <w:p>
      <w:pPr>
        <w:pStyle w:val="Heading1"/>
      </w:pPr>
      <w:r>
        <w:rPr>
          <w:rFonts w:ascii="Segoe UI" w:hAnsi="Segoe UI"/>
          <w:color w:val="003366"/>
        </w:rPr>
        <w:t>Vervolgstappen</w:t>
      </w:r>
    </w:p>
    <w:p>
      <w:r>
        <w:rPr>
          <w:rFonts w:ascii="Segoe UI" w:hAnsi="Segoe UI"/>
          <w:b/>
          <w:color w:val="003366"/>
          <w:sz w:val="20"/>
        </w:rPr>
        <w:t xml:space="preserve">1. </w:t>
      </w:r>
      <w:r>
        <w:rPr>
          <w:rFonts w:ascii="Segoe UI" w:hAnsi="Segoe UI"/>
          <w:color w:val="1F2937"/>
          <w:sz w:val="20"/>
        </w:rPr>
        <w:t>Het beloofde 'kennisdossier REACH 2026' formaliseren tot een intern naslagwerk met de vier kernacties uit de slot Samenvatting</w:t>
      </w:r>
    </w:p>
    <w:p>
      <w:r>
        <w:rPr>
          <w:rFonts w:ascii="Segoe UI" w:hAnsi="Segoe UI"/>
          <w:b/>
          <w:color w:val="003366"/>
          <w:sz w:val="20"/>
        </w:rPr>
        <w:t xml:space="preserve">2. </w:t>
      </w:r>
      <w:r>
        <w:rPr>
          <w:rFonts w:ascii="Segoe UI" w:hAnsi="Segoe UI"/>
          <w:color w:val="1F2937"/>
          <w:sz w:val="20"/>
        </w:rPr>
        <w:t>Een rollen-in-de-keten-matrix opstellen voor alle ingekochte stoffen (fabrikant/importeur versus downstream user per stof)</w:t>
      </w:r>
    </w:p>
    <w:p>
      <w:r>
        <w:rPr>
          <w:rFonts w:ascii="Segoe UI" w:hAnsi="Segoe UI"/>
          <w:b/>
          <w:color w:val="003366"/>
          <w:sz w:val="20"/>
        </w:rPr>
        <w:t xml:space="preserve">3. </w:t>
      </w:r>
      <w:r>
        <w:rPr>
          <w:rFonts w:ascii="Segoe UI" w:hAnsi="Segoe UI"/>
          <w:color w:val="1F2937"/>
          <w:sz w:val="20"/>
        </w:rPr>
        <w:t>Een monitoringproces bouwen waarin elke SDS-ontvangst direct een 6- en 12-maandsdeadline activeert met eigenaren en escalatiepad naar plantmanager en directie</w:t>
      </w:r>
    </w:p>
    <w:p>
      <w:r>
        <w:rPr>
          <w:rFonts w:ascii="Segoe UI" w:hAnsi="Segoe UI"/>
          <w:b/>
          <w:color w:val="003366"/>
          <w:sz w:val="20"/>
        </w:rPr>
        <w:t xml:space="preserve">4. </w:t>
      </w:r>
      <w:r>
        <w:rPr>
          <w:rFonts w:ascii="Segoe UI" w:hAnsi="Segoe UI"/>
          <w:color w:val="1F2937"/>
          <w:sz w:val="20"/>
        </w:rPr>
        <w:t>Structurele samenwerking tussen HSEQ en R&amp;D institutionaliseren om niet-ondersteunde gebruiken vroegtijdig te signaleren</w:t>
      </w:r>
    </w:p>
    <w:p>
      <w:r>
        <w:rPr>
          <w:rFonts w:ascii="Segoe UI" w:hAnsi="Segoe UI"/>
          <w:b/>
          <w:color w:val="003366"/>
          <w:sz w:val="20"/>
        </w:rPr>
        <w:t xml:space="preserve">5. </w:t>
      </w:r>
      <w:r>
        <w:rPr>
          <w:rFonts w:ascii="Segoe UI" w:hAnsi="Segoe UI"/>
          <w:color w:val="1F2937"/>
          <w:sz w:val="20"/>
        </w:rPr>
        <w:t>Een substitutieprogramma opzetten dat vooruitloopt op de SVHC-kandidaatslijst en ECHA's groepsbeoordelingen</w:t>
      </w:r>
    </w:p>
    <w:p>
      <w:r>
        <w:rPr>
          <w:rFonts w:ascii="Segoe UI" w:hAnsi="Segoe UI"/>
          <w:b/>
          <w:color w:val="003366"/>
          <w:sz w:val="20"/>
        </w:rPr>
        <w:t xml:space="preserve">6. </w:t>
      </w:r>
      <w:r>
        <w:rPr>
          <w:rFonts w:ascii="Segoe UI" w:hAnsi="Segoe UI"/>
          <w:color w:val="1F2937"/>
          <w:sz w:val="20"/>
        </w:rPr>
        <w:t>Haalbaarheidsstudie limited submission inclusief 24/7-noodnummerorganisatie laten uitvoeren en voorleggen aan de directie</w:t>
      </w:r>
    </w:p>
    <w:p>
      <w:r>
        <w:rPr>
          <w:rFonts w:ascii="Segoe UI" w:hAnsi="Segoe UI"/>
          <w:b/>
          <w:color w:val="003366"/>
          <w:sz w:val="20"/>
        </w:rPr>
        <w:t xml:space="preserve">7. </w:t>
      </w:r>
      <w:r>
        <w:rPr>
          <w:rFonts w:ascii="Segoe UI" w:hAnsi="Segoe UI"/>
          <w:color w:val="1F2937"/>
          <w:sz w:val="20"/>
        </w:rPr>
        <w:t>Een vervolgsessie of verdiepend onderzoek organiseren rond de slotvraag over 'one substance, one assessment' en de strategische consequenties van radicale transparantie</w:t>
      </w:r>
    </w:p>
    <w:p/>
    <w:p>
      <w:pPr>
        <w:pStyle w:val="Heading1"/>
      </w:pPr>
      <w:r>
        <w:rPr>
          <w:rFonts w:ascii="Segoe UI" w:hAnsi="Segoe UI"/>
          <w:color w:val="003366"/>
        </w:rPr>
        <w:t>Vergadereffectiviteit</w:t>
      </w:r>
    </w:p>
    <w:p>
      <w:r>
        <w:rPr>
          <w:rFonts w:ascii="Segoe UI" w:hAnsi="Segoe UI"/>
          <w:b/>
          <w:color w:val="003366"/>
          <w:sz w:val="28"/>
        </w:rPr>
        <w:t>Score: 8/10</w:t>
      </w:r>
    </w:p>
    <w:p>
      <w:pPr>
        <w:pStyle w:val="Heading2"/>
      </w:pPr>
      <w:r>
        <w:rPr>
          <w:rFonts w:ascii="Segoe UI" w:hAnsi="Segoe UI"/>
          <w:color w:val="003366"/>
        </w:rPr>
        <w:t>Sterke punten</w:t>
      </w:r>
    </w:p>
    <w:p>
      <w:pPr>
        <w:pStyle w:val="ListBullet"/>
      </w:pPr>
      <w:r>
        <w:rPr>
          <w:rFonts w:ascii="Segoe UI" w:hAnsi="Segoe UI"/>
          <w:color w:val="1F2937"/>
          <w:sz w:val="20"/>
        </w:rPr>
        <w:t>Heldere didactische opbouw: van basisprincipes (REACH/CLP) naar complexe onderwerpen (autorisatie, PCN, limited submission)</w:t>
      </w:r>
    </w:p>
    <w:p>
      <w:pPr>
        <w:pStyle w:val="ListBullet"/>
      </w:pPr>
      <w:r>
        <w:rPr>
          <w:rFonts w:ascii="Segoe UI" w:hAnsi="Segoe UI"/>
          <w:color w:val="1F2937"/>
          <w:sz w:val="20"/>
        </w:rPr>
        <w:t>Concreet en specifiek: harde getallen en deadlines (1 ton/jaar, 23.000+ stoffen, 12 maanden, 6 maanden, 0,1% SVHC, deadlines 2021/2024)</w:t>
      </w:r>
    </w:p>
    <w:p>
      <w:pPr>
        <w:pStyle w:val="ListBullet"/>
      </w:pPr>
      <w:r>
        <w:rPr>
          <w:rFonts w:ascii="Segoe UI" w:hAnsi="Segoe UI"/>
          <w:color w:val="1F2937"/>
          <w:sz w:val="20"/>
        </w:rPr>
        <w:t>Sterke, memorabele analogieën (REACH als antecedenteonderzoek, SVHC-lijst als Most Wanted-poster, CLP als waarschuwingssticker) die complexe stof onthoudbaar maken</w:t>
      </w:r>
    </w:p>
    <w:p>
      <w:pPr>
        <w:pStyle w:val="ListBullet"/>
      </w:pPr>
      <w:r>
        <w:rPr>
          <w:rFonts w:ascii="Segoe UI" w:hAnsi="Segoe UI"/>
          <w:color w:val="1F2937"/>
          <w:sz w:val="20"/>
        </w:rPr>
        <w:t>Echte kritische interactie: de gastheer levert fundamentele pushback over concurrentiepositie en IP-lekkage, waarmee de businessrelevantie wordt geborgd</w:t>
      </w:r>
    </w:p>
    <w:p>
      <w:pPr>
        <w:pStyle w:val="ListBullet"/>
      </w:pPr>
      <w:r>
        <w:rPr>
          <w:rFonts w:ascii="Segoe UI" w:hAnsi="Segoe UI"/>
          <w:color w:val="1F2937"/>
          <w:sz w:val="20"/>
        </w:rPr>
        <w:t>Expliciete slot Samenvatting met vier direct toepasbare kernacties voor de professional</w:t>
      </w:r>
    </w:p>
    <w:p>
      <w:pPr>
        <w:pStyle w:val="ListBullet"/>
      </w:pPr>
      <w:r>
        <w:rPr>
          <w:rFonts w:ascii="Segoe UI" w:hAnsi="Segoe UI"/>
          <w:color w:val="1F2937"/>
          <w:sz w:val="20"/>
        </w:rPr>
        <w:t>Bedoeld voor directe praktische inzet: 'zodat je direct met zelfvertrouwen aan de slag kunt als HSEQ-adviseur'</w:t>
      </w:r>
    </w:p>
    <w:p>
      <w:pPr>
        <w:pStyle w:val="Heading2"/>
      </w:pPr>
      <w:r>
        <w:rPr>
          <w:rFonts w:ascii="Segoe UI" w:hAnsi="Segoe UI"/>
          <w:color w:val="003366"/>
        </w:rPr>
        <w:t>Verbeterpunten</w:t>
      </w:r>
    </w:p>
    <w:p>
      <w:pPr>
        <w:pStyle w:val="ListBullet"/>
      </w:pPr>
      <w:r>
        <w:rPr>
          <w:rFonts w:ascii="Segoe UI" w:hAnsi="Segoe UI"/>
          <w:color w:val="1F2937"/>
          <w:sz w:val="20"/>
        </w:rPr>
        <w:t>Geen formele besluitvorming: er zijn geen eigenaren, budgetten of harde deadlines aan de aanbevelingen gekoppeld (typisch voor een podcast, minder voor een werksessie)</w:t>
      </w:r>
    </w:p>
    <w:p>
      <w:pPr>
        <w:pStyle w:val="ListBullet"/>
      </w:pPr>
      <w:r>
        <w:rPr>
          <w:rFonts w:ascii="Segoe UI" w:hAnsi="Segoe UI"/>
          <w:color w:val="1F2937"/>
          <w:sz w:val="20"/>
        </w:rPr>
        <w:t>Volledig hypothetisch: geen concrete casus, bedrijfsnaam of stof-voorbeelden uit de eigen organisatie, waardoor vertaling naar de eigen fabriek aan de luisteraar blijft</w:t>
      </w:r>
    </w:p>
    <w:p>
      <w:pPr>
        <w:pStyle w:val="ListBullet"/>
      </w:pPr>
      <w:r>
        <w:rPr>
          <w:rFonts w:ascii="Segoe UI" w:hAnsi="Segoe UI"/>
          <w:color w:val="1F2937"/>
          <w:sz w:val="20"/>
        </w:rPr>
        <w:t>Transcriptiekwaliteit veroorzaakt onnauwkeurigheden: ECHA wordt wisselend als 'EGA', 'Acha' en 'Escha' weergegeven, en 'e-SDS' als 'ISDS' — kan bij lezers verwarring stichten over de correcte termen</w:t>
      </w:r>
    </w:p>
    <w:p>
      <w:pPr>
        <w:pStyle w:val="ListBullet"/>
      </w:pPr>
      <w:r>
        <w:rPr>
          <w:rFonts w:ascii="Segoe UI" w:hAnsi="Segoe UI"/>
          <w:color w:val="1F2937"/>
          <w:sz w:val="20"/>
        </w:rPr>
        <w:t>Geen verwijzingen naar specifieke wetsartikelen, ECHA-guidancedocumenten of bronnen voor verdieping</w:t>
      </w:r>
    </w:p>
    <w:p>
      <w:pPr>
        <w:pStyle w:val="ListBullet"/>
      </w:pPr>
      <w:r>
        <w:rPr>
          <w:rFonts w:ascii="Segoe UI" w:hAnsi="Segoe UI"/>
          <w:color w:val="1F2937"/>
          <w:sz w:val="20"/>
        </w:rPr>
        <w:t>De strategische slotvraag (transparantie versus concurrentiepositie) blijft onbeantwoord zonder vervolgafspraak of onderzoeksopdracht</w:t>
      </w:r>
    </w:p>
    <w:p/>
    <w:p>
      <w:pPr>
        <w:pStyle w:val="Heading1"/>
      </w:pPr>
      <w:r>
        <w:rPr>
          <w:rFonts w:ascii="Segoe UI" w:hAnsi="Segoe UI"/>
          <w:color w:val="003366"/>
        </w:rPr>
        <w:t>Bijlage: Volledige Transcriptie</w:t>
      </w:r>
    </w:p>
    <w:p>
      <w:r>
        <w:rPr>
          <w:rFonts w:ascii="Segoe UI" w:hAnsi="Segoe UI"/>
          <w:color w:val="374151"/>
          <w:sz w:val="18"/>
        </w:rPr>
        <w:t>Beeldjes in, je staat voor de gigantische stalen poorten van een chemische fabriek. Ja, mooi beeld is dat. Ja toch? Je ziet echt een woud aan leidingen, enorme koeltoren, stoem die ontsnapt. En overal hoor je gewoon het gezoem van zware machinerie. En je denkt waarschijnlijk dat het meest kwetsbare onderdeel van die hele plek de technologie is. Precies, maar de waarheid, het enige dat deze miljoenen operaties van de ene op de andere dag, volledig kan platleggen, is een onzichtbaar web van Europese regelgeving. Klopt helemaal. En vandaag gaan we in deze uitgebreide analyse navigeren door dat web. Oké, laten we dit even uitpakken. Onze missie is om voor jou, de professional, een compleet kennisdossier REACH 2026 op te bouwen. Zodat je direct met zelfvertrouwen aan de slag kunt als HSEQ-adviseur in de zware chemie. Juist. En die rol is tegenwoordig best wel veranderd, toch? Nou en of. Die rol is in 2026 echt zwaarder dan ooit. Je bent niet meer de persoon die achteraf even kijkt of er wel helmen gedragen worden, weet je wel. Nee, het is veel meer strategisch nu. Precies. Je zit letterlijk in het senior centrum. Je moet de commerciële drang naar innovatie constant afwegen tegen echt een gigantisch compliance apparaat. Want één gemiste deadline? Ja, één verkeerd geïnterpreteerd veiligheidsblad. En je hebt productiestops, torenhoge boetes of onacceptabele risico's voor je mensen. Oké, nou laten we dan meteen bij de absolute basis beginnen. Want we hebben een enorme berg aan brommateriaal. Wetsteksten, richtlijnen, rapporten. En om die handhaving te overleven, moeten we het speelveld begrijpen. Ja, en de ultieme scheidsrechter daarin is EGA, de European Chemicals Agency in Helsinki. Juist, EGA. En we horen de termen REACH en CLP natuurlijk de hele dag door elkaar vliegen. Ja, tot aan Bert Hilvaak. Maar laten we even teruggaan naar het mechanisme. Hoe werkt dat Europese systeem nu eigenlijk in de praktijk? Kijk, om REACH echt te snappen, moet je eigenlijk begrijpen hoe bizar de situatie daarvoor was. Overtel. Nou ja, voor REACH lag de bewijslast bij de overheid. Dus als een land, zeg maar, vermoedde dat een bepaalde industriële stof kankerverwekkend was, Dan moesten zij dat uitzoeken? Ja. Overheden moesten op kosten van de belastingbetaler jarenlang wetenschappelijk onderzoek doen En de industrie kon ondertussen gewoon vrolijk blijven produceren Wauw dat is best wel scheef eigenlijk Absoluut. En REACH heeft dat mechanisme 180 graden gedraaid. Het principe is nu heel simpel. No data, no market. Geen data, geen markt. Precies. Produceer of importeer je meer dan 1 ton van een stof per jaar, dan mag die stof gewoon de Europese grens niet over, tenzij jij zelf een loodswaar registratiedossier indient. De industrie draait dus op voor de onderzoekskosten. Exact. Dat is echt een gigantische verschuiving van verantwoordelijkheid. En dat heeft natuurlijk geleid tot die immense database van meer dan 23.000 geregistreerde stoffen die we nu hebben. Ja, het is een enorme berg aan data geworden. Maar waar past CLP dan in het hele verhaal? Want we hebben nu dat REACH dossier, maar een operator op de fabrieksvloer gaat natuurlijk geen dossier van 400 pagina's lezen voordat hij een kraan opendraait. Nee, natuurlijk niet. Dat zou levensgevaarlijk zijn. En daar komt dus de CLP-verordening om de hoek kijken. Oké. CLP is eigenlijk gewoon het communicatiesysteem. Het neemt de keiharde data uit dat REACH dossier, bijvoorbeeld de toxicologische waarde, en vertaalt dat naar de praktijk. Dus dat bepaalt hoe het eruit ziet op de werkvloer? Ja, welke pictogrammen moeten er op de tankauto's? Welke H&amp;P zinnen, dus de waarschuwingen, moeten op het etiket? En het dicteert hoe het Veiligheidsinformatieblad, het SDS, wordt opgebouwd. Oh, wacht. Als ik het goed begrijp is REACH dus eigenlijk gewoon het uitgebreide antecedenteonderzoek van een stof. Ja, zo kun je het zien. Inclusief vingerafdrukken en de hele familiegeschiedenis. En CLP is dan simpelweg de grote felle waarschuwingsticker die we uiteindelijk op de verpakking plakken. Dat is een hele functionele manier om er tegenaan te kijken. Wat hier fascinerend is, is dat je zonder REACH geen betrouwbare data hebt. En zonder data mag je geen CLP-sticker printen, uw adviseur. Je moet feilloos weten welke pet jouw bedrijf opheeft in deze keten. Want dat bepaalt de regels. Ja, de wet maakt een vlijmscherp onderscheid tussen enerlijds de fabrikant of importeur en anderzijds de downstream user, de benedenstroomse gebruiker. En in de zware chemie ben je bijna altijd die laatste, toch? We hebben het over faciliteiten die enorme oevellen de harsen of industri lijmen mengen Ze maken het niet zelf ze kopen het in Precies Als fabrikant helemaal bovenaan de keten ben jij degene die dat dure rietsdossier moet opbouwen Logisch. Maar als downstream user ben je eigenlijk vooral een consument van data. Jouw leverancier stuurt jou een uitgebreid veiligheidsinformatieblad, vaak een ISDS, met blootstellingsscenario's. Ja, en ik denk dat veel bedrijven dat gewoon zien als een administratief vinkje. Opslaan als pdf en klaar. Ja, en daar gaan ze dus gigantisch de fout in. Want zodra dat document in je inbox landt, begint de klok keihard te tikken. Oh, hoe lang heb je dan? Je hebt als downstream user exact 12 maanden de tijd om de vereiste risicobeheersmaatregelen uit dat specifieke document in je fabriek te implementeren. Twaalf maanden? Dat klinkt als best veel tijd. Valt tegen hoor. Ja, we hebben het over zware chemie. Wat nou als dat nieuwe document ineens zegt dat je een stof vanaf nu uitsluitend in gesloten systemen mag verwerken. Terwijl jouw fabriek het al twintig jaar in open reactievaten mengt. Ja, dan heb je als HSEQ-adviseur onmiddellijk een gigantisch conflict. Want je moet naar je plantmanager lopen en zeggen dat er binnen een jaar voor miljoenen euro's aan afzuiging en leidingswerk verbouwd moet worden. En als de directie zegt we doen het niet? Dan komt er een inspectie en wordt dat deel van de fabriek simpelweg stilgelegd. Je kunt in 2026 niet meer roepen we doen het al jaren zo. De reach data is leidend. Oké, hier wordt het echt interessant. Wat gebeurt er als onze R&amp;D afdeling een compleet nieuwe, innovatieve manier heeft bedacht om die stof te gebruiken? Iets wat de leverancier nooit had bedacht. Een zogenaamd niet ondersteund gebruik. Precies. Dat staat dus niet in dat meegeleverde scenario. Moeten we dan wachten op toestemming vanuit Helsinki voordat we kunnen innoveren? Nee, gelukkig niet. Maar je hebt dan wel een hele strakke deadline. Binnen zes maanden na ontvangst van het SDS moet je dit melden bij ETA. En dan heb je twee opties. Oké, wat is optie 1? Optie 1 is communiceren in de keten. Je belt je leverancier, legt je nieuwe proces uit en vraagt of zij dit willen meenemen in hun veiligheidsbeoordeling. beoordeling. Wacht even, dat betekent dus dat ik mijn leverancier, die waarschijnlijk ook levert aan mijn concurrenten, precies moet gaan uitleggen wat onze nieuwe briljante uitvinding is Ja Dat gaat de directie dus echt nooit goedkeuren Je gooit je bedrijfsgeheim te grabbel En daarom is er optie 2 Als je dat geheim wilt houden ben je verplicht om zelf een Downstream User Chemical Safety Report op te stellen Een DUCSR. Dus dan doen we het zelf. Ja, je moet op eigen kosten toxicologen aan het werk zetten om te bewijzen dat jullie nieuwe toepassing veilig is. Dat rapport stuur je rechtstreeks naar EGA. Zo omzeil je de leverancier. Aha, dus je beschermt je intellectuele eigendom, maar je behoudt wel de veiligheid. Dat vraagt wel om een extreem proactieve HSQ-afdeling, zeg. Zeker, je moet constant meekijken met R&amp;D. Maar goed, dit gaat nog over standaard chemicaliën. De echte hoofdpijn voor zo'n adviseur zit natuurlijk bij de SVHC's. O ja, de Substances of Very High Concern, de zeer zorgwekkende stoffen. Kankerverwekkend, mutageen, hormoonverstorend En de wetgever in 2026 wil daar gewoon actief vanaf Helemaal, de Europese Unie is daar medogeloos in geworden Dus een stof op die SVHC-lijst zetten Is eigenlijk alsof Escha een Most Wanted-poster ophangt Ja, dat is een hele goede vergelijking Het begint met de kandidaatslijst Zodra je daarop staat, tikt de klok voor een definitieve uitfasering En dan schuiven ze door naar bijlage 14, de autorisatielijst, toch? Of bijlage 17, de restricties. Ja, en als jouw stof op die autorisatielijst belandt, krijgt het een sunset date. Een harde datum, waarnaar het gebruik gewoon illegaal is. Punt. Maar wat als je fabriek echt niet zonder kan? Dan moet je een autorisatiedossier indienen. En ik kan je vertellen, autorisatie is absoluut geen recht. Het is een tijdelijke uitzondering. Wat moet je dan bewijzen? Je moet in een enorm dossier bewijzen dat de sociale economische voordelen opwegen tegen de risico's. En, heel belangrijk, dat er geen technisch of economisch haalbare alternatieven zijn. En in het verleden zagen we dan dat bedrijven gewoon één molecuultje veranderden, toch? Zodat het net een andere stof was die nog niet verboden was. Ah ja, regrettable substitution. Het vervangen van een giftige stof door een net zo giftig neefje. Bijvoorbeeld toen BPA in plastic werd vervangen door BPS Ja, toen hadden we allemaal BPA-vrije flessen die alsnog schadelijk waren Precies, maar Acha heeft dat lek gedicht Via de Integrated Regulatory strategy. Ze beoordelen stoffen nu in groepen op basis van hun chemische ruggengraad. Oh, dus als de hoofdstructuur toxisch is, verbieden ze direct de hele familie. Ja, je kunt dus niet meer vluchten in een vergelijkbaar alternatief. Substitutie is altijd stap 1 in de hiërarchie van beheersmaatregelen. En als substitutie echt niet kan? Dan ga je naar technische controles, gesloten systemen, afzuiging en pas als allerlaatste Gezondheidsredmiddel gebruik je PBM's, persoonlijke beschermingsmiddelen. Ja, ik zie vaak fabrieken die heel trots zijn op hun operators in van die dikke hesmatpakken. Maar eigenlijk is dat dus een zwaktebot? Helemaal mee eens. Als je mensen in van die pakken lopen, geef je eigenlijk toe dat je het gevaar bij de bron niet hebt kunnen wegnemen. En over de levenscyclus gesproken, er is ook nog de SCIP database. dat is verplicht als een product meer dan 0,1% SVHC bevat, toch? Ja, en dat is gekoppeld aan de afvalstoffenwetgeving. Het doel is dat afvalverwerkers eindelijk weten wat ze eigenlijk aan het recyclen zijn, zodat we niet onbewust giftige stoffen in nieuwe producten stoppen. Dat is logisch je wilt de keten transparant houden Maar over transparantie gesproken een waterdicht beleid op papier is ding Maar als HSQE moet je het bedrijf natuurlijk ook beschermen tegen actieve inspecties in 2026 Ja, handhaving is echt enorm aangescherpt. Vooral die PCN-meldingen, de Poison Center Notifications en de UFI-code. Ja, dat is een direct gevolg van de CLP-verordening. Sinds de deadlines in 2021 voor consumenten en 2024 voor industrieel... moeten gevaarlijke mengsels gemeld worden met zo'n UV-code. Dat is die code die je tegenwoordig op elk etiket ziet? Precies. Als er dan ergens in Europa een ongeluk gebeurt... weet een antigifcentrum binnen seconden exact wat de samenstelling is. Oké, dat klinkt fantastisch voor de veiligheid. Maar, en hier komt mijn pushback, wat betekent dit allemaal voor onze concurrentiepositie? Als wij in onze fabriek een exact, innovatief recept moeten uploaden naar een EGA-database, gooien we ons intellectueel eigendom dan niet gewoon op straat? Nou, als we dit in een breder perspectief plaatsen, is dat inderdaad de grootste vrees van de industrie. Ja hek en mijn Aziatische concurrent heeft mijn miljoenen dollar recept En precies daarom bestaat er voor de zware chemie een edge case De zogenaamde limited submission Een beperkte indiening. Vertel, hoe werkt dat? Dit geldt uitsluitend voor mengsels voor industrieel gebruik. Bij een limited submission hoef je de exacte concentraties en samenstelling uit sectie 3 van je SDS niet volledig in die centrale database te zetten. Echt waar? Dus je R&amp;D geheim blijft intern? Ja, maar er is een stevige voorwaarde. De perfecte balans tussen veiligheid en R&amp;D bescherming. Je moet verplicht een lokaal noodnummer hebben dat 24 uur per dag, 7 dagen per week bereikbaar is. Oh wauw, dus je moet een arts paraat hebben? Ja, die persoon moet direct in de landstaal kunnen communiceren met de behandelend arts van het antigifcentrum en toegang hebben tot jullie interne systemen. Dat is een flinke investering, maar strategisch wel heel slim. Zeker. Je beschermt je receptuur, maar je garandeert wel de medische veiligheid in een noodsituatie. Laten we deze enorme duikende materie dan eens kort samenvatten... voor de luisteraar die morgen weer die fabriekspoorten binnenstapt. Oké. 1 Zorg dat je rol in de keten glashelder is 2 Houd die strakke deadlines van 6 en twaalf maanden scherp in de gaten Vooral met dat downstream user rapport Precies Drie, innoveer om SVHC's te vermijden voordat ze verboden worden. Kijk in groepen. En vier, maak als industrieel bedrijf slim gebruik van limited submissions om je bedrijfsgeheimen te bewaken. Prachtig kennisdossier zo. Maar ik wil onze luisteraar nog met één provocerende slotgedachte achterlaten, geïnspireerd door al deze bronnen. Kom maar op. De huidige trend binnen Europa is one substance, one assessment. Dus één enkele beoordeling over alles heen. Reach, cosmetica, voeding. Ja, dat wordt een massale, transparante database. Precies. Maar wat gebeurt er met de concurrentiepositie van onze zware chemie als deze radicale transparantie wereldwijd de standaard wordt? Dat is de grote vraag. Wordt deze bureaucratie onze ondergang ten opzichte van werelddelen zonder deze regels? Of, en dit is interessant, wordt deze regeldruk juist de ultieme motor van groene innovatie, waardoor we straks onverslijmbaar zijn? Iets om goed over na te denken. Zeker weten. Bedenk dat maar eens als je straks weer over het fabrieksterrein loopt. Heel erg bedankt voor het luisteren naar deze diepe duik en tot de volgende!</w:t>
      </w:r>
    </w:p>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color w:val="374151"/>
        <w:sz w:val="16"/>
      </w:rPr>
      <w:t>JvG Consultancy | Vergaderrapport | 14-08-2026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