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Segoe UI" w:hAnsi="Segoe UI"/>
          <w:b/>
          <w:color w:val="003366"/>
          <w:sz w:val="56"/>
        </w:rPr>
        <w:t>VERGADERRAPPORT</w:t>
      </w:r>
    </w:p>
    <w:p>
      <w:pPr>
        <w:jc w:val="center"/>
      </w:pPr>
      <w:r>
        <w:rPr>
          <w:rFonts w:ascii="Segoe UI" w:hAnsi="Segoe UI"/>
          <w:color w:val="374151"/>
          <w:sz w:val="32"/>
        </w:rPr>
        <w:t>Nieuwe_PGS_15_regels_voor_gevaarlijke_stoffen.m4a</w:t>
      </w:r>
    </w:p>
    <w:p/>
    <w:p>
      <w:pPr>
        <w:jc w:val="center"/>
      </w:pPr>
      <w:r>
        <w:rPr>
          <w:rFonts w:ascii="Segoe UI" w:hAnsi="Segoe UI"/>
          <w:color w:val="374151"/>
          <w:sz w:val="24"/>
        </w:rPr>
        <w:t>14-08-2026 • 11:22</w:t>
      </w:r>
    </w:p>
    <w:p/>
    <w:p>
      <w:pPr>
        <w:jc w:val="center"/>
      </w:pPr>
      <w:r>
        <w:rPr>
          <w:rFonts w:ascii="Segoe UI" w:hAnsi="Segoe UI"/>
          <w:b/>
          <w:color w:val="003366"/>
          <w:sz w:val="22"/>
        </w:rPr>
        <w:t>JvG Consultancy — Safety • Governance • Advisory</w:t>
      </w:r>
    </w:p>
    <w:p>
      <w:pPr>
        <w:jc w:val="right"/>
      </w:pPr>
      <w:r>
        <w:drawing>
          <wp:inline xmlns:a="http://schemas.openxmlformats.org/drawingml/2006/main" xmlns:pic="http://schemas.openxmlformats.org/drawingml/2006/picture">
            <wp:extent cx="720000" cy="6462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6200"/>
                    </a:xfrm>
                    <a:prstGeom prst="rect"/>
                  </pic:spPr>
                </pic:pic>
              </a:graphicData>
            </a:graphic>
          </wp:inline>
        </w:drawing>
      </w:r>
    </w:p>
    <w:p>
      <w:r>
        <w:br w:type="page"/>
      </w:r>
    </w:p>
    <w:p>
      <w:pPr>
        <w:pStyle w:val="Heading1"/>
      </w:pPr>
      <w:r>
        <w:rPr>
          <w:rFonts w:ascii="Segoe UI" w:hAnsi="Segoe UI"/>
          <w:color w:val="003366"/>
        </w:rPr>
        <w:t>Samenvatting</w:t>
      </w:r>
    </w:p>
    <w:p>
      <w:r>
        <w:rPr>
          <w:rFonts w:ascii="Segoe UI" w:hAnsi="Segoe UI"/>
          <w:color w:val="1F2937"/>
          <w:sz w:val="22"/>
        </w:rPr>
        <w:t>Deze ca. 24 minuten durende masterclass-aflevering behandelt diepgaand de PGS 15-richtlijn 2025 (Publicatiereeks Gevaarlijke Stoffen deel 15) voor de opslag van verpakte gevaarlijke stoffen. Twee presentatoren — een gastheer die structuur en kritische vragen aanreikt en een veiligheidsexpert die inhoudelijk verdiept — baseren zich op officiële publicaties van het Bestuurlijk Omgevingsberaad, factsheets van het Informatiepunt Leefomgeving, artikelen uit Warehouse Totaal, documentatie van Onderhoud NL en handhavingspraktijk van Omgevingsdienst DCMR. De kernboodschap: de 2025-update is geen traditionele herziening maar een paradigmaverschuifting — van het blinde afvinklijstje naar een scenario-gedreven risicobenadering, gekoppeld aan de Omgevingswet en het Besluit Activiteiten Leefomgeving (BAL). Besproken wijzigingen zijn onder meer: afschaffing van het onderscheid tussen binnen- en buitenopslag, verhoging van de sprinklerdrempel van 10 naar 20 ton (onder voorwaarde van zwaardere brandcompartimentering), vergroting van de veilige afstand van 10 naar 15 meter, het definiëren van daken met zonnepanelen als brandscheiding (spanning energietransitie versus brandveiligheid door gelijkstroom en vlambogen), de 30-minutenregel voor de AGS, de strikte 12-uurregel voor werkvoorraad, het gevaar van 'creeping normalisation', de zware bewijslast bij gelijkwaardige maatregelen en de door DCMR geëiste gap-analyse binnen drie maanden. De sessie sluit af met een toekomstbeeld van digital twins en algoritmisch toezicht, met de provocerende vraag of bedrijven klaar zijn voor een onzichtbare, datagedreven toezichthouder.</w:t>
      </w:r>
    </w:p>
    <w:p/>
    <w:p>
      <w:pPr>
        <w:pStyle w:val="Heading1"/>
      </w:pPr>
      <w:r>
        <w:rPr>
          <w:rFonts w:ascii="Segoe UI" w:hAnsi="Segoe UI"/>
          <w:color w:val="003366"/>
        </w:rPr>
        <w:t>Deelnemers</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Segoe UI" w:hAnsi="Segoe UI"/>
                <w:b/>
                <w:color w:val="FFFFFF"/>
                <w:sz w:val="20"/>
              </w:rPr>
              <w:t>Naam/Rol</w:t>
            </w:r>
          </w:p>
        </w:tc>
        <w:tc>
          <w:tcPr>
            <w:tcW w:type="dxa" w:w="3135"/>
            <w:shd w:fill="003366"/>
          </w:tcPr>
          <w:p>
            <w:r/>
            <w:r>
              <w:rPr>
                <w:rFonts w:ascii="Segoe UI" w:hAnsi="Segoe UI"/>
                <w:b/>
                <w:color w:val="FFFFFF"/>
                <w:sz w:val="20"/>
              </w:rPr>
              <w:t>Functie</w:t>
            </w:r>
          </w:p>
        </w:tc>
        <w:tc>
          <w:tcPr>
            <w:tcW w:type="dxa" w:w="3135"/>
            <w:shd w:fill="003366"/>
          </w:tcPr>
          <w:p>
            <w:r/>
            <w:r>
              <w:rPr>
                <w:rFonts w:ascii="Segoe UI" w:hAnsi="Segoe UI"/>
                <w:b/>
                <w:color w:val="FFFFFF"/>
                <w:sz w:val="20"/>
              </w:rPr>
              <w:t>Bijdrage</w:t>
            </w:r>
          </w:p>
        </w:tc>
      </w:tr>
      <w:tr>
        <w:tc>
          <w:tcPr>
            <w:tcW w:type="dxa" w:w="3135"/>
            <w:shd w:fill="F8F9FA"/>
          </w:tcPr>
          <w:p>
            <w:r/>
            <w:r>
              <w:rPr>
                <w:rFonts w:ascii="Segoe UI" w:hAnsi="Segoe UI"/>
                <w:color w:val="1F2937"/>
                <w:sz w:val="18"/>
              </w:rPr>
              <w:t>De presentator (gastheer)</w:t>
            </w:r>
          </w:p>
        </w:tc>
        <w:tc>
          <w:tcPr>
            <w:tcW w:type="dxa" w:w="3135"/>
            <w:shd w:fill="F8F9FA"/>
          </w:tcPr>
          <w:p>
            <w:r/>
            <w:r>
              <w:rPr>
                <w:rFonts w:ascii="Segoe UI" w:hAnsi="Segoe UI"/>
                <w:color w:val="1F2937"/>
                <w:sz w:val="18"/>
              </w:rPr>
              <w:t>Presentator/mediator van de masterclass</w:t>
            </w:r>
          </w:p>
        </w:tc>
        <w:tc>
          <w:tcPr>
            <w:tcW w:type="dxa" w:w="3135"/>
            <w:shd w:fill="F8F9FA"/>
          </w:tcPr>
          <w:p>
            <w:r/>
            <w:r>
              <w:rPr>
                <w:rFonts w:ascii="Segoe UI" w:hAnsi="Segoe UI"/>
                <w:color w:val="1F2937"/>
                <w:sz w:val="18"/>
              </w:rPr>
              <w:t>Opent de sessie met een aansprekend beeld (klein regeltje als verschil tussen normale dinsdag en magazijnbrand), bepaalt de structuur (fundamenten, wijzigingen, praktijk, toekomst), stelt verdiepende vragen, speelt advocaat van de duivel over de scenario-benadering als 'juridische truc', en sluit af met de provocerende vraag over algoritmisch toezicht.</w:t>
            </w:r>
          </w:p>
        </w:tc>
      </w:tr>
      <w:tr>
        <w:tc>
          <w:tcPr>
            <w:tcW w:type="dxa" w:w="3135"/>
          </w:tcPr>
          <w:p>
            <w:r/>
            <w:r>
              <w:rPr>
                <w:rFonts w:ascii="Segoe UI" w:hAnsi="Segoe UI"/>
                <w:color w:val="1F2937"/>
                <w:sz w:val="18"/>
              </w:rPr>
              <w:t>De veiligheidsexpert (co-host)</w:t>
            </w:r>
          </w:p>
        </w:tc>
        <w:tc>
          <w:tcPr>
            <w:tcW w:type="dxa" w:w="3135"/>
          </w:tcPr>
          <w:p>
            <w:r/>
            <w:r>
              <w:rPr>
                <w:rFonts w:ascii="Segoe UI" w:hAnsi="Segoe UI"/>
                <w:color w:val="1F2937"/>
                <w:sz w:val="18"/>
              </w:rPr>
              <w:t>Veiligheidsconsultant/expert gevaarlijke stoffen</w:t>
            </w:r>
          </w:p>
        </w:tc>
        <w:tc>
          <w:tcPr>
            <w:tcW w:type="dxa" w:w="3135"/>
          </w:tcPr>
          <w:p>
            <w:r/>
            <w:r>
              <w:rPr>
                <w:rFonts w:ascii="Segoe UI" w:hAnsi="Segoe UI"/>
                <w:color w:val="1F2937"/>
                <w:sz w:val="18"/>
              </w:rPr>
              <w:t>Levert de inhoudelijke verdieping: verklaart de drie wettelijke pijlers, het onderscheid verpakte stoffen versus opslagtanks (PGS 29), de viscositeitsregel bij 6500 mPa·s, de risicobenadering met scenario 1 (heftruck aanrijding) en scenario 2 (verpakkingsfalen door ouderdom), de vier beschermingsniveaus, de zonnepanelenparadox, de AGS 30-minutenregel, de DCMR gap-analyse en het fenomeen creeping normalisation.</w:t>
            </w:r>
          </w:p>
        </w:tc>
      </w:tr>
    </w:tbl>
    <w:p/>
    <w:p>
      <w:pPr>
        <w:pStyle w:val="Heading1"/>
      </w:pPr>
      <w:r>
        <w:rPr>
          <w:rFonts w:ascii="Segoe UI" w:hAnsi="Segoe UI"/>
          <w:color w:val="003366"/>
        </w:rPr>
        <w:t>Onderwerpen</w:t>
      </w:r>
    </w:p>
    <w:p>
      <w:pPr>
        <w:pStyle w:val="Heading2"/>
      </w:pPr>
      <w:r>
        <w:rPr>
          <w:rFonts w:ascii="Segoe UI" w:hAnsi="Segoe UI"/>
          <w:color w:val="003366"/>
        </w:rPr>
        <w:t>Fundamenten van de PGS 15: drie wettelijke pijlers en reikwijdte 'verpakte stoffen'</w:t>
      </w:r>
    </w:p>
    <w:p>
      <w:r>
        <w:rPr>
          <w:rFonts w:ascii="Segoe UI" w:hAnsi="Segoe UI"/>
          <w:i/>
          <w:color w:val="374151"/>
          <w:sz w:val="18"/>
        </w:rPr>
        <w:t>Sentiment: neutraal</w:t>
      </w:r>
    </w:p>
    <w:p>
      <w:pPr>
        <w:pStyle w:val="ListBullet"/>
      </w:pPr>
      <w:r>
        <w:rPr>
          <w:rFonts w:ascii="Segoe UI" w:hAnsi="Segoe UI"/>
          <w:color w:val="1F2937"/>
          <w:sz w:val="20"/>
        </w:rPr>
        <w:t>PGS 15 (Publicatiereeks Gevaarlijke Stoffen deel 15) is het wettelijke zwaartepunt voor opslag van verpakte gevaarlijke stoffen en het kloppend hart van de omgevingsvergunning voor duizenden bedrijven</w:t>
      </w:r>
    </w:p>
    <w:p>
      <w:pPr>
        <w:pStyle w:val="ListBullet"/>
      </w:pPr>
      <w:r>
        <w:rPr>
          <w:rFonts w:ascii="Segoe UI" w:hAnsi="Segoe UI"/>
          <w:color w:val="1F2937"/>
          <w:sz w:val="20"/>
        </w:rPr>
        <w:t>Drie pijlers: omgevingsveiligheid (bodem, oppervlaktewater, omgeving), arbeidsveiligheid (werknemer, dampen, stellages) en brand- en rampenbestrijding (hulpverlening, bluswater)</w:t>
      </w:r>
    </w:p>
    <w:p>
      <w:pPr>
        <w:pStyle w:val="ListBullet"/>
      </w:pPr>
      <w:r>
        <w:rPr>
          <w:rFonts w:ascii="Segoe UI" w:hAnsi="Segoe UI"/>
          <w:color w:val="1F2937"/>
          <w:sz w:val="20"/>
        </w:rPr>
        <w:t>Reikwijdte: verpakte stoffen (vaten, IBC's, jerrycans, gasflessen) vanwege mobiliteit en kwetsbaarheid; tanks vallen onder PGS 29; classificaties via ADR (klasse 2 gassen, 3 brandbare vloeistoffen, 6.1 toxisch), CLP-symbolen en CMR-stoffen</w:t>
      </w:r>
    </w:p>
    <w:p>
      <w:pPr>
        <w:pStyle w:val="ListBullet"/>
      </w:pPr>
      <w:r>
        <w:rPr>
          <w:rFonts w:ascii="Segoe UI" w:hAnsi="Segoe UI"/>
          <w:color w:val="1F2937"/>
          <w:sz w:val="20"/>
        </w:rPr>
        <w:t>Viscositeitsregel: boven 6500 millipascal-seconde gedraagt een lekkage zich stroperig en blijft brand lokaal, waardoor onder voorwaarden goedkopere opslag mogelijk is</w:t>
      </w:r>
    </w:p>
    <w:p>
      <w:pPr>
        <w:pStyle w:val="Heading2"/>
      </w:pPr>
      <w:r>
        <w:rPr>
          <w:rFonts w:ascii="Segoe UI" w:hAnsi="Segoe UI"/>
          <w:color w:val="003366"/>
        </w:rPr>
        <w:t>Paradigmaverschuiving 2025: scenario-gedreven risicobenadering en vier beschermingsniveaus</w:t>
      </w:r>
    </w:p>
    <w:p>
      <w:r>
        <w:rPr>
          <w:rFonts w:ascii="Segoe UI" w:hAnsi="Segoe UI"/>
          <w:i/>
          <w:color w:val="374151"/>
          <w:sz w:val="18"/>
        </w:rPr>
        <w:t>Sentiment: positief</w:t>
      </w:r>
    </w:p>
    <w:p>
      <w:pPr>
        <w:pStyle w:val="ListBullet"/>
      </w:pPr>
      <w:r>
        <w:rPr>
          <w:rFonts w:ascii="Segoe UI" w:hAnsi="Segoe UI"/>
          <w:color w:val="1F2937"/>
          <w:sz w:val="20"/>
        </w:rPr>
        <w:t>PGS 15 is onlosmakelijk verbonden met de Omgevingswet en het Besluit Activiteiten Leefomgeving (BAL); de tijd van simpel tabel-lezen (500 liter = maatregel X) is voorbij</w:t>
      </w:r>
    </w:p>
    <w:p>
      <w:pPr>
        <w:pStyle w:val="ListBullet"/>
      </w:pPr>
      <w:r>
        <w:rPr>
          <w:rFonts w:ascii="Segoe UI" w:hAnsi="Segoe UI"/>
          <w:color w:val="1F2937"/>
          <w:sz w:val="20"/>
        </w:rPr>
        <w:t>Bedrijven moeten realistische rampscenario's analyseren (o.a. heftruck rijdt verpakking aanrijd, verpakkingsfalen door ouderdom/corrosie) vóórdat ze maatregelen kiezen</w:t>
      </w:r>
    </w:p>
    <w:p>
      <w:pPr>
        <w:pStyle w:val="ListBullet"/>
      </w:pPr>
      <w:r>
        <w:rPr>
          <w:rFonts w:ascii="Segoe UI" w:hAnsi="Segoe UI"/>
          <w:color w:val="1F2937"/>
          <w:sz w:val="20"/>
        </w:rPr>
        <w:t>Doel: uitbannen van schijnveiligheid (lekbakken als oud-ijzer-opslag of ingedeukt door heftrucks); harde maatregelen blijven staan maar zijn nu gekoppeld aan falen van specifieke processen</w:t>
      </w:r>
    </w:p>
    <w:p>
      <w:pPr>
        <w:pStyle w:val="ListBullet"/>
      </w:pPr>
      <w:r>
        <w:rPr>
          <w:rFonts w:ascii="Segoe UI" w:hAnsi="Segoe UI"/>
          <w:color w:val="1F2937"/>
          <w:sz w:val="20"/>
        </w:rPr>
        <w:t>Dubbele beschermingsniveaus (milieu vs. arbo) gestroomlijnd naar vier niveaus: basisveiligheid, oplopend naar A, B en C; niveau A triggert actieve brandblusinstallaties</w:t>
      </w:r>
    </w:p>
    <w:p>
      <w:pPr>
        <w:pStyle w:val="Heading2"/>
      </w:pPr>
      <w:r>
        <w:rPr>
          <w:rFonts w:ascii="Segoe UI" w:hAnsi="Segoe UI"/>
          <w:color w:val="003366"/>
        </w:rPr>
        <w:t>Brandveiligheid: einde binnen/buiten-onderscheid, nieuwe drempels en afstanden</w:t>
      </w:r>
    </w:p>
    <w:p>
      <w:r>
        <w:rPr>
          <w:rFonts w:ascii="Segoe UI" w:hAnsi="Segoe UI"/>
          <w:i/>
          <w:color w:val="374151"/>
          <w:sz w:val="18"/>
        </w:rPr>
        <w:t>Sentiment: negatief</w:t>
      </w:r>
    </w:p>
    <w:p>
      <w:pPr>
        <w:pStyle w:val="ListBullet"/>
      </w:pPr>
      <w:r>
        <w:rPr>
          <w:rFonts w:ascii="Segoe UI" w:hAnsi="Segoe UI"/>
          <w:color w:val="1F2937"/>
          <w:sz w:val="20"/>
        </w:rPr>
        <w:t>Historisch onderscheid tussen binnen- en buitenopslag vervallen: buitenbrand veroorzaakt dezelfde stralingswarmte en toxische rook, soms lastiger beheersbaar door wind</w:t>
      </w:r>
    </w:p>
    <w:p>
      <w:pPr>
        <w:pStyle w:val="ListBullet"/>
      </w:pPr>
      <w:r>
        <w:rPr>
          <w:rFonts w:ascii="Segoe UI" w:hAnsi="Segoe UI"/>
          <w:color w:val="1F2937"/>
          <w:sz w:val="20"/>
        </w:rPr>
        <w:t>Sprinklerverplichting-drempel verhoogd van 10 naar 20 ton — geen vrijbrief: alleen toegestaan bij opschroeven van passieve bouwkundige veiligheid en hoogwaardige brandcompartimentering</w:t>
      </w:r>
    </w:p>
    <w:p>
      <w:pPr>
        <w:pStyle w:val="ListBullet"/>
      </w:pPr>
      <w:r>
        <w:rPr>
          <w:rFonts w:ascii="Segoe UI" w:hAnsi="Segoe UI"/>
          <w:color w:val="1F2937"/>
          <w:sz w:val="20"/>
        </w:rPr>
        <w:t>Minimale veilige afstand naar omliggende gebouwen opgehoogd van 10 naar 15 meter, tenzij brandwerende muur; 5 meter extra is op volgebouwd industrieterrein vaak een 'architectonische onmogelijkheid'</w:t>
      </w:r>
    </w:p>
    <w:p>
      <w:pPr>
        <w:pStyle w:val="ListBullet"/>
      </w:pPr>
      <w:r>
        <w:rPr>
          <w:rFonts w:ascii="Segoe UI" w:hAnsi="Segoe UI"/>
          <w:color w:val="1F2937"/>
          <w:sz w:val="20"/>
        </w:rPr>
        <w:t>Compensatie zonder 15 meter: investeren in peperdure brandwerende gevels; prioriteit ligt op voorkomen van brandoverslag naar buurpanden</w:t>
      </w:r>
    </w:p>
    <w:p>
      <w:pPr>
        <w:pStyle w:val="Heading2"/>
      </w:pPr>
      <w:r>
        <w:rPr>
          <w:rFonts w:ascii="Segoe UI" w:hAnsi="Segoe UI"/>
          <w:color w:val="003366"/>
        </w:rPr>
        <w:t>Zonnepanelen: botsing energietransitie en chemische veiligheid</w:t>
      </w:r>
    </w:p>
    <w:p>
      <w:r>
        <w:rPr>
          <w:rFonts w:ascii="Segoe UI" w:hAnsi="Segoe UI"/>
          <w:i/>
          <w:color w:val="374151"/>
          <w:sz w:val="18"/>
        </w:rPr>
        <w:t>Sentiment: negatief</w:t>
      </w:r>
    </w:p>
    <w:p>
      <w:pPr>
        <w:pStyle w:val="ListBullet"/>
      </w:pPr>
      <w:r>
        <w:rPr>
          <w:rFonts w:ascii="Segoe UI" w:hAnsi="Segoe UI"/>
          <w:color w:val="1F2937"/>
          <w:sz w:val="20"/>
        </w:rPr>
        <w:t>Zonnepanelen produceren altijd gelijkstroom zolang er licht is en kunnen niet worden uitgeschakeld bij calamiteiten</w:t>
      </w:r>
    </w:p>
    <w:p>
      <w:pPr>
        <w:pStyle w:val="ListBullet"/>
      </w:pPr>
      <w:r>
        <w:rPr>
          <w:rFonts w:ascii="Segoe UI" w:hAnsi="Segoe UI"/>
          <w:color w:val="1F2937"/>
          <w:sz w:val="20"/>
        </w:rPr>
        <w:t>Beschadigde bekabeling kan vlambogen veroorzaken die binnen minuten door standaard dakbedekking (bitumen op lichte staaldaken) smelten; vuur valt van bovenaf de chemische opslag in</w:t>
      </w:r>
    </w:p>
    <w:p>
      <w:pPr>
        <w:pStyle w:val="ListBullet"/>
      </w:pPr>
      <w:r>
        <w:rPr>
          <w:rFonts w:ascii="Segoe UI" w:hAnsi="Segoe UI"/>
          <w:color w:val="1F2937"/>
          <w:sz w:val="20"/>
        </w:rPr>
        <w:t>2025-versie: dakvlak met panelen wordt gedefinieerd als harde brandscheiding — brand bovenop mag onmogelijk doorslaan naar de ruimte eronder</w:t>
      </w:r>
    </w:p>
    <w:p>
      <w:pPr>
        <w:pStyle w:val="ListBullet"/>
      </w:pPr>
      <w:r>
        <w:rPr>
          <w:rFonts w:ascii="Segoe UI" w:hAnsi="Segoe UI"/>
          <w:color w:val="1F2937"/>
          <w:sz w:val="20"/>
        </w:rPr>
        <w:t>Voor duizenden bestaande lichte staaldaken een technische en financiële nachtmerrie; spanning tussen verduurzamingsdruk/subsidies en veiligheidseisen</w:t>
      </w:r>
    </w:p>
    <w:p>
      <w:pPr>
        <w:pStyle w:val="Heading2"/>
      </w:pPr>
      <w:r>
        <w:rPr>
          <w:rFonts w:ascii="Segoe UI" w:hAnsi="Segoe UI"/>
          <w:color w:val="003366"/>
        </w:rPr>
        <w:t>Informatievoorziening hulpdiensten en de AGS 30-minutenregel</w:t>
      </w:r>
    </w:p>
    <w:p>
      <w:r>
        <w:rPr>
          <w:rFonts w:ascii="Segoe UI" w:hAnsi="Segoe UI"/>
          <w:i/>
          <w:color w:val="374151"/>
          <w:sz w:val="18"/>
        </w:rPr>
        <w:t>Sentiment: negatief</w:t>
      </w:r>
    </w:p>
    <w:p>
      <w:pPr>
        <w:pStyle w:val="ListBullet"/>
      </w:pPr>
      <w:r>
        <w:rPr>
          <w:rFonts w:ascii="Segoe UI" w:hAnsi="Segoe UI"/>
          <w:color w:val="1F2937"/>
          <w:sz w:val="20"/>
        </w:rPr>
        <w:t>Papieren mapje in de portiersloge is niet langer voldoende; real-time inlichtingen vereist bij eerste melding</w:t>
      </w:r>
    </w:p>
    <w:p>
      <w:pPr>
        <w:pStyle w:val="ListBullet"/>
      </w:pPr>
      <w:r>
        <w:rPr>
          <w:rFonts w:ascii="Segoe UI" w:hAnsi="Segoe UI"/>
          <w:color w:val="1F2937"/>
          <w:sz w:val="20"/>
        </w:rPr>
        <w:t>AGS (Adviseur Gevaarlijke Stoffen) moet binnen exact 30 minuten een tot op de kilo nauwkeurig overzicht hebben van chemische samenstelling van de brandhaard</w:t>
      </w:r>
    </w:p>
    <w:p>
      <w:pPr>
        <w:pStyle w:val="ListBullet"/>
      </w:pPr>
      <w:r>
        <w:rPr>
          <w:rFonts w:ascii="Segoe UI" w:hAnsi="Segoe UI"/>
          <w:color w:val="1F2937"/>
          <w:sz w:val="20"/>
        </w:rPr>
        <w:t>Op basis van deze data draait de AGS verspreidingsmodellen en beslist de burgemeester over ontruiming/sirenes; foutieve administratie = 'roulette met de volksgezondheid'</w:t>
      </w:r>
    </w:p>
    <w:p>
      <w:pPr>
        <w:pStyle w:val="Heading2"/>
      </w:pPr>
      <w:r>
        <w:rPr>
          <w:rFonts w:ascii="Segoe UI" w:hAnsi="Segoe UI"/>
          <w:color w:val="003366"/>
        </w:rPr>
        <w:t>Praktijk: gelijkwaardige maatregelen, de 12-uurregel en creeping normalisation</w:t>
      </w:r>
    </w:p>
    <w:p>
      <w:r>
        <w:rPr>
          <w:rFonts w:ascii="Segoe UI" w:hAnsi="Segoe UI"/>
          <w:i/>
          <w:color w:val="374151"/>
          <w:sz w:val="18"/>
        </w:rPr>
        <w:t>Sentiment: negatief</w:t>
      </w:r>
    </w:p>
    <w:p>
      <w:pPr>
        <w:pStyle w:val="ListBullet"/>
      </w:pPr>
      <w:r>
        <w:rPr>
          <w:rFonts w:ascii="Segoe UI" w:hAnsi="Segoe UI"/>
          <w:color w:val="1F2937"/>
          <w:sz w:val="20"/>
        </w:rPr>
        <w:t>Gelijkwaardige maatregelen zijn géén juridische escape: verpletterende bewijslast via peperdure ingenieursberekeningen en formele voorafgaande goedkeuring van het bevoegd gezag</w:t>
      </w:r>
    </w:p>
    <w:p>
      <w:pPr>
        <w:pStyle w:val="ListBullet"/>
      </w:pPr>
      <w:r>
        <w:rPr>
          <w:rFonts w:ascii="Segoe UI" w:hAnsi="Segoe UI"/>
          <w:color w:val="1F2937"/>
          <w:sz w:val="20"/>
        </w:rPr>
        <w:t>12-uurregel: geloste producten moeten uiterlijk binnen 12 uur in goedgekeurde opslagvoorziening staan; klokslag 12 uur en 1 minuut = illegale opslag; past het niet in de bunker, dan mag de vrachtwagen niet gelost worden</w:t>
      </w:r>
    </w:p>
    <w:p>
      <w:pPr>
        <w:pStyle w:val="ListBullet"/>
      </w:pPr>
      <w:r>
        <w:rPr>
          <w:rFonts w:ascii="Segoe UI" w:hAnsi="Segoe UI"/>
          <w:color w:val="1F2937"/>
          <w:sz w:val="20"/>
        </w:rPr>
        <w:t>Creeping normalisation: vrijwel elke grote magazijnbrand (zoals Moerdijk) begon in de marges — de ene 'tijdelijke' pallet bij de laaddocks die drie weken blijft staan</w:t>
      </w:r>
    </w:p>
    <w:p>
      <w:pPr>
        <w:pStyle w:val="ListBullet"/>
      </w:pPr>
      <w:r>
        <w:rPr>
          <w:rFonts w:ascii="Segoe UI" w:hAnsi="Segoe UI"/>
          <w:color w:val="1F2937"/>
          <w:sz w:val="20"/>
        </w:rPr>
        <w:t>DCMR eist een formele, gedocumenteerde gap-analyse binnen 3 maanden, inclusief tijdgebonden plan van aanpak; doet de ondernemer het niet, dan doet de inspecteur het en volgt directe handhaving</w:t>
      </w:r>
    </w:p>
    <w:p>
      <w:pPr>
        <w:pStyle w:val="Heading2"/>
      </w:pPr>
      <w:r>
        <w:rPr>
          <w:rFonts w:ascii="Segoe UI" w:hAnsi="Segoe UI"/>
          <w:color w:val="003366"/>
        </w:rPr>
        <w:t>Toekomstbeeld: digital twins en algoritmisch toezicht</w:t>
      </w:r>
    </w:p>
    <w:p>
      <w:r>
        <w:rPr>
          <w:rFonts w:ascii="Segoe UI" w:hAnsi="Segoe UI"/>
          <w:i/>
          <w:color w:val="374151"/>
          <w:sz w:val="18"/>
        </w:rPr>
        <w:t>Sentiment: neutraal</w:t>
      </w:r>
    </w:p>
    <w:p>
      <w:pPr>
        <w:pStyle w:val="ListBullet"/>
      </w:pPr>
      <w:r>
        <w:rPr>
          <w:rFonts w:ascii="Segoe UI" w:hAnsi="Segoe UI"/>
          <w:color w:val="1F2937"/>
          <w:sz w:val="20"/>
        </w:rPr>
        <w:t>Digital twin: real-time digitale kopie van de fysieke loods gekoppeld aan weegcellen, ventilatie en warmtekamera's</w:t>
      </w:r>
    </w:p>
    <w:p>
      <w:pPr>
        <w:pStyle w:val="ListBullet"/>
      </w:pPr>
      <w:r>
        <w:rPr>
          <w:rFonts w:ascii="Segoe UI" w:hAnsi="Segoe UI"/>
          <w:color w:val="1F2937"/>
          <w:sz w:val="20"/>
        </w:rPr>
        <w:t>Toekomstscenario: toezichthoudend algoritme gekoppeld aan de Omgevingswet-database schort bij overschrijding (bijv. vat nr. 60 boven 20 ton in compartiment zonder sprinkler) automatisch digitaal de vergunning op schort</w:t>
      </w:r>
    </w:p>
    <w:p>
      <w:pPr>
        <w:pStyle w:val="ListBullet"/>
      </w:pPr>
      <w:r>
        <w:rPr>
          <w:rFonts w:ascii="Segoe UI" w:hAnsi="Segoe UI"/>
          <w:color w:val="1F2937"/>
          <w:sz w:val="20"/>
        </w:rPr>
        <w:t>Slotconclusie: het papier verdwijnt en maakt plaats voor onverbiddelijke data; scenario's en fysiek magazijn moeten naadloos op elkaar aansluiten</w:t>
      </w:r>
    </w:p>
    <w:p/>
    <w:p>
      <w:pPr>
        <w:pStyle w:val="Heading1"/>
      </w:pPr>
      <w:r>
        <w:rPr>
          <w:rFonts w:ascii="Segoe UI" w:hAnsi="Segoe UI"/>
          <w:color w:val="003366"/>
        </w:rPr>
        <w:t>Beslissingen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Beslissing</w:t>
            </w:r>
          </w:p>
        </w:tc>
        <w:tc>
          <w:tcPr>
            <w:tcW w:type="dxa" w:w="2351"/>
            <w:shd w:fill="003366"/>
          </w:tcPr>
          <w:p>
            <w:r/>
            <w:r>
              <w:rPr>
                <w:rFonts w:ascii="Segoe UI" w:hAnsi="Segoe UI"/>
                <w:b/>
                <w:color w:val="FFFFFF"/>
                <w:sz w:val="20"/>
              </w:rPr>
              <w:t>Voorgesteld door</w:t>
            </w:r>
          </w:p>
        </w:tc>
        <w:tc>
          <w:tcPr>
            <w:tcW w:type="dxa" w:w="2351"/>
            <w:shd w:fill="003366"/>
          </w:tcPr>
          <w:p>
            <w:r/>
            <w:r>
              <w:rPr>
                <w:rFonts w:ascii="Segoe UI" w:hAnsi="Segoe UI"/>
                <w:b/>
                <w:color w:val="FFFFFF"/>
                <w:sz w:val="20"/>
              </w:rPr>
              <w:t>Goedgekeurd door</w:t>
            </w:r>
          </w:p>
        </w:tc>
        <w:tc>
          <w:tcPr>
            <w:tcW w:type="dxa" w:w="2351"/>
            <w:shd w:fill="003366"/>
          </w:tcPr>
          <w:p>
            <w:r/>
            <w:r>
              <w:rPr>
                <w:rFonts w:ascii="Segoe UI" w:hAnsi="Segoe UI"/>
                <w:b/>
                <w:color w:val="FFFFFF"/>
                <w:sz w:val="20"/>
              </w:rPr>
              <w:t>Rationale</w:t>
            </w:r>
          </w:p>
        </w:tc>
      </w:tr>
      <w:tr>
        <w:tc>
          <w:tcPr>
            <w:tcW w:type="dxa" w:w="2351"/>
            <w:shd w:fill="F8F9FA"/>
          </w:tcPr>
          <w:p>
            <w:r/>
            <w:r>
              <w:rPr>
                <w:rFonts w:ascii="Segoe UI" w:hAnsi="Segoe UI"/>
                <w:color w:val="1F2937"/>
                <w:sz w:val="18"/>
              </w:rPr>
              <w:t>Onderscheid tussen binnenopslag en buitenopslag in de PGS 15 2025 volledig afschaffen; dezelfde strikte normen gelden voor beide</w:t>
            </w:r>
          </w:p>
        </w:tc>
        <w:tc>
          <w:tcPr>
            <w:tcW w:type="dxa" w:w="2351"/>
            <w:shd w:fill="F8F9FA"/>
          </w:tcPr>
          <w:p>
            <w:r/>
            <w:r>
              <w:rPr>
                <w:rFonts w:ascii="Segoe UI" w:hAnsi="Segoe UI"/>
                <w:color w:val="1F2937"/>
                <w:sz w:val="18"/>
              </w:rPr>
              <w:t>Regelgever / opstellers PGS 15 (genoemd door de expert)</w:t>
            </w:r>
          </w:p>
        </w:tc>
        <w:tc>
          <w:tcPr>
            <w:tcW w:type="dxa" w:w="2351"/>
            <w:shd w:fill="F8F9FA"/>
          </w:tcPr>
          <w:p>
            <w:r/>
            <w:r>
              <w:rPr>
                <w:rFonts w:ascii="Segoe UI" w:hAnsi="Segoe UI"/>
                <w:color w:val="1F2937"/>
                <w:sz w:val="18"/>
              </w:rPr>
              <w:t>Wetgever (verankerd in PGS 15 2025)</w:t>
            </w:r>
          </w:p>
        </w:tc>
        <w:tc>
          <w:tcPr>
            <w:tcW w:type="dxa" w:w="2351"/>
            <w:shd w:fill="F8F9FA"/>
          </w:tcPr>
          <w:p>
            <w:r/>
            <w:r>
              <w:rPr>
                <w:rFonts w:ascii="Segoe UI" w:hAnsi="Segoe UI"/>
                <w:color w:val="1F2937"/>
                <w:sz w:val="18"/>
              </w:rPr>
              <w:t>Uitslaande brand buiten produceert dezelfde stralingswarmte en toxische rook als binnen; impact op omgeving is identiek, buiten soms lastiger beheersbaar door wind</w:t>
            </w:r>
          </w:p>
        </w:tc>
      </w:tr>
      <w:tr>
        <w:tc>
          <w:tcPr>
            <w:tcW w:type="dxa" w:w="2351"/>
          </w:tcPr>
          <w:p>
            <w:r/>
            <w:r>
              <w:rPr>
                <w:rFonts w:ascii="Segoe UI" w:hAnsi="Segoe UI"/>
                <w:color w:val="1F2937"/>
                <w:sz w:val="18"/>
              </w:rPr>
              <w:t>Drempel voor verplichte actieve brandblusinstallatie (sprinklers) verhoogd van 10 naar 20 ton, gekoppeld aan opschroeven van passieve bouwkundige veiligheid</w:t>
            </w:r>
          </w:p>
        </w:tc>
        <w:tc>
          <w:tcPr>
            <w:tcW w:type="dxa" w:w="2351"/>
          </w:tcPr>
          <w:p>
            <w:r/>
            <w:r>
              <w:rPr>
                <w:rFonts w:ascii="Segoe UI" w:hAnsi="Segoe UI"/>
                <w:color w:val="1F2937"/>
                <w:sz w:val="18"/>
              </w:rPr>
              <w:t>Regelgever</w:t>
            </w:r>
          </w:p>
        </w:tc>
        <w:tc>
          <w:tcPr>
            <w:tcW w:type="dxa" w:w="2351"/>
          </w:tcPr>
          <w:p>
            <w:r/>
            <w:r>
              <w:rPr>
                <w:rFonts w:ascii="Segoe UI" w:hAnsi="Segoe UI"/>
                <w:color w:val="1F2937"/>
                <w:sz w:val="18"/>
              </w:rPr>
              <w:t>Wetgever (PGS 15 2025)</w:t>
            </w:r>
          </w:p>
        </w:tc>
        <w:tc>
          <w:tcPr>
            <w:tcW w:type="dxa" w:w="2351"/>
          </w:tcPr>
          <w:p>
            <w:r/>
            <w:r>
              <w:rPr>
                <w:rFonts w:ascii="Segoe UI" w:hAnsi="Segoe UI"/>
                <w:color w:val="1F2937"/>
                <w:sz w:val="18"/>
              </w:rPr>
              <w:t>Grotere hoeveelheid alleen aanvaardbaar als het vuur bouwkundig kan worden ingesloten via extreem hoogwaardige brandcompartimentering</w:t>
            </w:r>
          </w:p>
        </w:tc>
      </w:tr>
      <w:tr>
        <w:tc>
          <w:tcPr>
            <w:tcW w:type="dxa" w:w="2351"/>
            <w:shd w:fill="F8F9FA"/>
          </w:tcPr>
          <w:p>
            <w:r/>
            <w:r>
              <w:rPr>
                <w:rFonts w:ascii="Segoe UI" w:hAnsi="Segoe UI"/>
                <w:color w:val="1F2937"/>
                <w:sz w:val="18"/>
              </w:rPr>
              <w:t>Minimale veilige afstand van opslag tot omliggende gebouwen verhoogd van 10 naar 15 meter, tenzij brandwerende muur aanwezig</w:t>
            </w:r>
          </w:p>
        </w:tc>
        <w:tc>
          <w:tcPr>
            <w:tcW w:type="dxa" w:w="2351"/>
            <w:shd w:fill="F8F9FA"/>
          </w:tcPr>
          <w:p>
            <w:r/>
            <w:r>
              <w:rPr>
                <w:rFonts w:ascii="Segoe UI" w:hAnsi="Segoe UI"/>
                <w:color w:val="1F2937"/>
                <w:sz w:val="18"/>
              </w:rPr>
              <w:t>Regelgever</w:t>
            </w:r>
          </w:p>
        </w:tc>
        <w:tc>
          <w:tcPr>
            <w:tcW w:type="dxa" w:w="2351"/>
            <w:shd w:fill="F8F9FA"/>
          </w:tcPr>
          <w:p>
            <w:r/>
            <w:r>
              <w:rPr>
                <w:rFonts w:ascii="Segoe UI" w:hAnsi="Segoe UI"/>
                <w:color w:val="1F2937"/>
                <w:sz w:val="18"/>
              </w:rPr>
              <w:t>Wetgever (PGS 15 2025)</w:t>
            </w:r>
          </w:p>
        </w:tc>
        <w:tc>
          <w:tcPr>
            <w:tcW w:type="dxa" w:w="2351"/>
            <w:shd w:fill="F8F9FA"/>
          </w:tcPr>
          <w:p>
            <w:r/>
            <w:r>
              <w:rPr>
                <w:rFonts w:ascii="Segoe UI" w:hAnsi="Segoe UI"/>
                <w:color w:val="1F2937"/>
                <w:sz w:val="18"/>
              </w:rPr>
              <w:t>Voortschrijdend inzicht in hittestralingsgedrag bij moderne branden; absolute prioriteit voor voorkomen van brandoverslag naar buurpanden</w:t>
            </w:r>
          </w:p>
        </w:tc>
      </w:tr>
      <w:tr>
        <w:tc>
          <w:tcPr>
            <w:tcW w:type="dxa" w:w="2351"/>
          </w:tcPr>
          <w:p>
            <w:r/>
            <w:r>
              <w:rPr>
                <w:rFonts w:ascii="Segoe UI" w:hAnsi="Segoe UI"/>
                <w:color w:val="1F2937"/>
                <w:sz w:val="18"/>
              </w:rPr>
              <w:t>Dakvlak met zonnepanelen wordt gedefinieerd als harde brandscheiding</w:t>
            </w:r>
          </w:p>
        </w:tc>
        <w:tc>
          <w:tcPr>
            <w:tcW w:type="dxa" w:w="2351"/>
          </w:tcPr>
          <w:p>
            <w:r/>
            <w:r>
              <w:rPr>
                <w:rFonts w:ascii="Segoe UI" w:hAnsi="Segoe UI"/>
                <w:color w:val="1F2937"/>
                <w:sz w:val="18"/>
              </w:rPr>
              <w:t>Veiligheidsautoriteit</w:t>
            </w:r>
          </w:p>
        </w:tc>
        <w:tc>
          <w:tcPr>
            <w:tcW w:type="dxa" w:w="2351"/>
          </w:tcPr>
          <w:p>
            <w:r/>
            <w:r>
              <w:rPr>
                <w:rFonts w:ascii="Segoe UI" w:hAnsi="Segoe UI"/>
                <w:color w:val="1F2937"/>
                <w:sz w:val="18"/>
              </w:rPr>
              <w:t>Wetgever (PGS 15 2025)</w:t>
            </w:r>
          </w:p>
        </w:tc>
        <w:tc>
          <w:tcPr>
            <w:tcW w:type="dxa" w:w="2351"/>
          </w:tcPr>
          <w:p>
            <w:r/>
            <w:r>
              <w:rPr>
                <w:rFonts w:ascii="Segoe UI" w:hAnsi="Segoe UI"/>
                <w:color w:val="1F2937"/>
                <w:sz w:val="18"/>
              </w:rPr>
              <w:t>Gelijkstroom kan niet worden uitgeschakeld; vlambogen kunnen door dakbedekking smelten en vuur valt van bovenaf in de chemische opslag</w:t>
            </w:r>
          </w:p>
        </w:tc>
      </w:tr>
      <w:tr>
        <w:tc>
          <w:tcPr>
            <w:tcW w:type="dxa" w:w="2351"/>
            <w:shd w:fill="F8F9FA"/>
          </w:tcPr>
          <w:p>
            <w:r/>
            <w:r>
              <w:rPr>
                <w:rFonts w:ascii="Segoe UI" w:hAnsi="Segoe UI"/>
                <w:color w:val="1F2937"/>
                <w:sz w:val="18"/>
              </w:rPr>
              <w:t>Geloste producten moeten binnen 12 uur in de goedgekeurde opslagvoorziening staan (12-uurregel), streng gehandhaafd</w:t>
            </w:r>
          </w:p>
        </w:tc>
        <w:tc>
          <w:tcPr>
            <w:tcW w:type="dxa" w:w="2351"/>
            <w:shd w:fill="F8F9FA"/>
          </w:tcPr>
          <w:p>
            <w:r/>
            <w:r>
              <w:rPr>
                <w:rFonts w:ascii="Segoe UI" w:hAnsi="Segoe UI"/>
                <w:color w:val="1F2937"/>
                <w:sz w:val="18"/>
              </w:rPr>
              <w:t>Regelgever</w:t>
            </w:r>
          </w:p>
        </w:tc>
        <w:tc>
          <w:tcPr>
            <w:tcW w:type="dxa" w:w="2351"/>
            <w:shd w:fill="F8F9FA"/>
          </w:tcPr>
          <w:p>
            <w:r/>
            <w:r>
              <w:rPr>
                <w:rFonts w:ascii="Segoe UI" w:hAnsi="Segoe UI"/>
                <w:color w:val="1F2937"/>
                <w:sz w:val="18"/>
              </w:rPr>
              <w:t>Wetgever (PGS 15 2025) en toezichthouders</w:t>
            </w:r>
          </w:p>
        </w:tc>
        <w:tc>
          <w:tcPr>
            <w:tcW w:type="dxa" w:w="2351"/>
            <w:shd w:fill="F8F9FA"/>
          </w:tcPr>
          <w:p>
            <w:r/>
            <w:r>
              <w:rPr>
                <w:rFonts w:ascii="Segoe UI" w:hAnsi="Segoe UI"/>
                <w:color w:val="1F2937"/>
                <w:sz w:val="18"/>
              </w:rPr>
              <w:t>Grootschalige magazijnbranden (o.a. Moerdijk) begonnen steevast bij tijdelijk weggezette pallets in de marges; regel doorbreekt creeping normalisation</w:t>
            </w:r>
          </w:p>
        </w:tc>
      </w:tr>
      <w:tr>
        <w:tc>
          <w:tcPr>
            <w:tcW w:type="dxa" w:w="2351"/>
          </w:tcPr>
          <w:p>
            <w:r/>
            <w:r>
              <w:rPr>
                <w:rFonts w:ascii="Segoe UI" w:hAnsi="Segoe UI"/>
                <w:color w:val="1F2937"/>
                <w:sz w:val="18"/>
              </w:rPr>
              <w:t>DCMR eist van bedrijven een formele, gedocumenteerde gap-analyse tussen huidige situatie en 2025-eisen, binnen drie maanden, inclusief tijdgebonden plan van aanpak</w:t>
            </w:r>
          </w:p>
        </w:tc>
        <w:tc>
          <w:tcPr>
            <w:tcW w:type="dxa" w:w="2351"/>
          </w:tcPr>
          <w:p>
            <w:r/>
            <w:r>
              <w:rPr>
                <w:rFonts w:ascii="Segoe UI" w:hAnsi="Segoe UI"/>
                <w:color w:val="1F2937"/>
                <w:sz w:val="18"/>
              </w:rPr>
              <w:t>Omgevingsdienst DCMR (toezichthouder)</w:t>
            </w:r>
          </w:p>
        </w:tc>
        <w:tc>
          <w:tcPr>
            <w:tcW w:type="dxa" w:w="2351"/>
          </w:tcPr>
          <w:p>
            <w:r/>
            <w:r>
              <w:rPr>
                <w:rFonts w:ascii="Segoe UI" w:hAnsi="Segoe UI"/>
                <w:color w:val="1F2937"/>
                <w:sz w:val="18"/>
              </w:rPr>
              <w:t>DCMR</w:t>
            </w:r>
          </w:p>
        </w:tc>
        <w:tc>
          <w:tcPr>
            <w:tcW w:type="dxa" w:w="2351"/>
          </w:tcPr>
          <w:p>
            <w:r/>
            <w:r>
              <w:rPr>
                <w:rFonts w:ascii="Segoe UI" w:hAnsi="Segoe UI"/>
                <w:color w:val="1F2937"/>
                <w:sz w:val="18"/>
              </w:rPr>
              <w:t>Bedrijven moeten zelf blinde vlekken in kaart brengen (dak, brandmeldinstallatie, te lange werkvoorraad); anders doet de inspecteur het en volgt directe handhaving</w:t>
            </w:r>
          </w:p>
        </w:tc>
      </w:tr>
      <w:tr>
        <w:tc>
          <w:tcPr>
            <w:tcW w:type="dxa" w:w="2351"/>
            <w:shd w:fill="F8F9FA"/>
          </w:tcPr>
          <w:p>
            <w:r/>
            <w:r>
              <w:rPr>
                <w:rFonts w:ascii="Segoe UI" w:hAnsi="Segoe UI"/>
                <w:color w:val="1F2937"/>
                <w:sz w:val="18"/>
              </w:rPr>
              <w:t>Vier beschermingsniveaus invoeren (basisveiligheid, A, B, C) ter vervanging van dubbele milieu/arbo-beschermingsniveaus</w:t>
            </w:r>
          </w:p>
        </w:tc>
        <w:tc>
          <w:tcPr>
            <w:tcW w:type="dxa" w:w="2351"/>
            <w:shd w:fill="F8F9FA"/>
          </w:tcPr>
          <w:p>
            <w:r/>
            <w:r>
              <w:rPr>
                <w:rFonts w:ascii="Segoe UI" w:hAnsi="Segoe UI"/>
                <w:color w:val="1F2937"/>
                <w:sz w:val="18"/>
              </w:rPr>
              <w:t>Regelgever (voortzetting van versimpeling uit 2016)</w:t>
            </w:r>
          </w:p>
        </w:tc>
        <w:tc>
          <w:tcPr>
            <w:tcW w:type="dxa" w:w="2351"/>
            <w:shd w:fill="F8F9FA"/>
          </w:tcPr>
          <w:p>
            <w:r/>
            <w:r>
              <w:rPr>
                <w:rFonts w:ascii="Segoe UI" w:hAnsi="Segoe UI"/>
                <w:color w:val="1F2937"/>
                <w:sz w:val="18"/>
              </w:rPr>
              <w:t>Wetgever</w:t>
            </w:r>
          </w:p>
        </w:tc>
        <w:tc>
          <w:tcPr>
            <w:tcW w:type="dxa" w:w="2351"/>
            <w:shd w:fill="F8F9FA"/>
          </w:tcPr>
          <w:p>
            <w:r/>
            <w:r>
              <w:rPr>
                <w:rFonts w:ascii="Segoe UI" w:hAnsi="Segoe UI"/>
                <w:color w:val="1F2937"/>
                <w:sz w:val="18"/>
              </w:rPr>
              <w:t>Eindeloze discussies met toezichthouders over welke norm (milieu of arbo) prevaleerde moesten stoppen; ruis uit de vergunningverlening halen</w:t>
            </w:r>
          </w:p>
        </w:tc>
      </w:tr>
    </w:tbl>
    <w:p/>
    <w:p>
      <w:pPr>
        <w:pStyle w:val="Heading1"/>
      </w:pPr>
      <w:r>
        <w:rPr>
          <w:rFonts w:ascii="Segoe UI" w:hAnsi="Segoe UI"/>
          <w:color w:val="003366"/>
        </w:rPr>
        <w:t>Actiepunten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Actie</w:t>
            </w:r>
          </w:p>
        </w:tc>
        <w:tc>
          <w:tcPr>
            <w:tcW w:type="dxa" w:w="2351"/>
            <w:shd w:fill="003366"/>
          </w:tcPr>
          <w:p>
            <w:r/>
            <w:r>
              <w:rPr>
                <w:rFonts w:ascii="Segoe UI" w:hAnsi="Segoe UI"/>
                <w:b/>
                <w:color w:val="FFFFFF"/>
                <w:sz w:val="20"/>
              </w:rPr>
              <w:t>Eigenaar</w:t>
            </w:r>
          </w:p>
        </w:tc>
        <w:tc>
          <w:tcPr>
            <w:tcW w:type="dxa" w:w="2351"/>
            <w:shd w:fill="003366"/>
          </w:tcPr>
          <w:p>
            <w:r/>
            <w:r>
              <w:rPr>
                <w:rFonts w:ascii="Segoe UI" w:hAnsi="Segoe UI"/>
                <w:b/>
                <w:color w:val="FFFFFF"/>
                <w:sz w:val="20"/>
              </w:rPr>
              <w:t>Deadline</w:t>
            </w:r>
          </w:p>
        </w:tc>
        <w:tc>
          <w:tcPr>
            <w:tcW w:type="dxa" w:w="2351"/>
            <w:shd w:fill="003366"/>
          </w:tcPr>
          <w:p>
            <w:r/>
            <w:r>
              <w:rPr>
                <w:rFonts w:ascii="Segoe UI" w:hAnsi="Segoe UI"/>
                <w:b/>
                <w:color w:val="FFFFFF"/>
                <w:sz w:val="20"/>
              </w:rPr>
              <w:t>Prioriteit</w:t>
            </w:r>
          </w:p>
        </w:tc>
      </w:tr>
      <w:tr>
        <w:tc>
          <w:tcPr>
            <w:tcW w:type="dxa" w:w="2351"/>
            <w:shd w:fill="F8F9FA"/>
          </w:tcPr>
          <w:p>
            <w:r/>
            <w:r>
              <w:rPr>
                <w:rFonts w:ascii="Segoe UI" w:hAnsi="Segoe UI"/>
                <w:color w:val="1F2937"/>
                <w:sz w:val="18"/>
              </w:rPr>
              <w:t>Gap-analyse uitvoeren: bestaand magazijn virtueel langs de nieuwe 2025-scenario's leggen, alle tekortkomingen (dak, brandmeldinstallatie, werkvoorraad, afstanden) documenteren met tijdgebonden plan van aanpak</w:t>
            </w:r>
          </w:p>
        </w:tc>
        <w:tc>
          <w:tcPr>
            <w:tcW w:type="dxa" w:w="2351"/>
            <w:shd w:fill="F8F9FA"/>
          </w:tcPr>
          <w:p>
            <w:r/>
            <w:r>
              <w:rPr>
                <w:rFonts w:ascii="Segoe UI" w:hAnsi="Segoe UI"/>
                <w:color w:val="1F2937"/>
                <w:sz w:val="18"/>
              </w:rPr>
              <w:t>Ondernemer / HSE-manager (verantwoordelijk bedrijf)</w:t>
            </w:r>
          </w:p>
        </w:tc>
        <w:tc>
          <w:tcPr>
            <w:tcW w:type="dxa" w:w="2351"/>
            <w:shd w:fill="F8F9FA"/>
          </w:tcPr>
          <w:p>
            <w:r/>
            <w:r>
              <w:rPr>
                <w:rFonts w:ascii="Segoe UI" w:hAnsi="Segoe UI"/>
                <w:color w:val="1F2937"/>
                <w:sz w:val="18"/>
              </w:rPr>
              <w:t>Binnen 3 maanden (DCMR-eis)</w:t>
            </w:r>
          </w:p>
        </w:tc>
        <w:tc>
          <w:tcPr>
            <w:tcW w:type="dxa" w:w="2351"/>
            <w:shd w:fill="F8F9FA"/>
            <w:shd w:fill="EF4444"/>
          </w:tcPr>
          <w:p>
            <w:r>
              <w:rPr>
                <w:b/>
                <w:color w:val="FFFFFF"/>
              </w:rPr>
            </w:r>
            <w:r>
              <w:rPr>
                <w:rFonts w:ascii="Segoe UI" w:hAnsi="Segoe UI"/>
                <w:b/>
                <w:color w:val="FFFFFF"/>
                <w:sz w:val="18"/>
              </w:rPr>
              <w:t>hoog</w:t>
            </w:r>
          </w:p>
        </w:tc>
      </w:tr>
      <w:tr>
        <w:tc>
          <w:tcPr>
            <w:tcW w:type="dxa" w:w="2351"/>
          </w:tcPr>
          <w:p>
            <w:r/>
            <w:r>
              <w:rPr>
                <w:rFonts w:ascii="Segoe UI" w:hAnsi="Segoe UI"/>
                <w:color w:val="1F2937"/>
                <w:sz w:val="18"/>
              </w:rPr>
              <w:t>Stoffenregister actualiseren tot real-time kloppend document: elke klassificatie, elk gevarensymbool en elke hoeveelheid (tot op de kilo) verifiëren</w:t>
            </w:r>
          </w:p>
        </w:tc>
        <w:tc>
          <w:tcPr>
            <w:tcW w:type="dxa" w:w="2351"/>
          </w:tcPr>
          <w:p>
            <w:r/>
            <w:r>
              <w:rPr>
                <w:rFonts w:ascii="Segoe UI" w:hAnsi="Segoe UI"/>
                <w:color w:val="1F2937"/>
                <w:sz w:val="18"/>
              </w:rPr>
              <w:t>HSE-manager / Preventiemedewerker</w:t>
            </w:r>
          </w:p>
        </w:tc>
        <w:tc>
          <w:tcPr>
            <w:tcW w:type="dxa" w:w="2351"/>
          </w:tcPr>
          <w:p>
            <w:r/>
            <w:r>
              <w:rPr>
                <w:rFonts w:ascii="Segoe UI" w:hAnsi="Segoe UI"/>
                <w:color w:val="1F2937"/>
                <w:sz w:val="18"/>
              </w:rPr>
              <w:t>Doorlopend, direct starten</w:t>
            </w:r>
          </w:p>
        </w:tc>
        <w:tc>
          <w:tcPr>
            <w:tcW w:type="dxa" w:w="2351"/>
            <w:shd w:fill="EF4444"/>
          </w:tcPr>
          <w:p>
            <w:r>
              <w:rPr>
                <w:b/>
                <w:color w:val="FFFFFF"/>
              </w:rPr>
            </w:r>
            <w:r>
              <w:rPr>
                <w:rFonts w:ascii="Segoe UI" w:hAnsi="Segoe UI"/>
                <w:b/>
                <w:color w:val="FFFFFF"/>
                <w:sz w:val="18"/>
              </w:rPr>
              <w:t>hoog</w:t>
            </w:r>
          </w:p>
        </w:tc>
      </w:tr>
      <w:tr>
        <w:tc>
          <w:tcPr>
            <w:tcW w:type="dxa" w:w="2351"/>
            <w:shd w:fill="F8F9FA"/>
          </w:tcPr>
          <w:p>
            <w:r/>
            <w:r>
              <w:rPr>
                <w:rFonts w:ascii="Segoe UI" w:hAnsi="Segoe UI"/>
                <w:color w:val="1F2937"/>
                <w:sz w:val="18"/>
              </w:rPr>
              <w:t>Dakconstructie met zonnepanelen laten toetsen aan de nieuwe eis van brandscheiding en waar nodig versterken</w:t>
            </w:r>
          </w:p>
        </w:tc>
        <w:tc>
          <w:tcPr>
            <w:tcW w:type="dxa" w:w="2351"/>
            <w:shd w:fill="F8F9FA"/>
          </w:tcPr>
          <w:p>
            <w:r/>
            <w:r>
              <w:rPr>
                <w:rFonts w:ascii="Segoe UI" w:hAnsi="Segoe UI"/>
                <w:color w:val="1F2937"/>
                <w:sz w:val="18"/>
              </w:rPr>
              <w:t>Vastgoedmanager / technisch adviseur</w:t>
            </w:r>
          </w:p>
        </w:tc>
        <w:tc>
          <w:tcPr>
            <w:tcW w:type="dxa" w:w="2351"/>
            <w:shd w:fill="F8F9FA"/>
          </w:tcPr>
          <w:p>
            <w:r/>
            <w:r>
              <w:rPr>
                <w:rFonts w:ascii="Segoe UI" w:hAnsi="Segoe UI"/>
                <w:color w:val="1F2937"/>
                <w:sz w:val="18"/>
              </w:rPr>
              <w:t>Niet gespecificeerd (vóór toetsing door toezichthouder)</w:t>
            </w:r>
          </w:p>
        </w:tc>
        <w:tc>
          <w:tcPr>
            <w:tcW w:type="dxa" w:w="2351"/>
            <w:shd w:fill="F8F9FA"/>
            <w:shd w:fill="EF4444"/>
          </w:tcPr>
          <w:p>
            <w:r>
              <w:rPr>
                <w:b/>
                <w:color w:val="FFFFFF"/>
              </w:rPr>
            </w:r>
            <w:r>
              <w:rPr>
                <w:rFonts w:ascii="Segoe UI" w:hAnsi="Segoe UI"/>
                <w:b/>
                <w:color w:val="FFFFFF"/>
                <w:sz w:val="18"/>
              </w:rPr>
              <w:t>hoog</w:t>
            </w:r>
          </w:p>
        </w:tc>
      </w:tr>
      <w:tr>
        <w:tc>
          <w:tcPr>
            <w:tcW w:type="dxa" w:w="2351"/>
          </w:tcPr>
          <w:p>
            <w:r/>
            <w:r>
              <w:rPr>
                <w:rFonts w:ascii="Segoe UI" w:hAnsi="Segoe UI"/>
                <w:color w:val="1F2937"/>
                <w:sz w:val="18"/>
              </w:rPr>
              <w:t>Interne logistiekprocessen herinrichten zodat geloste producten binnen 12 uur in de goedgekeurde opslagvoorziening staan; instroom afstemmen op werkelijke opslagcapaciteit</w:t>
            </w:r>
          </w:p>
        </w:tc>
        <w:tc>
          <w:tcPr>
            <w:tcW w:type="dxa" w:w="2351"/>
          </w:tcPr>
          <w:p>
            <w:r/>
            <w:r>
              <w:rPr>
                <w:rFonts w:ascii="Segoe UI" w:hAnsi="Segoe UI"/>
                <w:color w:val="1F2937"/>
                <w:sz w:val="18"/>
              </w:rPr>
              <w:t>Logistiekmanager / magazijnmanager</w:t>
            </w:r>
          </w:p>
        </w:tc>
        <w:tc>
          <w:tcPr>
            <w:tcW w:type="dxa" w:w="2351"/>
          </w:tcPr>
          <w:p>
            <w:r/>
            <w:r>
              <w:rPr>
                <w:rFonts w:ascii="Segoe UI" w:hAnsi="Segoe UI"/>
                <w:color w:val="1F2937"/>
                <w:sz w:val="18"/>
              </w:rPr>
              <w:t>Niet gespecificeerd (in werking met PGS 15 2025)</w:t>
            </w:r>
          </w:p>
        </w:tc>
        <w:tc>
          <w:tcPr>
            <w:tcW w:type="dxa" w:w="2351"/>
            <w:shd w:fill="EF4444"/>
          </w:tcPr>
          <w:p>
            <w:r>
              <w:rPr>
                <w:b/>
                <w:color w:val="FFFFFF"/>
              </w:rPr>
            </w:r>
            <w:r>
              <w:rPr>
                <w:rFonts w:ascii="Segoe UI" w:hAnsi="Segoe UI"/>
                <w:b/>
                <w:color w:val="FFFFFF"/>
                <w:sz w:val="18"/>
              </w:rPr>
              <w:t>hoog</w:t>
            </w:r>
          </w:p>
        </w:tc>
      </w:tr>
      <w:tr>
        <w:tc>
          <w:tcPr>
            <w:tcW w:type="dxa" w:w="2351"/>
            <w:shd w:fill="F8F9FA"/>
          </w:tcPr>
          <w:p>
            <w:r/>
            <w:r>
              <w:rPr>
                <w:rFonts w:ascii="Segoe UI" w:hAnsi="Segoe UI"/>
                <w:color w:val="1F2937"/>
                <w:sz w:val="18"/>
              </w:rPr>
              <w:t>Veilige afstand van opslag tot omliggende gebouwen meten en verifiëren tegen de nieuwe 15-meter norm; bij tekort alternatief (brandwerende muur of gevel) laten ontwerpen</w:t>
            </w:r>
          </w:p>
        </w:tc>
        <w:tc>
          <w:tcPr>
            <w:tcW w:type="dxa" w:w="2351"/>
            <w:shd w:fill="F8F9FA"/>
          </w:tcPr>
          <w:p>
            <w:r/>
            <w:r>
              <w:rPr>
                <w:rFonts w:ascii="Segoe UI" w:hAnsi="Segoe UI"/>
                <w:color w:val="1F2937"/>
                <w:sz w:val="18"/>
              </w:rPr>
              <w:t>Facilitair manager / vastgoedmanager</w:t>
            </w:r>
          </w:p>
        </w:tc>
        <w:tc>
          <w:tcPr>
            <w:tcW w:type="dxa" w:w="2351"/>
            <w:shd w:fill="F8F9FA"/>
          </w:tcPr>
          <w:p>
            <w:r/>
            <w:r>
              <w:rPr>
                <w:rFonts w:ascii="Segoe UI" w:hAnsi="Segoe UI"/>
                <w:color w:val="1F2937"/>
                <w:sz w:val="18"/>
              </w:rPr>
              <w:t>Niet gespecificeerd (op te nemen in gap-analyse)</w:t>
            </w:r>
          </w:p>
        </w:tc>
        <w:tc>
          <w:tcPr>
            <w:tcW w:type="dxa" w:w="2351"/>
            <w:shd w:fill="F8F9FA"/>
            <w:shd w:fill="EF4444"/>
          </w:tcPr>
          <w:p>
            <w:r>
              <w:rPr>
                <w:b/>
                <w:color w:val="FFFFFF"/>
              </w:rPr>
            </w:r>
            <w:r>
              <w:rPr>
                <w:rFonts w:ascii="Segoe UI" w:hAnsi="Segoe UI"/>
                <w:b/>
                <w:color w:val="FFFFFF"/>
                <w:sz w:val="18"/>
              </w:rPr>
              <w:t>hoog</w:t>
            </w:r>
          </w:p>
        </w:tc>
      </w:tr>
      <w:tr>
        <w:tc>
          <w:tcPr>
            <w:tcW w:type="dxa" w:w="2351"/>
          </w:tcPr>
          <w:p>
            <w:r/>
            <w:r>
              <w:rPr>
                <w:rFonts w:ascii="Segoe UI" w:hAnsi="Segoe UI"/>
                <w:color w:val="1F2937"/>
                <w:sz w:val="18"/>
              </w:rPr>
              <w:t>Controleer of de opslaghoeveelheid per compartiment onder de nieuwe 20-ton sprinklerdrempel blijft en of de vereiste brandcompartimentering aanwezig is</w:t>
            </w:r>
          </w:p>
        </w:tc>
        <w:tc>
          <w:tcPr>
            <w:tcW w:type="dxa" w:w="2351"/>
          </w:tcPr>
          <w:p>
            <w:r/>
            <w:r>
              <w:rPr>
                <w:rFonts w:ascii="Segoe UI" w:hAnsi="Segoe UI"/>
                <w:color w:val="1F2937"/>
                <w:sz w:val="18"/>
              </w:rPr>
              <w:t>HSE-manager / brandveiligheidsadviseur</w:t>
            </w:r>
          </w:p>
        </w:tc>
        <w:tc>
          <w:tcPr>
            <w:tcW w:type="dxa" w:w="2351"/>
          </w:tcPr>
          <w:p>
            <w:r/>
            <w:r>
              <w:rPr>
                <w:rFonts w:ascii="Segoe UI" w:hAnsi="Segoe UI"/>
                <w:color w:val="1F2937"/>
                <w:sz w:val="18"/>
              </w:rPr>
              <w:t>Niet gespecificeerd</w:t>
            </w:r>
          </w:p>
        </w:tc>
        <w:tc>
          <w:tcPr>
            <w:tcW w:type="dxa" w:w="2351"/>
            <w:shd w:fill="F59E0B"/>
          </w:tcPr>
          <w:p>
            <w:r/>
            <w:r>
              <w:rPr>
                <w:rFonts w:ascii="Segoe UI" w:hAnsi="Segoe UI"/>
                <w:color w:val="1F2937"/>
                <w:sz w:val="18"/>
              </w:rPr>
              <w:t>medium</w:t>
            </w:r>
          </w:p>
        </w:tc>
      </w:tr>
      <w:tr>
        <w:tc>
          <w:tcPr>
            <w:tcW w:type="dxa" w:w="2351"/>
            <w:shd w:fill="F8F9FA"/>
          </w:tcPr>
          <w:p>
            <w:r/>
            <w:r>
              <w:rPr>
                <w:rFonts w:ascii="Segoe UI" w:hAnsi="Segoe UI"/>
                <w:color w:val="1F2937"/>
                <w:sz w:val="18"/>
              </w:rPr>
              <w:t>Personeelsprogramma opzetten: training heftruckchauffeurs en magazijnmedewerkers over verschil tussen CMR-stoffen en reguliere oplosmiddelen, ADR-klassen en good housekeeping</w:t>
            </w:r>
          </w:p>
        </w:tc>
        <w:tc>
          <w:tcPr>
            <w:tcW w:type="dxa" w:w="2351"/>
            <w:shd w:fill="F8F9FA"/>
          </w:tcPr>
          <w:p>
            <w:r/>
            <w:r>
              <w:rPr>
                <w:rFonts w:ascii="Segoe UI" w:hAnsi="Segoe UI"/>
                <w:color w:val="1F2937"/>
                <w:sz w:val="18"/>
              </w:rPr>
              <w:t>HR / HSE-manager</w:t>
            </w:r>
          </w:p>
        </w:tc>
        <w:tc>
          <w:tcPr>
            <w:tcW w:type="dxa" w:w="2351"/>
            <w:shd w:fill="F8F9FA"/>
          </w:tcPr>
          <w:p>
            <w:r/>
            <w:r>
              <w:rPr>
                <w:rFonts w:ascii="Segoe UI" w:hAnsi="Segoe UI"/>
                <w:color w:val="1F2937"/>
                <w:sz w:val="18"/>
              </w:rPr>
              <w:t>Niet gespecificeerd</w:t>
            </w:r>
          </w:p>
        </w:tc>
        <w:tc>
          <w:tcPr>
            <w:tcW w:type="dxa" w:w="2351"/>
            <w:shd w:fill="F8F9FA"/>
            <w:shd w:fill="F59E0B"/>
          </w:tcPr>
          <w:p>
            <w:r/>
            <w:r>
              <w:rPr>
                <w:rFonts w:ascii="Segoe UI" w:hAnsi="Segoe UI"/>
                <w:color w:val="1F2937"/>
                <w:sz w:val="18"/>
              </w:rPr>
              <w:t>medium</w:t>
            </w:r>
          </w:p>
        </w:tc>
      </w:tr>
      <w:tr>
        <w:tc>
          <w:tcPr>
            <w:tcW w:type="dxa" w:w="2351"/>
          </w:tcPr>
          <w:p>
            <w:r/>
            <w:r>
              <w:rPr>
                <w:rFonts w:ascii="Segoe UI" w:hAnsi="Segoe UI"/>
                <w:color w:val="1F2937"/>
                <w:sz w:val="18"/>
              </w:rPr>
              <w:t>Informatievoorziening aan hulpdiensten digitaliseren: papieren map in portiersloge vervangen door direct overdraagbare basisgegevens bij eerste melding</w:t>
            </w:r>
          </w:p>
        </w:tc>
        <w:tc>
          <w:tcPr>
            <w:tcW w:type="dxa" w:w="2351"/>
          </w:tcPr>
          <w:p>
            <w:r/>
            <w:r>
              <w:rPr>
                <w:rFonts w:ascii="Segoe UI" w:hAnsi="Segoe UI"/>
                <w:color w:val="1F2937"/>
                <w:sz w:val="18"/>
              </w:rPr>
              <w:t>HSE-manager / IT-verantwoordelijke</w:t>
            </w:r>
          </w:p>
        </w:tc>
        <w:tc>
          <w:tcPr>
            <w:tcW w:type="dxa" w:w="2351"/>
          </w:tcPr>
          <w:p>
            <w:r/>
            <w:r>
              <w:rPr>
                <w:rFonts w:ascii="Segoe UI" w:hAnsi="Segoe UI"/>
                <w:color w:val="1F2937"/>
                <w:sz w:val="18"/>
              </w:rPr>
              <w:t>Niet gespecificeerd</w:t>
            </w:r>
          </w:p>
        </w:tc>
        <w:tc>
          <w:tcPr>
            <w:tcW w:type="dxa" w:w="2351"/>
            <w:shd w:fill="EF4444"/>
          </w:tcPr>
          <w:p>
            <w:r>
              <w:rPr>
                <w:b/>
                <w:color w:val="FFFFFF"/>
              </w:rPr>
            </w:r>
            <w:r>
              <w:rPr>
                <w:rFonts w:ascii="Segoe UI" w:hAnsi="Segoe UI"/>
                <w:b/>
                <w:color w:val="FFFFFF"/>
                <w:sz w:val="18"/>
              </w:rPr>
              <w:t>hoog</w:t>
            </w:r>
          </w:p>
        </w:tc>
      </w:tr>
    </w:tbl>
    <w:p/>
    <w:p>
      <w:pPr>
        <w:pStyle w:val="Heading1"/>
      </w:pPr>
      <w:r>
        <w:rPr>
          <w:rFonts w:ascii="Segoe UI" w:hAnsi="Segoe UI"/>
          <w:color w:val="003366"/>
        </w:rPr>
        <w:t>Risico's</w:t>
      </w:r>
    </w:p>
    <w:p>
      <w:pPr>
        <w:pStyle w:val="ListBullet"/>
      </w:pPr>
      <w:r>
        <w:rPr>
          <w:rFonts w:ascii="Segoe UI" w:hAnsi="Segoe UI"/>
          <w:color w:val="1F2937"/>
          <w:sz w:val="20"/>
        </w:rPr>
        <w:t>Zonnepanelen op daken: gelijkstroom kan niet worden uitgeschakeld; vlambogen kunnen binnen minuten door standaard dakbedekking smelten waardoor vuur van bovenaf in de chemische opslag valt</w:t>
      </w:r>
    </w:p>
    <w:p>
      <w:pPr>
        <w:pStyle w:val="ListBullet"/>
      </w:pPr>
      <w:r>
        <w:rPr>
          <w:rFonts w:ascii="Segoe UI" w:hAnsi="Segoe UI"/>
          <w:color w:val="1F2937"/>
          <w:sz w:val="20"/>
        </w:rPr>
        <w:t>Duizenden bestaande lichte staaldaken met bitumen voldoen niet aan de nieuwe eis dat een dakvlak met panelen een harde brandscheiding vormt — technische en financiële nachtmerrie</w:t>
      </w:r>
    </w:p>
    <w:p>
      <w:pPr>
        <w:pStyle w:val="ListBullet"/>
      </w:pPr>
      <w:r>
        <w:rPr>
          <w:rFonts w:ascii="Segoe UI" w:hAnsi="Segoe UI"/>
          <w:color w:val="1F2937"/>
          <w:sz w:val="20"/>
        </w:rPr>
        <w:t>15-meter veilige afstand is op volgebouwde Nederlandse industrieterreinen vaak een 'architectonische onmogelijkheid', waardoor forse investeringen in brandwerende gevels noodzakelijk zijn</w:t>
      </w:r>
    </w:p>
    <w:p>
      <w:pPr>
        <w:pStyle w:val="ListBullet"/>
      </w:pPr>
      <w:r>
        <w:rPr>
          <w:rFonts w:ascii="Segoe UI" w:hAnsi="Segoe UI"/>
          <w:color w:val="1F2937"/>
          <w:sz w:val="20"/>
        </w:rPr>
        <w:t>12-uurregel: logistieke pieken (late vrachtwagens, volle stellingen) kunnen binnen een uur verschill maken tussen legale werkvoorraad en illegale opslag met directe handhaving</w:t>
      </w:r>
    </w:p>
    <w:p>
      <w:pPr>
        <w:pStyle w:val="ListBullet"/>
      </w:pPr>
      <w:r>
        <w:rPr>
          <w:rFonts w:ascii="Segoe UI" w:hAnsi="Segoe UI"/>
          <w:color w:val="1F2937"/>
          <w:sz w:val="20"/>
        </w:rPr>
        <w:t>Creeping normalisation: tijdelijk weggezette pallets worden sluipend geaccepteerd (drie weken i.p.v. drie uur), waarmee de grens tussen veilige doorgang en ongecontroleerd chemisch depot vervaagt — historische oorzaak van desastreuze branden zoals Moerdijk</w:t>
      </w:r>
    </w:p>
    <w:p>
      <w:pPr>
        <w:pStyle w:val="ListBullet"/>
      </w:pPr>
      <w:r>
        <w:rPr>
          <w:rFonts w:ascii="Segoe UI" w:hAnsi="Segoe UI"/>
          <w:color w:val="1F2937"/>
          <w:sz w:val="20"/>
        </w:rPr>
        <w:t>Niet-realtime stoffenregister: als de AGS binnen 30 minuten geen kloppend overzicht tot op de kilo heeft, wordt 'gerouletteerd met de volksgezondheid' bij beslissingen over ontruiming en sirenes</w:t>
      </w:r>
    </w:p>
    <w:p>
      <w:pPr>
        <w:pStyle w:val="ListBullet"/>
      </w:pPr>
      <w:r>
        <w:rPr>
          <w:rFonts w:ascii="Segoe UI" w:hAnsi="Segoe UI"/>
          <w:color w:val="1F2937"/>
          <w:sz w:val="20"/>
        </w:rPr>
        <w:t>Directe handhaving door DCMR als de ondernemer de verplichte gap-analyse binnen 3 maanden niet zelf uitvoert</w:t>
      </w:r>
    </w:p>
    <w:p>
      <w:pPr>
        <w:pStyle w:val="ListBullet"/>
      </w:pPr>
      <w:r>
        <w:rPr>
          <w:rFonts w:ascii="Segoe UI" w:hAnsi="Segoe UI"/>
          <w:color w:val="1F2937"/>
          <w:sz w:val="20"/>
        </w:rPr>
        <w:t>Misvatting over gelijkwaardige maatregelen als makkelijke uitweg: verpletterende bewijslast (ingenieursberekeningen) en vereiste formele voorafgaande goedkeuring van het bevoegd gezag</w:t>
      </w:r>
    </w:p>
    <w:p>
      <w:pPr>
        <w:pStyle w:val="ListBullet"/>
      </w:pPr>
      <w:r>
        <w:rPr>
          <w:rFonts w:ascii="Segoe UI" w:hAnsi="Segoe UI"/>
          <w:color w:val="1F2937"/>
          <w:sz w:val="20"/>
        </w:rPr>
        <w:t>Menselijke factor: als personeel het verschil tussen CMR-stoffen en reguliere oplosmiddelen niet kent, is het hele veiligheidssysteem een illusie ondanks perfecte hardware</w:t>
      </w:r>
    </w:p>
    <w:p>
      <w:pPr>
        <w:pStyle w:val="ListBullet"/>
      </w:pPr>
      <w:r>
        <w:rPr>
          <w:rFonts w:ascii="Segoe UI" w:hAnsi="Segoe UI"/>
          <w:color w:val="1F2937"/>
          <w:sz w:val="20"/>
        </w:rPr>
        <w:t>Toekomstrisico: algoritmisch toezicht gekoppeld aan weegcellen en sensoren kan automatisch vergunningopschorting triggeren bij overschrijding van bijvoorbeeld de 20-ton grens</w:t>
      </w:r>
    </w:p>
    <w:p/>
    <w:p>
      <w:pPr>
        <w:pStyle w:val="Heading1"/>
      </w:pPr>
      <w:r>
        <w:rPr>
          <w:rFonts w:ascii="Segoe UI" w:hAnsi="Segoe UI"/>
          <w:color w:val="003366"/>
        </w:rPr>
        <w:t>Vervolgstappen</w:t>
      </w:r>
    </w:p>
    <w:p>
      <w:r>
        <w:rPr>
          <w:rFonts w:ascii="Segoe UI" w:hAnsi="Segoe UI"/>
          <w:b/>
          <w:color w:val="003366"/>
          <w:sz w:val="20"/>
        </w:rPr>
        <w:t xml:space="preserve">1. </w:t>
      </w:r>
      <w:r>
        <w:rPr>
          <w:rFonts w:ascii="Segoe UI" w:hAnsi="Segoe UI"/>
          <w:color w:val="1F2937"/>
          <w:sz w:val="20"/>
        </w:rPr>
        <w:t>Gap-analyse conform de DCMR-methode uitvoeren binnen drie maanden, inclusief gedocumenteerd en tijdgebonden plan van aanpak voor elke tekortkoming</w:t>
      </w:r>
    </w:p>
    <w:p>
      <w:r>
        <w:rPr>
          <w:rFonts w:ascii="Segoe UI" w:hAnsi="Segoe UI"/>
          <w:b/>
          <w:color w:val="003366"/>
          <w:sz w:val="20"/>
        </w:rPr>
        <w:t xml:space="preserve">2. </w:t>
      </w:r>
      <w:r>
        <w:rPr>
          <w:rFonts w:ascii="Segoe UI" w:hAnsi="Segoe UI"/>
          <w:color w:val="1F2937"/>
          <w:sz w:val="20"/>
        </w:rPr>
        <w:t>Investeringsplanning opstellen voor brandcompartimentering, brandwerende muren/gevels (bij ontbreken van 15-meter afstand) en eventuele dakversterking</w:t>
      </w:r>
    </w:p>
    <w:p>
      <w:r>
        <w:rPr>
          <w:rFonts w:ascii="Segoe UI" w:hAnsi="Segoe UI"/>
          <w:b/>
          <w:color w:val="003366"/>
          <w:sz w:val="20"/>
        </w:rPr>
        <w:t xml:space="preserve">3. </w:t>
      </w:r>
      <w:r>
        <w:rPr>
          <w:rFonts w:ascii="Segoe UI" w:hAnsi="Segoe UI"/>
          <w:color w:val="1F2937"/>
          <w:sz w:val="20"/>
        </w:rPr>
        <w:t>Stoffenregister omvormen tot real-time kloppend document dat koppelbaar is aan hulpdiensten en voldoet aan de AGS 30-minutenregel</w:t>
      </w:r>
    </w:p>
    <w:p>
      <w:r>
        <w:rPr>
          <w:rFonts w:ascii="Segoe UI" w:hAnsi="Segoe UI"/>
          <w:b/>
          <w:color w:val="003366"/>
          <w:sz w:val="20"/>
        </w:rPr>
        <w:t xml:space="preserve">4. </w:t>
      </w:r>
      <w:r>
        <w:rPr>
          <w:rFonts w:ascii="Segoe UI" w:hAnsi="Segoe UI"/>
          <w:color w:val="1F2937"/>
          <w:sz w:val="20"/>
        </w:rPr>
        <w:t>Logistieke processen herontwerpen zodat instroom van goederen naadloos aansluit op opslagcapaciteit (12-uurregel) inclusief instructie dat niet gelost mag worden bij volle kluis</w:t>
      </w:r>
    </w:p>
    <w:p>
      <w:r>
        <w:rPr>
          <w:rFonts w:ascii="Segoe UI" w:hAnsi="Segoe UI"/>
          <w:b/>
          <w:color w:val="003366"/>
          <w:sz w:val="20"/>
        </w:rPr>
        <w:t xml:space="preserve">5. </w:t>
      </w:r>
      <w:r>
        <w:rPr>
          <w:rFonts w:ascii="Segoe UI" w:hAnsi="Segoe UI"/>
          <w:color w:val="1F2937"/>
          <w:sz w:val="20"/>
        </w:rPr>
        <w:t>Trainings- en good-housekeeping-programma op de werkvloer starten, specifiek gericht op herkenning CMR/ADR-klassen en het voorkomen van creeping normalisation</w:t>
      </w:r>
    </w:p>
    <w:p>
      <w:r>
        <w:rPr>
          <w:rFonts w:ascii="Segoe UI" w:hAnsi="Segoe UI"/>
          <w:b/>
          <w:color w:val="003366"/>
          <w:sz w:val="20"/>
        </w:rPr>
        <w:t xml:space="preserve">6. </w:t>
      </w:r>
      <w:r>
        <w:rPr>
          <w:rFonts w:ascii="Segoe UI" w:hAnsi="Segoe UI"/>
          <w:color w:val="1F2937"/>
          <w:sz w:val="20"/>
        </w:rPr>
        <w:t>Spanning zonnepanelen versus brandveiligheid intern laten doorrekenen en eventueel met toezichthouder/verzekeraar bespreken</w:t>
      </w:r>
    </w:p>
    <w:p>
      <w:r>
        <w:rPr>
          <w:rFonts w:ascii="Segoe UI" w:hAnsi="Segoe UI"/>
          <w:b/>
          <w:color w:val="003366"/>
          <w:sz w:val="20"/>
        </w:rPr>
        <w:t xml:space="preserve">7. </w:t>
      </w:r>
      <w:r>
        <w:rPr>
          <w:rFonts w:ascii="Segoe UI" w:hAnsi="Segoe UI"/>
          <w:color w:val="1F2937"/>
          <w:sz w:val="20"/>
        </w:rPr>
        <w:t>Ontwikkelingen rondom digital twins en algoritmisch toezicht monitoren om toekomstige nalevingsrapportage voor te bereiden</w:t>
      </w:r>
    </w:p>
    <w:p/>
    <w:p>
      <w:pPr>
        <w:pStyle w:val="Heading1"/>
      </w:pPr>
      <w:r>
        <w:rPr>
          <w:rFonts w:ascii="Segoe UI" w:hAnsi="Segoe UI"/>
          <w:color w:val="003366"/>
        </w:rPr>
        <w:t>Vergadereffectiviteit</w:t>
      </w:r>
    </w:p>
    <w:p>
      <w:r>
        <w:rPr>
          <w:rFonts w:ascii="Segoe UI" w:hAnsi="Segoe UI"/>
          <w:b/>
          <w:color w:val="003366"/>
          <w:sz w:val="28"/>
        </w:rPr>
        <w:t>Score: 8/10</w:t>
      </w:r>
    </w:p>
    <w:p>
      <w:pPr>
        <w:pStyle w:val="Heading2"/>
      </w:pPr>
      <w:r>
        <w:rPr>
          <w:rFonts w:ascii="Segoe UI" w:hAnsi="Segoe UI"/>
          <w:color w:val="003366"/>
        </w:rPr>
        <w:t>Sterke punten</w:t>
      </w:r>
    </w:p>
    <w:p>
      <w:pPr>
        <w:pStyle w:val="ListBullet"/>
      </w:pPr>
      <w:r>
        <w:rPr>
          <w:rFonts w:ascii="Segoe UI" w:hAnsi="Segoe UI"/>
          <w:color w:val="1F2937"/>
          <w:sz w:val="20"/>
        </w:rPr>
        <w:t>Duidelijke didactische structuur: fundamenten, radicale wijzigingen, praktische consequenties voor de werkvloer en toekomstbeeld</w:t>
      </w:r>
    </w:p>
    <w:p>
      <w:pPr>
        <w:pStyle w:val="ListBullet"/>
      </w:pPr>
      <w:r>
        <w:rPr>
          <w:rFonts w:ascii="Segoe UI" w:hAnsi="Segoe UI"/>
          <w:color w:val="1F2937"/>
          <w:sz w:val="20"/>
        </w:rPr>
        <w:t>Concrete, verifieerbare gegevens: drempelwaarden (6500 mPa·s, 10 naar 20 ton, 10 naar 15 meter, 12 uur, 30 minuten, 3 maanden) in plaats van vage algemeenheden</w:t>
      </w:r>
    </w:p>
    <w:p>
      <w:pPr>
        <w:pStyle w:val="ListBullet"/>
      </w:pPr>
      <w:r>
        <w:rPr>
          <w:rFonts w:ascii="Segoe UI" w:hAnsi="Segoe UI"/>
          <w:color w:val="1F2937"/>
          <w:sz w:val="20"/>
        </w:rPr>
        <w:t>Meerbronnenbenadering: Bestuurlijk Omgevingsberaad, Informatiepunt Leefomgeving, Warehouse Totaal, Onderhoud NL en DCMR-praktijk</w:t>
      </w:r>
    </w:p>
    <w:p>
      <w:pPr>
        <w:pStyle w:val="ListBullet"/>
      </w:pPr>
      <w:r>
        <w:rPr>
          <w:rFonts w:ascii="Segoe UI" w:hAnsi="Segoe UI"/>
          <w:color w:val="1F2937"/>
          <w:sz w:val="20"/>
        </w:rPr>
        <w:t>Kritische dialoog: de presentator speelde expliciet advocaat van de duivel (scenario-benadering als juridische truc), wat nuance en geloofwaardigheid toevoegde</w:t>
      </w:r>
    </w:p>
    <w:p>
      <w:pPr>
        <w:pStyle w:val="ListBullet"/>
      </w:pPr>
      <w:r>
        <w:rPr>
          <w:rFonts w:ascii="Segoe UI" w:hAnsi="Segoe UI"/>
          <w:color w:val="1F2937"/>
          <w:sz w:val="20"/>
        </w:rPr>
        <w:t>Sterke praktijkverankering met herkenbare voorbeelden (drukke dinsdagmiddag, heftruck doorboort vat, lekbak als oud-ijzeropslag, Moerdijk)</w:t>
      </w:r>
    </w:p>
    <w:p>
      <w:pPr>
        <w:pStyle w:val="Heading2"/>
      </w:pPr>
      <w:r>
        <w:rPr>
          <w:rFonts w:ascii="Segoe UI" w:hAnsi="Segoe UI"/>
          <w:color w:val="003366"/>
        </w:rPr>
        <w:t>Verbeterpunten</w:t>
      </w:r>
    </w:p>
    <w:p>
      <w:pPr>
        <w:pStyle w:val="ListBullet"/>
      </w:pPr>
      <w:r>
        <w:rPr>
          <w:rFonts w:ascii="Segoe UI" w:hAnsi="Segoe UI"/>
          <w:color w:val="1F2937"/>
          <w:sz w:val="20"/>
        </w:rPr>
        <w:t>Geen interactie of Q&amp;A met de doelgroep (luisteraars/bedrijfsverantwoordelijken); retorische slotvragen blijven onbeantwoord</w:t>
      </w:r>
    </w:p>
    <w:p>
      <w:pPr>
        <w:pStyle w:val="ListBullet"/>
      </w:pPr>
      <w:r>
        <w:rPr>
          <w:rFonts w:ascii="Segoe UI" w:hAnsi="Segoe UI"/>
          <w:color w:val="1F2937"/>
          <w:sz w:val="20"/>
        </w:rPr>
        <w:t>Sprekers worden niet bij naam of functie geïntroduceerd, wat de traceerbaarheid en aanspreekbaarheid van de broninformatie vermindert</w:t>
      </w:r>
    </w:p>
    <w:p>
      <w:pPr>
        <w:pStyle w:val="ListBullet"/>
      </w:pPr>
      <w:r>
        <w:rPr>
          <w:rFonts w:ascii="Segoe UI" w:hAnsi="Segoe UI"/>
          <w:color w:val="1F2937"/>
          <w:sz w:val="20"/>
        </w:rPr>
        <w:t>Geen concrete checklist, prioritering of fasering geboden aan bedrijven die morgen het magazijn openen — de urgentie wordt benoemd maar een actionable roadmap ontbreekt</w:t>
      </w:r>
    </w:p>
    <w:p>
      <w:pPr>
        <w:pStyle w:val="ListBullet"/>
      </w:pPr>
      <w:r>
        <w:rPr>
          <w:rFonts w:ascii="Segoe UI" w:hAnsi="Segoe UI"/>
          <w:color w:val="1F2937"/>
          <w:sz w:val="20"/>
        </w:rPr>
        <w:t>Kostenramingen van maatregelen (brandwerende gevels, dakversterking, compartimentering) blijven kwalitatief ('peperduur') zonder indicatieve bedragen of subsidie-/financieringsmogelijkheden</w:t>
      </w:r>
    </w:p>
    <w:p>
      <w:pPr>
        <w:pStyle w:val="ListBullet"/>
      </w:pPr>
      <w:r>
        <w:rPr>
          <w:rFonts w:ascii="Segoe UI" w:hAnsi="Segoe UI"/>
          <w:color w:val="1F2937"/>
          <w:sz w:val="20"/>
        </w:rPr>
        <w:t>De spanning tussen verduurzamingsbeleid en nieuwe dakeisen wordt gesignaleerd maar niet doorvertaald naar lobby- of overlegpunten met de regelgever</w:t>
      </w:r>
    </w:p>
    <w:p/>
    <w:p>
      <w:pPr>
        <w:pStyle w:val="Heading1"/>
      </w:pPr>
      <w:r>
        <w:rPr>
          <w:rFonts w:ascii="Segoe UI" w:hAnsi="Segoe UI"/>
          <w:color w:val="003366"/>
        </w:rPr>
        <w:t>Bijlage: Volledige Transcriptie</w:t>
      </w:r>
    </w:p>
    <w:p>
      <w:r>
        <w:rPr>
          <w:rFonts w:ascii="Segoe UI" w:hAnsi="Segoe UI"/>
          <w:color w:val="374151"/>
          <w:sz w:val="18"/>
        </w:rPr>
        <w:t>Een klein, schijnbaar, onbetekenend regeltje in een digitaal document. Dat kan zomaar het enige zijn dat tussen een volkomen normale dinsdagmiddag en een katastrofale magazijnbrand in staat. Ja, absoluut. Dat is hoe dun die lijn soms is. Precies. En voor iedereen die nu luistert en verantwoordelijk is voor een werkplaats, een distributiecentrum of een productiefaciliteit, vormen de regels rondom gevaarlijke stoffen vaak een soort abstract dolhof. Dus, welkom bij deze speciale masterclass. Ja, mooi dat we dit vandaag helemaal gaan uitpluizen. Zeker weten. Vandaag kruipen we in de huid van veiligheidsconsultants en fileren we echt de gloednieuwe PGS 15-richtlijn. De versie voor 2025. En daarvoor hebben we best wat bronnen op een rij gezet, toch? Zeker. We baseren ons op officiële publicaties van het bestuurlijk omgevingsberaad, technische factsheets van het informatiepunt leefomgeving. En ook scherpe analyses uit Warehouse Totaal en natuurlijk die keiharde praktijkvoorbeelden van toezichthouders, zoals de DCMR. Precies. Je hebt die theorie nodig, maar de praktijk is waar het echt pijn gaat doen als je het niet op orde hebt. Klopt. Dus de missie voor deze diepgaande verkenning is helder. We leggen eerst even de absolute fundamenten van deze richtlijn bloot, om daarna eigenlijk naadloos over te stappen op de radicale wijzigingen van de 2025-update. En vooral, wat betekenen die morgenochtend op jouw werkvloer? Ja, en de urgentie daarvan kan ik echt niet genoeg benadrukken. Die PGS 15. Voluit de publicatiereeks Gevaarlijke Stoffen deel 15. Een hele mond vol? Haha, ja. Maar dat is in Nederland dus echt het wettelijke zwaartepunt voor de opslag van verpakte gevaarlijke stoffen. Het is zeg maar het kloppend hart van de omgevingsvergunning voor echt duizenden bedrijven. Maar wat maakt die 2x25 versie nou zo anders? Want richtlijnen krijgen wel vaker een update. Nou, dit is dus geen traditionele update waarbij ze even wat drempelwaarden hebben verschoven. We krijgen echt naar een complete hereiging van hoe we in Nederland naar chemische veiligheid kijken. Oké, een paradigmaverschuiving dus eigenlijk. Exact. We stappen af van het blinde afvinklijstje. Je moet nu echt een diepgaand begrip hebben van de fysieke realiteit in je magazijn Maar goed voordat we in die herijking duiken we moeten wel de rijkwijten even messcherp hebben Want jij als luisteraar weet waarschijnlijk wel ongeveer wat de PGS 15 is maar de details ontdreken soms De richtlijn rust op drie wettelijke pijlers, toch? Klopt. En die drie pijlers vormen eigenlijk de lens waardoor elke maatregel wordt beoordeeld. De eerste is omgevingsveiligheid. Dus puur de impact op de buitenwereld. Ja, exact. De bodem onder de loods, het oppervlaktewater in de sloot ernaast en natuurlijk de woningen of andere bedrijven in de directe omgeving. Oké, helder. En de tweede? Dat is arbeidsveiligheid. Hier verplaatst de focus zich naar binnen, naar de werknemer die de verpakkingen fysiek in handen heeft of verplaatst. Dus voorkomen dat iemand toxische dampen inademt of dat een stellage instort. Precies. En dan heb je nog de derde pijler en dat is brand- en rampenbestrijding. En kijk, deze pijler treedt pas in werking als preventie eigenlijk al gefaald heeft. Dat de brandweer weet waar ze aan toe zijn. Ja, dat een korps niet blind een brandende loods in hoeft te rennen, maar veilig kan optreden met de juiste blusmiddelen en voldoende bluswater op locatie. Duidelijk. Maar de lolendraad in al onze bronnen is steeds het woord verpakt. En dat voelt een beetje als een exclusieve nachtclub met een extreem strenge uitsmijter. Niet elk chemisch product mag zomaar naar binnen. Nee, zeker niet. Want kijk, een vat van 200 liter met een oplosmiddel staat centraal in deze richtlijn. Maar een gigantische opslagtank van zeg 10.000 liter met exact datzelfde oplosmiddel valt onder een heel ander wetboek. Zoals de PGS 29. Ja, dat klopt helemaal. Maar intuïtief zou je toch zeggen, die enorme tank is veel gevaarlijker. Dus die hoort hierin thuis. Nou, de logica daarachter zit hem volledig in de risicodynamiek. Kijk, een massieve opslagtank is fundamenteel statisch. Hij staat vast. Hij is verankerd aan een betonnen fundering, zit vast aan leidingnetwerken, wordt gemonitord door permanente sensoren en er zit een gigantische opvangbak omheen. De veiligheid zit letterlijk in de architectuur ingebouwd. En verpakte stoffen zijn dat dus niet? Nee, die zijn per definitie mobiel en dus kwetsbaar. We hebben het over IBC-containers, stalen vaten, kunststof jerrycans, gasflessen. Die worden de hele dag heen en weer gereden met heftrucks. Precies, en vierhoog op elkaar gestapeld op houten pallets. Dus de incidenten die hier ontstaan zijn compleet anders Een vork van een heftruck die per ongeluk een vat doorboort Ja of een stapelvoud waardoor de hele boel omvalt Exact Het risico zit echt in de dynamiek en in de menselijke handeling En daar is de PGS 15 specifiek voor geschreven. Duidelijk. En in de bronnen zien we dan ook specifieke categorieën langskomen. Termen als ADR, CLP en CMR. Ja, die zijn cruciaal om even te benoemen. Voor wie niet dagelijks in die wetboeken zit. ADR komt natuurlijk uit het internationale wegtransport. Maar dat dicteert hier dus gewoon de opslag. We praten dan over gassen onder druk in ADR 2. Of brandbare vloeistoffen zoals verven in ADR 3. Klopt. En toxische stoffen die vallen weer onder 6.1. En CLP gaat dan weer over de waarschuwingssymbolen op die verpakkingen. Terwijl CMR, dat zijn echt die sluipende gevaren toch? carcinogeen, mutageen, reprotoxies. Ja, de stoffen die op de lange termijn enorme gezondheidsschade aanrichten. Maar wat ik pas echt fascinerend vond in de bronnen, is een uitzondering. Er staat een heel specifieke passage in de documentatie van Onderhoud NL over de viscositeitsregel. Dat laat echt zien hoe diep deze richtlijn ingaat op de natuurkunde van een stof. Ja, die viscositeitsregel dat is echt een perfect voorbeeld van hoe materiaaleigenschappen de regelgeving dicteren. Viscositeit is dus de mate van stroperigheid van een vloeistof. Hoe dik het is, zeg maar. Precies. De PGS-15 trekt daar een harde grens bij 6500 millipascal seconden. Als je een verf of een pasta hebt die boven die grens zit, gedraagt die zich bij een lekkage niet meer als water, maar als een hele dikke, trage substantie. En waarom maakt dat uit voor de veiligheid? Nou, stel je hebt een dunne, vloeibare thinner die lekt en in brand vliegt. Die vloeistofplas verspreidt zich razendsnel over de vloer, waardoor het vuuroppervlak echt in seconden verveelfoudigt. Een gigantische vuurzee. Ja, maar een extreem stroopprogram verf vloeit nauwelijks uit. De brand blijft daardoor lokaal en is veel makkelijker beheersbaar. Oh wauw, dus omdat die brand zich anders gedraagt, mag je dat soort hoogviskeuze producten buiten de allerduurste brandveiligheidskasten houden? Onder bepaalde voorwaarden wel ja. Omdat de fysieke realiteit gewoon anders is. Kijk en dat brengt ons naadloos bij de fundamentele kanteling in die 2025 De fysica van de brand en de lekkage staat nu ineens centraal Ja dat is de kern In de stukken van het informatiepunt leefomgeving zien we dat de PGS 15 nu onlosmakelijk verbonden is met de nieuwe omgevingswet en het besluit activiteiten leefomgeving, het BAL. De tijd dat een adviseur een pdfje opende, in een tabelletje keek en zag, oh, bij 500 liter hoort maatregel X. Die tijd is definitief voorbij. Gelukkig maar, ja. Alles is nu opgebouwd rondom de zogenaamde risicobenadering. Alles draait om het werken in scenario's. En dat is echt de grootste filosofische verschuiving in de geschiedenis van deze richtlijn. We stappen af van dat dogmatische voorschrijven en we dwingen de gebruiker om na te denken over oorzaak en gevolg. Dus je moet als bedrijf zelf gaan nadenken? Ja, de 2025 versie dwingt je om specifieke realistische rampscenario's voor jouw eigen bedrijfssituatie te analyseren. Scenario 1 beschrijft bijvoorbeeld expliciet wat er gebeurt als een heftruck een verpakking aanrijdt. Wat natuurlijk elke dag kan gebeuren. Exact. Een ander scenario behandelt het falen van een verpakking puur door ouderdom of corrosie. In plaats van blind een voorschrift te volgen, analyseer je eerst het mechanisme van dat scenario. Dan kijk je naar de wettelijke doelen om het te neutraliseren en pas in de laatste stap kom je bij de daadwerkelijke fysieke maatregel. Oké, maar even advocaat van de duivel spelen hier. Die scenario benadering voelt voor mij als een handige juridische truc van de overheid. Hoe bedoel je? Nou, in plaats van dat een inspecteur simpelweg de norm stelt en zegt koop een stalen lekbak, word jij als ondernemer nu ineens de regisseur van je eigen rampenfilm. De verantwoordelijkheid wordt gewoon over de schutting gegooid, direct op het bordje van het bedrijf. Nee, het tegendeel is eigenlijk waar. Wat de opstellers hiermee beogen, is het uitbannen van schijnveiligheid. Schijnveiligheid. Ja, tientallen jaren zagen toezichthouders steeds hetzelfde patroon. Een bedrijf kocht die stalen lekbak, omdat het letterlijk, nou ja, in hoofdstuk 3 van de oude richtlijn stond. Maar ze begrepen het achterliggende doel niet. Dus ze deden het alleen voor de inspecteur. Precies. En vervolgens werd die lekbak in de praktijk gebruikt als opslag voor oud ijzer. Of een heftrucchauffeur reed er wekelijks een deuk in omdat hij op de verkeerde plek stond in het magazijn. Ah, op die manier. Door het omdraaien van de methodiek, dus eerst het scenario van de lekkage snappen en dan pas die bak plaatsen, creëer je wezen. Inzicht op de werkvloer. En voor de duidelijkheid, de harde maatregelen staan nog steeds gewoon in de richtlijn. Maar ze zijn nu logisch gekoppeld aan het falen van een specifiek proces. Oké, dat klinkt eigenlijk wel heel logisch. En in dat hele proces nemen we gelukkig ook afscheid van een administratief monster uit het verleden, die dubbele beschermingsniveaus. O ja, dat was altijd een drama. Vroeger moest je constant balanceren tussen aparte eisen voor milieu en arbo. Dat leidde tot eindeloze discussies met toezichthouders over welke norm er nou prevaleerde. Dat is nu eindelijk gestroomlijnd naar vier heldere niveaus, beginnend bij de basisveiligheid. Ja, en die basisveiligheid geldt simpelweg voor elke opslagvoorziening. En afhankelijk van de gevarenklasse en de hoeveelheid bouw je dat op naar niveau A, B of C. En bij niveau A praat je bijvoorbeeld over actieve brandblussen, installaties toch? Ja, dat triggert direct zware maatregelen voor zeer grote hoeveelheden brandbare stoffen. Deze vereenvoudiging, die eigenlijk al een beetje in 2016 werd ingezet, haalt enorm veel ruis uit de vergunningverlening. Goed, we hebben de theorie. Laten we nu overgaan naar beton en staal. Want bij de brandveiligheid zien we in deze update een paar heel opmerkelijke verschuivingen. De artikelen uit Warehouse Totaal benadrukken bijvoorbeeld dat het historische onderscheid tussen binnen- en buitenopslag, nou ja, volledig van tafel is. Dat is inderdaad een grote verandering. Voorheen dacht men altijd, een vat dat buiten in de wind staat, verdient een ander, lichter regime dan een vat in een gesloten loods. Maar vanuit die nieuwe scenario-benadering is dat onderschuid gewoon onhoudbaar gebleken. Kijk, een uitslaande brand in een cluster chemicaliën buiten op het erf, produceert exact dezelfde stralingswarmte en toxische rookwolk als een brand binnen. De impact op de omgeving blijft hetzelfde. Nagenoeg identiek ja. En in sommige gevallen is het buiten zelfs lastiger te beheersen door windinvloeden. Daarom gelden nu voor beide opslagvormen dezelfde strikte normen. En tegelijkertijd zien we de drempelwaarden verschuiven. En dat lijkt op het eerste gezicht wat tegenstrijdig. De grens waarop je verplicht wordt om een dure actieve brandblusinstallatie zoals sprinklers te installeren, die is verhoogd van 10 naar 20 ton. Klopt. Dat klinkt als een enorme financiële opluchting voor veel bedrijven. Maar er staat iets anders tegenover De minimale veilige afstand van je opslag tot omliggende gebouwen is opgerekt van 10 naar 15 meter tenzij je een brandwerende muur hebt Ja Op een volgebouwd Nederlands industrieterrein zomaar even 5 meter extra ruimte vinden, dat is toch een architectonische onmogelijkheid. Haha, dat is vaak een enorme uitdaging ja. Maar die verhoging van 10 naar 20 ton voor sprinklers is dus zeker geen vrijbrief. De wetgever staat die grotere hoeveelheid alleen toe als je de passieve bouwkundige veiligheid navanant opschroeft. Je moet het vuur insluiten. Letterlijk, ja. Door middel van extreem hoogwaardige brandcompartimentering. En die verschuiving naar 15 meter, dat reflecteert gewoon voortscheidend inzicht in hoe hittestraling zich gedraagt bij moderne branden. Het voorkomen van brandoverslag naar buurpanden krijgt absolute prioriteit. Heb je die 15 meter niet? Dan zul je alsnog zwaar moeten investeren in peperdure brandweerende gevels. En dan stuiten we op een maatregel die aanvoelt als de ultieme paradox van onze tijd. De zonnepanelen. De overheid oefent enorme druk uit op de logistieke sector om te verduurzamen. Subsidies stromen binnen om elk plat dak vol te leggen. En nu, in de PGS 15 van 2025, trapt de veiligheidsautoriteit ineens keihard op de rem. We hebben onbedoeld een gigantisch nieuw risico gecreëerd. Ja, hier komt de spanning tussen de energietransitie en chemische veiligheid echt tot een kookpunt. Het probleem met zonnepanelen is dat ze werken met gelijkstroom. Ze produceren altijd elektriciteit zolang er licht is. Je kunt ze niet simpelweg uitzetten bij een calamiteit. Wacht, dus als er kortsluiting is, blijven ze stroom leveren? Ja, en bij een beschadiging in de bekabeling kunnen er vlambogen ontstaan. Dat zijn elektrische vonken die ongekend heet worden. Zo'n vlamboog kan binnen minuten door de standaard dakbedekking van een logistieke hal smelten. En dan valt het vuur letterlijk van bovenaf de chemische opslag in? Exact. En de 2025-versie pakt dit snoeihard aan. Als er panelen op het dak liggen, wordt het dakvlak plotseling gedefinieerd als een harde brandscheiding. Wat betekent dat in de praktijk? Dat het dak zo geconstureerd moet zijn, dat een brand bovenop onmogelijk kan doorslaan naar de ruimte eronder. Voor duizenden bestaande lichte staaldaken met een laagje bitumin is dit een technische en financi nachtmerrie Dat is echt bizar Maar goed als die brand dan toch uitbreekt of dat nu door een zonnepaneel of een heftruck komt dan draait alles om de informatievoorziening naar de hulpdiensten Zeker weten. De nieuwe regels rondom tijdstruk zijn ongekend scherp. Het is echt niet meer voldoende om ergens een mapje met papieren in de portiersloosje te hebben liggen. Nee. De dynamiek van een chemische brand vereist echt real-time inlichtingen. Bij de eerste melding moeten de basisgegevens direct overdraagbaar zijn, zodat de brandweer weet met welke categorie gevaar ze te maken hebben. Maar de echte uitdaging zit in de 30 m</w:t>
      </w:r>
    </w:p>
    <w:p>
      <w:r>
        <w:rPr>
          <w:i/>
          <w:color w:val="374151"/>
          <w:sz w:val="16"/>
        </w:rPr>
        <w:t>[... transcript afgekort, totaal 23166 tekens]</w:t>
      </w:r>
    </w:p>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w:hAnsi="Segoe UI"/>
        <w:color w:val="374151"/>
        <w:sz w:val="16"/>
      </w:rPr>
      <w:t>JvG Consultancy | Vergaderrapport | 14-08-2026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