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rFonts w:ascii="Calibri" w:hAnsi="Calibri"/>
          <w:b/>
          <w:color w:val="003366"/>
          <w:sz w:val="56"/>
        </w:rPr>
        <w:t>BELEIDSDOCUMENT VOORJAARSCONVENTIE 2027</w:t>
      </w:r>
    </w:p>
    <w:p>
      <w:pPr>
        <w:jc w:val="center"/>
      </w:pPr>
      <w:r>
        <w:rPr>
          <w:rFonts w:ascii="Calibri" w:hAnsi="Calibri"/>
          <w:color w:val="006699"/>
          <w:sz w:val="32"/>
        </w:rPr>
        <w:t>District 110AN  —  April 2027</w:t>
      </w:r>
    </w:p>
    <w:p/>
    <w:p>
      <w:pPr>
        <w:jc w:val="center"/>
      </w:pPr>
      <w:r>
        <w:rPr>
          <w:rFonts w:ascii="Calibri" w:hAnsi="Calibri"/>
          <w:i/>
          <w:color w:val="666666"/>
          <w:sz w:val="24"/>
        </w:rPr>
        <w:t>Versie 1.0 — Beleidsdocument (MASTER_SOP §3.5)</w:t>
      </w:r>
    </w:p>
    <w:p/>
    <w:p/>
    <w:p>
      <w:pPr>
        <w:jc w:val="center"/>
      </w:pPr>
      <w:r>
        <w:rPr>
          <w:rFonts w:ascii="Calibri" w:hAnsi="Calibri"/>
          <w:color w:val="666666"/>
          <w:sz w:val="20"/>
        </w:rPr>
        <w:t>Governance: LCI Constitution Chapter XVII · Huishoudelijk Reglement MD 110 mei 2021</w:t>
      </w:r>
    </w:p>
    <w:p>
      <w:pPr>
        <w:jc w:val="center"/>
      </w:pPr>
      <w:r>
        <w:rPr>
          <w:rFonts w:ascii="Calibri" w:hAnsi="Calibri"/>
          <w:i/>
          <w:color w:val="006699"/>
          <w:sz w:val="22"/>
        </w:rPr>
        <w:t>Jaarthema 2026–2027: "Samen verder bouwen!"</w:t>
      </w:r>
    </w:p>
    <w:p>
      <w:r>
        <w:br w:type="page"/>
      </w:r>
    </w:p>
    <w:p>
      <w:pPr>
        <w:pStyle w:val="Heading1"/>
      </w:pPr>
      <w:r>
        <w:rPr>
          <w:rFonts w:ascii="Calibri" w:hAnsi="Calibri"/>
          <w:color w:val="003366"/>
        </w:rPr>
        <w:t>Documentbeheer</w:t>
      </w:r>
    </w:p>
    <w:p>
      <w:pPr>
        <w:pStyle w:val="Heading2"/>
      </w:pPr>
      <w:r>
        <w:rPr>
          <w:rFonts w:ascii="Calibri" w:hAnsi="Calibri"/>
          <w:color w:val="003366"/>
        </w:rPr>
        <w:t>Versiehistorie</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1134"/>
            <w:shd w:fill="003366"/>
          </w:tcPr>
          <w:p>
            <w:r>
              <w:t>Versie</w:t>
            </w:r>
          </w:p>
        </w:tc>
        <w:tc>
          <w:tcPr>
            <w:tcW w:type="dxa" w:w="1701"/>
            <w:shd w:fill="003366"/>
          </w:tcPr>
          <w:p>
            <w:r>
              <w:t>Datum</w:t>
            </w:r>
          </w:p>
        </w:tc>
        <w:tc>
          <w:tcPr>
            <w:tcW w:type="dxa" w:w="3685"/>
            <w:shd w:fill="003366"/>
          </w:tcPr>
          <w:p>
            <w:r>
              <w:t>Auteur</w:t>
            </w:r>
          </w:p>
        </w:tc>
        <w:tc>
          <w:tcPr>
            <w:tcW w:type="dxa" w:w="3402"/>
            <w:shd w:fill="003366"/>
          </w:tcPr>
          <w:p>
            <w:r>
              <w:t>Status / Wijziging</w:t>
            </w:r>
          </w:p>
        </w:tc>
      </w:tr>
      <w:tr>
        <w:tc>
          <w:tcPr>
            <w:tcW w:type="dxa" w:w="1134"/>
          </w:tcPr>
          <w:p>
            <w:r>
              <w:t>1.0</w:t>
            </w:r>
          </w:p>
        </w:tc>
        <w:tc>
          <w:tcPr>
            <w:tcW w:type="dxa" w:w="1701"/>
          </w:tcPr>
          <w:p>
            <w:r>
              <w:t>2026-08-26</w:t>
            </w:r>
          </w:p>
        </w:tc>
        <w:tc>
          <w:tcPr>
            <w:tcW w:type="dxa" w:w="3685"/>
          </w:tcPr>
          <w:p>
            <w:r>
              <w:t>District 110AN — Conventiecommissie / Cabinet Secretary</w:t>
            </w:r>
          </w:p>
        </w:tc>
        <w:tc>
          <w:tcPr>
            <w:tcW w:type="dxa" w:w="3402"/>
          </w:tcPr>
          <w:p>
            <w:r>
              <w:t>Initiële versie ter vaststelling door Gouverneursraad</w:t>
            </w:r>
          </w:p>
        </w:tc>
      </w:tr>
    </w:tbl>
    <w:p>
      <w:pPr>
        <w:pStyle w:val="Heading2"/>
      </w:pPr>
      <w:r>
        <w:rPr>
          <w:rFonts w:ascii="Calibri" w:hAnsi="Calibri"/>
          <w:color w:val="003366"/>
        </w:rPr>
        <w:t>Goedkeuring</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3685"/>
            <w:shd w:fill="003366"/>
          </w:tcPr>
          <w:p>
            <w:r>
              <w:t>Functie</w:t>
            </w:r>
          </w:p>
        </w:tc>
        <w:tc>
          <w:tcPr>
            <w:tcW w:type="dxa" w:w="2551"/>
            <w:shd w:fill="003366"/>
          </w:tcPr>
          <w:p>
            <w:r>
              <w:t>Naam</w:t>
            </w:r>
          </w:p>
        </w:tc>
        <w:tc>
          <w:tcPr>
            <w:tcW w:type="dxa" w:w="1417"/>
            <w:shd w:fill="003366"/>
          </w:tcPr>
          <w:p>
            <w:r>
              <w:t>Datum</w:t>
            </w:r>
          </w:p>
        </w:tc>
        <w:tc>
          <w:tcPr>
            <w:tcW w:type="dxa" w:w="2268"/>
            <w:shd w:fill="003366"/>
          </w:tcPr>
          <w:p>
            <w:r>
              <w:t>Handtekening</w:t>
            </w:r>
          </w:p>
        </w:tc>
      </w:tr>
      <w:tr>
        <w:tc>
          <w:tcPr>
            <w:tcW w:type="dxa" w:w="3685"/>
          </w:tcPr>
          <w:p>
            <w:r>
              <w:t>District Governor 2026–2027 (voorzitter)</w:t>
            </w:r>
          </w:p>
        </w:tc>
        <w:tc>
          <w:tcPr>
            <w:tcW w:type="dxa" w:w="2551"/>
          </w:tcPr>
          <w:p>
            <w:r/>
          </w:p>
        </w:tc>
        <w:tc>
          <w:tcPr>
            <w:tcW w:type="dxa" w:w="1417"/>
          </w:tcPr>
          <w:p>
            <w:r/>
          </w:p>
        </w:tc>
        <w:tc>
          <w:tcPr>
            <w:tcW w:type="dxa" w:w="2268"/>
          </w:tcPr>
          <w:p>
            <w:r/>
          </w:p>
        </w:tc>
      </w:tr>
      <w:tr>
        <w:tc>
          <w:tcPr>
            <w:tcW w:type="dxa" w:w="3685"/>
          </w:tcPr>
          <w:p>
            <w:r>
              <w:t>Voorzitter Gouverneursraad</w:t>
            </w:r>
          </w:p>
        </w:tc>
        <w:tc>
          <w:tcPr>
            <w:tcW w:type="dxa" w:w="2551"/>
          </w:tcPr>
          <w:p>
            <w:r/>
          </w:p>
        </w:tc>
        <w:tc>
          <w:tcPr>
            <w:tcW w:type="dxa" w:w="1417"/>
          </w:tcPr>
          <w:p>
            <w:r/>
          </w:p>
        </w:tc>
        <w:tc>
          <w:tcPr>
            <w:tcW w:type="dxa" w:w="2268"/>
          </w:tcPr>
          <w:p>
            <w:r/>
          </w:p>
        </w:tc>
      </w:tr>
      <w:tr>
        <w:tc>
          <w:tcPr>
            <w:tcW w:type="dxa" w:w="3685"/>
          </w:tcPr>
          <w:p>
            <w:r>
              <w:t>Cabinet Secretary 2026–2027</w:t>
            </w:r>
          </w:p>
        </w:tc>
        <w:tc>
          <w:tcPr>
            <w:tcW w:type="dxa" w:w="2551"/>
          </w:tcPr>
          <w:p>
            <w:r/>
          </w:p>
        </w:tc>
        <w:tc>
          <w:tcPr>
            <w:tcW w:type="dxa" w:w="1417"/>
          </w:tcPr>
          <w:p>
            <w:r/>
          </w:p>
        </w:tc>
        <w:tc>
          <w:tcPr>
            <w:tcW w:type="dxa" w:w="2268"/>
          </w:tcPr>
          <w:p>
            <w:r/>
          </w:p>
        </w:tc>
      </w:tr>
    </w:tbl>
    <w:p>
      <w:pPr>
        <w:pStyle w:val="Heading2"/>
      </w:pPr>
      <w:r>
        <w:rPr>
          <w:rFonts w:ascii="Calibri" w:hAnsi="Calibri"/>
          <w:color w:val="003366"/>
        </w:rPr>
        <w:t>Status document</w:t>
      </w:r>
    </w:p>
    <w:p>
      <w:pPr>
        <w:pStyle w:val="ListBullet"/>
        <w:ind w:left="720"/>
      </w:pPr>
      <w:r>
        <w:rPr>
          <w:rFonts w:ascii="Calibri" w:hAnsi="Calibri"/>
          <w:color w:val="333333"/>
          <w:sz w:val="22"/>
        </w:rPr>
        <w:t>Dit beleidsdocument is bindend voor alle betrokkenen bij de organisatie en uitvoering van de voorjaarsconventie van District 110AN in april 2027.</w:t>
      </w:r>
    </w:p>
    <w:p>
      <w:pPr>
        <w:pStyle w:val="ListBullet"/>
        <w:ind w:left="720"/>
      </w:pPr>
      <w:r>
        <w:rPr>
          <w:rFonts w:ascii="Calibri" w:hAnsi="Calibri"/>
          <w:color w:val="333333"/>
          <w:sz w:val="22"/>
        </w:rPr>
        <w:t>Geldigheidsduur: tot afronding van de evaluatie na de voorjaarsconventie 2027, en als leidraad voor de eerstvolgende roulatie.</w:t>
      </w:r>
    </w:p>
    <w:p>
      <w:pPr>
        <w:pStyle w:val="ListBullet"/>
        <w:ind w:left="720"/>
      </w:pPr>
      <w:r>
        <w:rPr>
          <w:rFonts w:ascii="Calibri" w:hAnsi="Calibri"/>
          <w:color w:val="333333"/>
          <w:sz w:val="22"/>
        </w:rPr>
        <w:t>Review: na de evaluatie van de conventie (uiterlijk 8 weken na conventiedatum), vóór overdracht aan de volgende organiserende club conform roulatieschema.</w:t>
      </w:r>
    </w:p>
    <w:p>
      <w:pPr>
        <w:pStyle w:val="ListBullet"/>
        <w:ind w:left="720"/>
      </w:pPr>
      <w:r>
        <w:rPr>
          <w:rFonts w:ascii="Calibri" w:hAnsi="Calibri"/>
          <w:color w:val="333333"/>
          <w:sz w:val="22"/>
        </w:rPr>
        <w:t>Detailuitwerkingen (processtappen, templates, planning) staan in de Procedure en het Projectplan (PVA); dit beleidsdocument is leidend bij conflicten.</w:t>
      </w:r>
    </w:p>
    <w:p>
      <w:r>
        <w:br w:type="page"/>
      </w:r>
    </w:p>
    <w:p>
      <w:pPr>
        <w:pStyle w:val="Heading1"/>
      </w:pPr>
      <w:r>
        <w:rPr>
          <w:rFonts w:ascii="Calibri" w:hAnsi="Calibri"/>
          <w:color w:val="003366"/>
        </w:rPr>
        <w:t>Inhoudsopgave</w:t>
      </w:r>
    </w:p>
    <w:p>
      <w:r>
        <w:rPr>
          <w:rFonts w:ascii="Calibri" w:hAnsi="Calibri"/>
          <w:b/>
          <w:i w:val="0"/>
          <w:color w:val="333333"/>
          <w:sz w:val="22"/>
        </w:rPr>
        <w:t>1. Doel &amp; Scope</w:t>
      </w:r>
    </w:p>
    <w:p>
      <w:r>
        <w:rPr>
          <w:rFonts w:ascii="Calibri" w:hAnsi="Calibri"/>
          <w:b/>
          <w:i w:val="0"/>
          <w:color w:val="333333"/>
          <w:sz w:val="22"/>
        </w:rPr>
        <w:t>2. Governance Grondslag</w:t>
      </w:r>
    </w:p>
    <w:p>
      <w:r>
        <w:rPr>
          <w:rFonts w:ascii="Calibri" w:hAnsi="Calibri"/>
          <w:b/>
          <w:i w:val="0"/>
          <w:color w:val="333333"/>
          <w:sz w:val="22"/>
        </w:rPr>
        <w:t>3. Organisatiestructuur</w:t>
      </w:r>
    </w:p>
    <w:p>
      <w:r>
        <w:rPr>
          <w:rFonts w:ascii="Calibri" w:hAnsi="Calibri"/>
          <w:b/>
          <w:i w:val="0"/>
          <w:color w:val="333333"/>
          <w:sz w:val="22"/>
        </w:rPr>
        <w:t>4. Basisprincipes</w:t>
      </w:r>
    </w:p>
    <w:p>
      <w:r>
        <w:rPr>
          <w:rFonts w:ascii="Calibri" w:hAnsi="Calibri"/>
          <w:b/>
          <w:i w:val="0"/>
          <w:color w:val="333333"/>
          <w:sz w:val="22"/>
        </w:rPr>
        <w:t>5. Stafverantwoordelijkheden (RACI-samenvatting)</w:t>
      </w:r>
    </w:p>
    <w:p>
      <w:r>
        <w:rPr>
          <w:rFonts w:ascii="Calibri" w:hAnsi="Calibri"/>
          <w:b/>
          <w:i w:val="0"/>
          <w:color w:val="333333"/>
          <w:sz w:val="22"/>
        </w:rPr>
        <w:t>6. Financieel Kader</w:t>
      </w:r>
    </w:p>
    <w:p>
      <w:r>
        <w:rPr>
          <w:rFonts w:ascii="Calibri" w:hAnsi="Calibri"/>
          <w:b/>
          <w:i w:val="0"/>
          <w:color w:val="333333"/>
          <w:sz w:val="22"/>
        </w:rPr>
        <w:t>7. Communicatie</w:t>
      </w:r>
    </w:p>
    <w:p>
      <w:r>
        <w:rPr>
          <w:rFonts w:ascii="Calibri" w:hAnsi="Calibri"/>
          <w:b/>
          <w:i w:val="0"/>
          <w:color w:val="333333"/>
          <w:sz w:val="22"/>
        </w:rPr>
        <w:t>8. Kwaliteitsborging</w:t>
      </w:r>
    </w:p>
    <w:p>
      <w:r>
        <w:rPr>
          <w:rFonts w:ascii="Calibri" w:hAnsi="Calibri"/>
          <w:b/>
          <w:i w:val="0"/>
          <w:color w:val="333333"/>
          <w:sz w:val="22"/>
        </w:rPr>
        <w:t>9. Wijzigingsprocedure</w:t>
      </w:r>
    </w:p>
    <w:p>
      <w:r>
        <w:rPr>
          <w:rFonts w:ascii="Calibri" w:hAnsi="Calibri"/>
          <w:b/>
          <w:i w:val="0"/>
          <w:color w:val="333333"/>
          <w:sz w:val="22"/>
        </w:rPr>
        <w:t>Bijlage A: Controleset Feiten</w:t>
      </w:r>
    </w:p>
    <w:p>
      <w:r>
        <w:rPr>
          <w:rFonts w:ascii="Calibri" w:hAnsi="Calibri"/>
          <w:b/>
          <w:i w:val="0"/>
          <w:color w:val="333333"/>
          <w:sz w:val="22"/>
        </w:rPr>
        <w:t>Bijlage B: Bronnenregister</w:t>
      </w:r>
    </w:p>
    <w:p>
      <w:r>
        <w:br w:type="page"/>
      </w:r>
    </w:p>
    <w:p>
      <w:pPr>
        <w:pStyle w:val="Heading1"/>
      </w:pPr>
      <w:r>
        <w:rPr>
          <w:rFonts w:ascii="Calibri" w:hAnsi="Calibri"/>
          <w:color w:val="003366"/>
        </w:rPr>
        <w:t>1. Doel &amp; Scope</w:t>
      </w:r>
    </w:p>
    <w:p>
      <w:pPr>
        <w:pStyle w:val="Heading2"/>
      </w:pPr>
      <w:r>
        <w:rPr>
          <w:rFonts w:ascii="Calibri" w:hAnsi="Calibri"/>
          <w:color w:val="003366"/>
        </w:rPr>
        <w:t>1.1 Doel</w:t>
      </w:r>
    </w:p>
    <w:p>
      <w:r>
        <w:rPr>
          <w:rFonts w:ascii="Calibri" w:hAnsi="Calibri"/>
          <w:b w:val="0"/>
          <w:i w:val="0"/>
          <w:color w:val="333333"/>
          <w:sz w:val="22"/>
        </w:rPr>
        <w:t>Dit beleidsdocument vestigt het kader voor de organisatie, besluitvorming en uitvoering van de officiële LCI District Convention — de voorjaarsconventie — van District 110AN in April 2027. Het beleid waarborgt dat de conventie conform de internationale en districtse regels wordt voorbereid en gehouden, met rechtsgeldige stemmingen, transparante besluitvorming en een zorgvuldige financiële verantwoording.</w:t>
      </w:r>
    </w:p>
    <w:p>
      <w:pPr>
        <w:pStyle w:val="Heading2"/>
      </w:pPr>
      <w:r>
        <w:rPr>
          <w:rFonts w:ascii="Calibri" w:hAnsi="Calibri"/>
          <w:color w:val="003366"/>
        </w:rPr>
        <w:t>1.2 Scope</w:t>
      </w:r>
    </w:p>
    <w:p>
      <w:pPr>
        <w:pStyle w:val="ListBullet"/>
        <w:ind w:left="720"/>
      </w:pPr>
      <w:r>
        <w:rPr>
          <w:rFonts w:ascii="Calibri" w:hAnsi="Calibri"/>
          <w:color w:val="333333"/>
          <w:sz w:val="22"/>
        </w:rPr>
        <w:t>District: 110AN (Multiple District 110 Nederland)</w:t>
      </w:r>
    </w:p>
    <w:p>
      <w:pPr>
        <w:pStyle w:val="ListBullet"/>
        <w:ind w:left="720"/>
      </w:pPr>
      <w:r>
        <w:rPr>
          <w:rFonts w:ascii="Calibri" w:hAnsi="Calibri"/>
          <w:color w:val="333333"/>
          <w:sz w:val="22"/>
        </w:rPr>
        <w:t>Conventietype: Voorjaarsconventie (District Convention) — officiële jaarvergadering van het district</w:t>
      </w:r>
    </w:p>
    <w:p>
      <w:pPr>
        <w:pStyle w:val="ListBullet"/>
        <w:ind w:left="720"/>
      </w:pPr>
      <w:r>
        <w:rPr>
          <w:rFonts w:ascii="Calibri" w:hAnsi="Calibri"/>
          <w:color w:val="333333"/>
          <w:sz w:val="22"/>
        </w:rPr>
        <w:t>Datum: April 2027 (exacte datum conform roulatieschema Gouverneursraad)</w:t>
      </w:r>
    </w:p>
    <w:p>
      <w:pPr>
        <w:pStyle w:val="ListBullet"/>
        <w:ind w:left="720"/>
      </w:pPr>
      <w:r>
        <w:rPr>
          <w:rFonts w:ascii="Calibri" w:hAnsi="Calibri"/>
          <w:color w:val="333333"/>
          <w:sz w:val="22"/>
        </w:rPr>
        <w:t>Locatie: conform roulatieschema (vastgesteld door de Gouverneursraad op 6 mei 2022)</w:t>
      </w:r>
    </w:p>
    <w:p>
      <w:pPr>
        <w:pStyle w:val="ListBullet"/>
        <w:ind w:left="720"/>
      </w:pPr>
      <w:r>
        <w:rPr>
          <w:rFonts w:ascii="Calibri" w:hAnsi="Calibri"/>
          <w:color w:val="333333"/>
          <w:sz w:val="22"/>
        </w:rPr>
        <w:t>Organisator: District 110AN met Conventiecommissie en Host Club (organiserende club)</w:t>
      </w:r>
    </w:p>
    <w:p>
      <w:pPr>
        <w:pStyle w:val="ListBullet"/>
        <w:ind w:left="720"/>
      </w:pPr>
      <w:r>
        <w:rPr>
          <w:rFonts w:ascii="Calibri" w:hAnsi="Calibri"/>
          <w:color w:val="333333"/>
          <w:sz w:val="22"/>
        </w:rPr>
        <w:t>Geldigheid: gehele conventiecyclus — voorbereiding, uitvoering, evaluatie en overdracht</w:t>
      </w:r>
    </w:p>
    <w:p>
      <w:pPr>
        <w:pStyle w:val="Heading2"/>
      </w:pPr>
      <w:r>
        <w:rPr>
          <w:rFonts w:ascii="Calibri" w:hAnsi="Calibri"/>
          <w:color w:val="003366"/>
        </w:rPr>
        <w:t>1.3 Uitsluitingen</w:t>
      </w:r>
    </w:p>
    <w:p>
      <w:pPr>
        <w:pStyle w:val="ListBullet"/>
        <w:ind w:left="720"/>
      </w:pPr>
      <w:r>
        <w:rPr>
          <w:rFonts w:ascii="Calibri" w:hAnsi="Calibri"/>
          <w:color w:val="333333"/>
          <w:sz w:val="22"/>
        </w:rPr>
        <w:t>Dit beleidsdocument regelt geen operationele detailuitvoering; zie hiervoor de Procedure en het Projectplan (PVA).</w:t>
      </w:r>
    </w:p>
    <w:p>
      <w:pPr>
        <w:pStyle w:val="ListBullet"/>
        <w:ind w:left="720"/>
      </w:pPr>
      <w:r>
        <w:rPr>
          <w:rFonts w:ascii="Calibri" w:hAnsi="Calibri"/>
          <w:color w:val="333333"/>
          <w:sz w:val="22"/>
        </w:rPr>
        <w:t>Najaarsconventies (Ledenontmoetings- en inspiratieavonden) vallen buiten de scope van dit beleid.</w:t>
      </w:r>
    </w:p>
    <w:p>
      <w:pPr>
        <w:pStyle w:val="ListBullet"/>
        <w:ind w:left="720"/>
      </w:pPr>
      <w:r>
        <w:rPr>
          <w:rFonts w:ascii="Calibri" w:hAnsi="Calibri"/>
          <w:color w:val="333333"/>
          <w:sz w:val="22"/>
        </w:rPr>
        <w:t>De Nationale Conventie en het Europaforum vallen onder verantwoordelijkheid van MD 110 respectievelijk de Gouverneursraad.</w:t>
      </w:r>
    </w:p>
    <w:p>
      <w:r>
        <w:br w:type="page"/>
      </w:r>
    </w:p>
    <w:p>
      <w:pPr>
        <w:pStyle w:val="Heading1"/>
      </w:pPr>
      <w:r>
        <w:rPr>
          <w:rFonts w:ascii="Calibri" w:hAnsi="Calibri"/>
          <w:color w:val="003366"/>
        </w:rPr>
        <w:t>2. Governance Grondslag</w:t>
      </w:r>
    </w:p>
    <w:p>
      <w:r>
        <w:rPr>
          <w:rFonts w:ascii="Calibri" w:hAnsi="Calibri"/>
          <w:b w:val="0"/>
          <w:i w:val="0"/>
          <w:color w:val="333333"/>
          <w:sz w:val="22"/>
        </w:rPr>
        <w:t>De voorjaarsconventie van District 110AN is een officiële District Convention binnen Lions Clubs International en berust op het onderstaande meerlagenstelsel. Bij conflicten is het hogere niveau leidend.</w:t>
      </w:r>
    </w:p>
    <w:tbl>
      <w:tblPr>
        <w:tblStyle w:val="TableGrid"/>
        <w:tblW w:type="auto" w:w="0"/>
        <w:jc w:val="center"/>
        <w:tblLook w:firstColumn="1" w:firstRow="1" w:lastColumn="0" w:lastRow="0" w:noHBand="0" w:noVBand="1" w:val="04A0"/>
      </w:tblPr>
      <w:tblGrid>
        <w:gridCol w:w="3120"/>
        <w:gridCol w:w="3120"/>
        <w:gridCol w:w="3120"/>
      </w:tblGrid>
      <w:tr>
        <w:tc>
          <w:tcPr>
            <w:tcW w:type="dxa" w:w="1701"/>
            <w:shd w:fill="003366"/>
          </w:tcPr>
          <w:p>
            <w:r>
              <w:t>Niveau</w:t>
            </w:r>
          </w:p>
        </w:tc>
        <w:tc>
          <w:tcPr>
            <w:tcW w:type="dxa" w:w="3402"/>
            <w:shd w:fill="003366"/>
          </w:tcPr>
          <w:p>
            <w:r>
              <w:t>Grondslag</w:t>
            </w:r>
          </w:p>
        </w:tc>
        <w:tc>
          <w:tcPr>
            <w:tcW w:type="dxa" w:w="5102"/>
            <w:shd w:fill="003366"/>
          </w:tcPr>
          <w:p>
            <w:r>
              <w:t>Relevantie voor de conventie</w:t>
            </w:r>
          </w:p>
        </w:tc>
      </w:tr>
      <w:tr>
        <w:tc>
          <w:tcPr>
            <w:tcW w:type="dxa" w:w="1701"/>
          </w:tcPr>
          <w:p>
            <w:r>
              <w:t>Internationaal</w:t>
            </w:r>
          </w:p>
        </w:tc>
        <w:tc>
          <w:tcPr>
            <w:tcW w:type="dxa" w:w="3402"/>
          </w:tcPr>
          <w:p>
            <w:r>
              <w:t>LCI Constitution &amp; By-Laws — Chapter XVII (District Conventions)</w:t>
            </w:r>
          </w:p>
        </w:tc>
        <w:tc>
          <w:tcPr>
            <w:tcW w:type="dxa" w:w="5102"/>
          </w:tcPr>
          <w:p>
            <w:r>
              <w:t>Vereisten voor districtconventies: oproeping, stemrechten, verkiezingen DG/VDG, goedkeuring werkplan en begroting</w:t>
            </w:r>
          </w:p>
        </w:tc>
      </w:tr>
      <w:tr>
        <w:tc>
          <w:tcPr>
            <w:tcW w:type="dxa" w:w="1701"/>
          </w:tcPr>
          <w:p>
            <w:r>
              <w:t>Multiple District</w:t>
            </w:r>
          </w:p>
        </w:tc>
        <w:tc>
          <w:tcPr>
            <w:tcW w:type="dxa" w:w="3402"/>
          </w:tcPr>
          <w:p>
            <w:r>
              <w:t>Huishoudelijk Reglement MD 110 Nederland, mei 2021 — Sectie 1 Conventiereglement</w:t>
            </w:r>
          </w:p>
        </w:tc>
        <w:tc>
          <w:tcPr>
            <w:tcW w:type="dxa" w:w="5102"/>
          </w:tcPr>
          <w:p>
            <w:r>
              <w:t>Oproeping (≥ 30 dagen vooraf), aanmelding (uiterlijk 48 uur vooraf), aanwijzing stemgerechtigden (uiterlijk 24 uur vooraf), spreekrecht, voorstellen, stembureau en stemmingprocedures</w:t>
            </w:r>
          </w:p>
        </w:tc>
      </w:tr>
      <w:tr>
        <w:tc>
          <w:tcPr>
            <w:tcW w:type="dxa" w:w="1701"/>
          </w:tcPr>
          <w:p>
            <w:r>
              <w:t>District</w:t>
            </w:r>
          </w:p>
        </w:tc>
        <w:tc>
          <w:tcPr>
            <w:tcW w:type="dxa" w:w="3402"/>
          </w:tcPr>
          <w:p>
            <w:r>
              <w:t>Regels en besluiten van District 110AN / Gouverneursraad</w:t>
            </w:r>
          </w:p>
        </w:tc>
        <w:tc>
          <w:tcPr>
            <w:tcW w:type="dxa" w:w="5102"/>
          </w:tcPr>
          <w:p>
            <w:r>
              <w:t>Roulatieschema voorjaarsconventies (vastgesteld 6 mei 2022), districtsagenda, districtbegroting met conventie-post</w:t>
            </w:r>
          </w:p>
        </w:tc>
      </w:tr>
      <w:tr>
        <w:tc>
          <w:tcPr>
            <w:tcW w:type="dxa" w:w="1701"/>
          </w:tcPr>
          <w:p>
            <w:r>
              <w:t>Project</w:t>
            </w:r>
          </w:p>
        </w:tc>
        <w:tc>
          <w:tcPr>
            <w:tcW w:type="dxa" w:w="3402"/>
          </w:tcPr>
          <w:p>
            <w:r>
              <w:t>Dit beleidsdocument + Procedure + Projectplan (PVA)</w:t>
            </w:r>
          </w:p>
        </w:tc>
        <w:tc>
          <w:tcPr>
            <w:tcW w:type="dxa" w:w="5102"/>
          </w:tcPr>
          <w:p>
            <w:r>
              <w:t>Operationele uitwerking onder verantwoordelijkheid van de District Governor en de Conventiecommissie</w:t>
            </w:r>
          </w:p>
        </w:tc>
      </w:tr>
    </w:tbl>
    <w:p>
      <w:pPr>
        <w:pStyle w:val="Heading2"/>
      </w:pPr>
      <w:r>
        <w:rPr>
          <w:rFonts w:ascii="Calibri" w:hAnsi="Calibri"/>
          <w:color w:val="003366"/>
        </w:rPr>
        <w:t>2.1 Kerneisen uit de grondslag</w:t>
      </w:r>
    </w:p>
    <w:tbl>
      <w:tblPr>
        <w:tblStyle w:val="TableGrid"/>
        <w:tblW w:type="auto" w:w="0"/>
        <w:jc w:val="center"/>
        <w:tblLook w:firstColumn="1" w:firstRow="1" w:lastColumn="0" w:lastRow="0" w:noHBand="0" w:noVBand="1" w:val="04A0"/>
      </w:tblPr>
      <w:tblGrid>
        <w:gridCol w:w="3120"/>
        <w:gridCol w:w="3120"/>
        <w:gridCol w:w="3120"/>
      </w:tblGrid>
      <w:tr>
        <w:tc>
          <w:tcPr>
            <w:tcW w:type="dxa" w:w="2268"/>
            <w:shd w:fill="003366"/>
          </w:tcPr>
          <w:p>
            <w:r>
              <w:t>Eis</w:t>
            </w:r>
          </w:p>
        </w:tc>
        <w:tc>
          <w:tcPr>
            <w:tcW w:type="dxa" w:w="5386"/>
            <w:shd w:fill="003366"/>
          </w:tcPr>
          <w:p>
            <w:r>
              <w:t>Regel</w:t>
            </w:r>
          </w:p>
        </w:tc>
        <w:tc>
          <w:tcPr>
            <w:tcW w:type="dxa" w:w="2268"/>
            <w:shd w:fill="003366"/>
          </w:tcPr>
          <w:p>
            <w:r>
              <w:t>Bron</w:t>
            </w:r>
          </w:p>
        </w:tc>
      </w:tr>
      <w:tr>
        <w:tc>
          <w:tcPr>
            <w:tcW w:type="dxa" w:w="2268"/>
          </w:tcPr>
          <w:p>
            <w:r>
              <w:t>Oproeping</w:t>
            </w:r>
          </w:p>
        </w:tc>
        <w:tc>
          <w:tcPr>
            <w:tcW w:type="dxa" w:w="5386"/>
          </w:tcPr>
          <w:p>
            <w:r>
              <w:t>Ten minste 30 dagen voor de conventie aan alle clubs, clubs in oprichting, Lions en Leoclubs in het MD</w:t>
            </w:r>
          </w:p>
        </w:tc>
        <w:tc>
          <w:tcPr>
            <w:tcW w:type="dxa" w:w="2268"/>
          </w:tcPr>
          <w:p>
            <w:r>
              <w:t>HR art. 2.1</w:t>
            </w:r>
          </w:p>
        </w:tc>
      </w:tr>
      <w:tr>
        <w:tc>
          <w:tcPr>
            <w:tcW w:type="dxa" w:w="2268"/>
          </w:tcPr>
          <w:p>
            <w:r>
              <w:t>Aanmelding stemrecht</w:t>
            </w:r>
          </w:p>
        </w:tc>
        <w:tc>
          <w:tcPr>
            <w:tcW w:type="dxa" w:w="5386"/>
          </w:tcPr>
          <w:p>
            <w:r>
              <w:t>Lid meldt zich uiterlijk 48 uur voor aanvang aan; club wijst stemgerechtigde uiterlijk 24 uur voor aanvang aan</w:t>
            </w:r>
          </w:p>
        </w:tc>
        <w:tc>
          <w:tcPr>
            <w:tcW w:type="dxa" w:w="2268"/>
          </w:tcPr>
          <w:p>
            <w:r>
              <w:t>HR art. 2.1–2.2</w:t>
            </w:r>
          </w:p>
        </w:tc>
      </w:tr>
      <w:tr>
        <w:tc>
          <w:tcPr>
            <w:tcW w:type="dxa" w:w="2268"/>
          </w:tcPr>
          <w:p>
            <w:r>
              <w:t>Stemrecht</w:t>
            </w:r>
          </w:p>
        </w:tc>
        <w:tc>
          <w:tcPr>
            <w:tcW w:type="dxa" w:w="5386"/>
          </w:tcPr>
          <w:p>
            <w:r>
              <w:t>1 stem per 10 leden per club (min 1, max 5)</w:t>
            </w:r>
          </w:p>
        </w:tc>
        <w:tc>
          <w:tcPr>
            <w:tcW w:type="dxa" w:w="2268"/>
          </w:tcPr>
          <w:p>
            <w:r>
              <w:t>LCI Statuten / HR</w:t>
            </w:r>
          </w:p>
        </w:tc>
      </w:tr>
      <w:tr>
        <w:tc>
          <w:tcPr>
            <w:tcW w:type="dxa" w:w="2268"/>
          </w:tcPr>
          <w:p>
            <w:r>
              <w:t>Quorum</w:t>
            </w:r>
          </w:p>
        </w:tc>
        <w:tc>
          <w:tcPr>
            <w:tcW w:type="dxa" w:w="5386"/>
          </w:tcPr>
          <w:p>
            <w:r>
              <w:t>&gt;50% van stemgerechtigden (voor de meeste artikelen)</w:t>
            </w:r>
          </w:p>
        </w:tc>
        <w:tc>
          <w:tcPr>
            <w:tcW w:type="dxa" w:w="2268"/>
          </w:tcPr>
          <w:p>
            <w:r>
              <w:t>HR</w:t>
            </w:r>
          </w:p>
        </w:tc>
      </w:tr>
      <w:tr>
        <w:tc>
          <w:tcPr>
            <w:tcW w:type="dxa" w:w="2268"/>
          </w:tcPr>
          <w:p>
            <w:r>
              <w:t>Spreekrecht</w:t>
            </w:r>
          </w:p>
        </w:tc>
        <w:tc>
          <w:tcPr>
            <w:tcW w:type="dxa" w:w="5386"/>
          </w:tcPr>
          <w:p>
            <w:r>
              <w:t>Alleen aangewezen stemgerechtigden; leden van MD-organen en MD-stichtingen hebben spreekrecht</w:t>
            </w:r>
          </w:p>
        </w:tc>
        <w:tc>
          <w:tcPr>
            <w:tcW w:type="dxa" w:w="2268"/>
          </w:tcPr>
          <w:p>
            <w:r>
              <w:t>HR art. 2.3–2.4</w:t>
            </w:r>
          </w:p>
        </w:tc>
      </w:tr>
      <w:tr>
        <w:tc>
          <w:tcPr>
            <w:tcW w:type="dxa" w:w="2268"/>
          </w:tcPr>
          <w:p>
            <w:r>
              <w:t>Verkiezingen</w:t>
            </w:r>
          </w:p>
        </w:tc>
        <w:tc>
          <w:tcPr>
            <w:tcW w:type="dxa" w:w="5386"/>
          </w:tcPr>
          <w:p>
            <w:r>
              <w:t>Kandidaatstelling DG/VDG uiterlijk 30 dagen voor de conventie; stemming via stembiljetten</w:t>
            </w:r>
          </w:p>
        </w:tc>
        <w:tc>
          <w:tcPr>
            <w:tcW w:type="dxa" w:w="2268"/>
          </w:tcPr>
          <w:p>
            <w:r>
              <w:t>HR art. 10, 17</w:t>
            </w:r>
          </w:p>
        </w:tc>
      </w:tr>
      <w:tr>
        <w:tc>
          <w:tcPr>
            <w:tcW w:type="dxa" w:w="2268"/>
          </w:tcPr>
          <w:p>
            <w:r>
              <w:t>Conventiestukken</w:t>
            </w:r>
          </w:p>
        </w:tc>
        <w:tc>
          <w:tcPr>
            <w:tcW w:type="dxa" w:w="5386"/>
          </w:tcPr>
          <w:p>
            <w:r>
              <w:t>Digitaal verstrekken uiterlijk 20 dagen voor de conventie</w:t>
            </w:r>
          </w:p>
        </w:tc>
        <w:tc>
          <w:tcPr>
            <w:tcW w:type="dxa" w:w="2268"/>
          </w:tcPr>
          <w:p>
            <w:r>
              <w:t>HR art. 7.1</w:t>
            </w:r>
          </w:p>
        </w:tc>
      </w:tr>
      <w:tr>
        <w:tc>
          <w:tcPr>
            <w:tcW w:type="dxa" w:w="2268"/>
          </w:tcPr>
          <w:p>
            <w:r>
              <w:t>Notulen</w:t>
            </w:r>
          </w:p>
        </w:tc>
        <w:tc>
          <w:tcPr>
            <w:tcW w:type="dxa" w:w="5386"/>
          </w:tcPr>
          <w:p>
            <w:r>
              <w:t>Vaststelling volgende kabinetsvergadering (conform HR)</w:t>
            </w:r>
          </w:p>
        </w:tc>
        <w:tc>
          <w:tcPr>
            <w:tcW w:type="dxa" w:w="2268"/>
          </w:tcPr>
          <w:p>
            <w:r>
              <w:t>HR art. 21.4</w:t>
            </w:r>
          </w:p>
        </w:tc>
      </w:tr>
    </w:tbl>
    <w:p>
      <w:r>
        <w:br w:type="page"/>
      </w:r>
    </w:p>
    <w:p>
      <w:pPr>
        <w:pStyle w:val="Heading1"/>
      </w:pPr>
      <w:r>
        <w:rPr>
          <w:rFonts w:ascii="Calibri" w:hAnsi="Calibri"/>
          <w:color w:val="003366"/>
        </w:rPr>
        <w:t>3. Organisatiestructuur</w:t>
      </w:r>
    </w:p>
    <w:p>
      <w:r>
        <w:rPr>
          <w:rFonts w:ascii="Calibri" w:hAnsi="Calibri"/>
          <w:b w:val="0"/>
          <w:i w:val="0"/>
          <w:color w:val="333333"/>
          <w:sz w:val="22"/>
        </w:rPr>
        <w:t>De organisatie van de voorjaarsconventie kent de volgende structuur. De District Governor is voorzitter van de conventie en eindverantwoordelijk; besluitvorming over statutaire zaken ligt uiteindelijk bij de conventie zelf en de Gouverneursraad.</w:t>
      </w:r>
    </w:p>
    <w:tbl>
      <w:tblPr>
        <w:tblStyle w:val="TableGrid"/>
        <w:tblW w:type="auto" w:w="0"/>
        <w:jc w:val="center"/>
        <w:tblLook w:firstColumn="1" w:firstRow="1" w:lastColumn="0" w:lastRow="0" w:noHBand="0" w:noVBand="1" w:val="04A0"/>
      </w:tblPr>
      <w:tblGrid>
        <w:gridCol w:w="3120"/>
        <w:gridCol w:w="3120"/>
        <w:gridCol w:w="3120"/>
      </w:tblGrid>
      <w:tr>
        <w:tc>
          <w:tcPr>
            <w:tcW w:type="dxa" w:w="1984"/>
            <w:shd w:fill="003366"/>
          </w:tcPr>
          <w:p>
            <w:r>
              <w:t>Rol</w:t>
            </w:r>
          </w:p>
        </w:tc>
        <w:tc>
          <w:tcPr>
            <w:tcW w:type="dxa" w:w="2835"/>
            <w:shd w:fill="003366"/>
          </w:tcPr>
          <w:p>
            <w:r>
              <w:t>Functie</w:t>
            </w:r>
          </w:p>
        </w:tc>
        <w:tc>
          <w:tcPr>
            <w:tcW w:type="dxa" w:w="5102"/>
            <w:shd w:fill="003366"/>
          </w:tcPr>
          <w:p>
            <w:r>
              <w:t>Verantwoordelijkheid (samengevat)</w:t>
            </w:r>
          </w:p>
        </w:tc>
      </w:tr>
      <w:tr>
        <w:tc>
          <w:tcPr>
            <w:tcW w:type="dxa" w:w="1984"/>
          </w:tcPr>
          <w:p>
            <w:r>
              <w:t>Voorzitter</w:t>
            </w:r>
          </w:p>
        </w:tc>
        <w:tc>
          <w:tcPr>
            <w:tcW w:type="dxa" w:w="2835"/>
          </w:tcPr>
          <w:p>
            <w:r>
              <w:t>District Governor (DG) 2026–2027</w:t>
            </w:r>
          </w:p>
        </w:tc>
        <w:tc>
          <w:tcPr>
            <w:tcW w:type="dxa" w:w="5102"/>
          </w:tcPr>
          <w:p>
            <w:r>
              <w:t>Eindverantwoordelijk voor de conventie; leidt de plenaire vergadering; vertegenwoordigt het district naar LCI en internationale gasten</w:t>
            </w:r>
          </w:p>
        </w:tc>
      </w:tr>
      <w:tr>
        <w:tc>
          <w:tcPr>
            <w:tcW w:type="dxa" w:w="1984"/>
          </w:tcPr>
          <w:p>
            <w:r>
              <w:t>Ondersteuning bestuur</w:t>
            </w:r>
          </w:p>
        </w:tc>
        <w:tc>
          <w:tcPr>
            <w:tcW w:type="dxa" w:w="2835"/>
          </w:tcPr>
          <w:p>
            <w:r>
              <w:t>Vice District Governors (1e en 2e VDG)</w:t>
            </w:r>
          </w:p>
        </w:tc>
        <w:tc>
          <w:tcPr>
            <w:tcW w:type="dxa" w:w="5102"/>
          </w:tcPr>
          <w:p>
            <w:r>
              <w:t>Ondersteunen de DG; bereiden verkiezingen en werkplanpresentaties voor; deelnemen aan de Conventiecommissie</w:t>
            </w:r>
          </w:p>
        </w:tc>
      </w:tr>
      <w:tr>
        <w:tc>
          <w:tcPr>
            <w:tcW w:type="dxa" w:w="1984"/>
          </w:tcPr>
          <w:p>
            <w:r>
              <w:t>Secretariaat</w:t>
            </w:r>
          </w:p>
        </w:tc>
        <w:tc>
          <w:tcPr>
            <w:tcW w:type="dxa" w:w="2835"/>
          </w:tcPr>
          <w:p>
            <w:r>
              <w:t>Cabinet Secretary 2026–2027</w:t>
            </w:r>
          </w:p>
        </w:tc>
        <w:tc>
          <w:tcPr>
            <w:tcW w:type="dxa" w:w="5102"/>
          </w:tcPr>
          <w:p>
            <w:r>
              <w:t>Oproeping, agenda, conventiestukken, registratie van stemgerechtigden, notulen en besluitenlijst; vaste aanspreekpunt samen met de ambtelijk secretaris</w:t>
            </w:r>
          </w:p>
        </w:tc>
      </w:tr>
      <w:tr>
        <w:tc>
          <w:tcPr>
            <w:tcW w:type="dxa" w:w="1984"/>
          </w:tcPr>
          <w:p>
            <w:r>
              <w:t>Financiën</w:t>
            </w:r>
          </w:p>
        </w:tc>
        <w:tc>
          <w:tcPr>
            <w:tcW w:type="dxa" w:w="2835"/>
          </w:tcPr>
          <w:p>
            <w:r>
              <w:t>Cabinet Treasurer 2026–2027</w:t>
            </w:r>
          </w:p>
        </w:tc>
        <w:tc>
          <w:tcPr>
            <w:tcW w:type="dxa" w:w="5102"/>
          </w:tcPr>
          <w:p>
            <w:r>
              <w:t>Bewaking conventiebudget conform districtbegroting; financiële verantwoording na de conventie</w:t>
            </w:r>
          </w:p>
        </w:tc>
      </w:tr>
      <w:tr>
        <w:tc>
          <w:tcPr>
            <w:tcW w:type="dxa" w:w="1984"/>
          </w:tcPr>
          <w:p>
            <w:r>
              <w:t>Uitvoering</w:t>
            </w:r>
          </w:p>
        </w:tc>
        <w:tc>
          <w:tcPr>
            <w:tcW w:type="dxa" w:w="2835"/>
          </w:tcPr>
          <w:p>
            <w:r>
              <w:t>Conventiecommissie</w:t>
            </w:r>
          </w:p>
        </w:tc>
        <w:tc>
          <w:tcPr>
            <w:tcW w:type="dxa" w:w="5102"/>
          </w:tcPr>
          <w:p>
            <w:r>
              <w:t>Operationele organisatie: locatie, logistiek, programma, registratie, vlaggenceremonie, catering en exploitatie</w:t>
            </w:r>
          </w:p>
        </w:tc>
      </w:tr>
      <w:tr>
        <w:tc>
          <w:tcPr>
            <w:tcW w:type="dxa" w:w="1984"/>
          </w:tcPr>
          <w:p>
            <w:r>
              <w:t>Gastheerschap</w:t>
            </w:r>
          </w:p>
        </w:tc>
        <w:tc>
          <w:tcPr>
            <w:tcW w:type="dxa" w:w="2835"/>
          </w:tcPr>
          <w:p>
            <w:r>
              <w:t>Host Club (organiserende club, conform roulatieschema)</w:t>
            </w:r>
          </w:p>
        </w:tc>
        <w:tc>
          <w:tcPr>
            <w:tcW w:type="dxa" w:w="5102"/>
          </w:tcPr>
          <w:p>
            <w:r>
              <w:t>Lokale gastvrijheid, vrijwilligers, logistieke ondersteuning op locatie; overdracht van lessen geleerd aan de volgende organiserende club</w:t>
            </w:r>
          </w:p>
        </w:tc>
      </w:tr>
      <w:tr>
        <w:tc>
          <w:tcPr>
            <w:tcW w:type="dxa" w:w="1984"/>
          </w:tcPr>
          <w:p>
            <w:r>
              <w:t>Toezicht stemproces</w:t>
            </w:r>
          </w:p>
        </w:tc>
        <w:tc>
          <w:tcPr>
            <w:tcW w:type="dxa" w:w="2835"/>
          </w:tcPr>
          <w:p>
            <w:r>
              <w:t>Stembureau (benoemd door Gouverneursraad)</w:t>
            </w:r>
          </w:p>
        </w:tc>
        <w:tc>
          <w:tcPr>
            <w:tcW w:type="dxa" w:w="5102"/>
          </w:tcPr>
          <w:p>
            <w:r>
              <w:t>Telling van stemmen, verificatie quorum, vaststelling uitslagen (conform HR)</w:t>
            </w:r>
          </w:p>
        </w:tc>
      </w:tr>
      <w:tr>
        <w:tc>
          <w:tcPr>
            <w:tcW w:type="dxa" w:w="1984"/>
          </w:tcPr>
          <w:p>
            <w:r>
              <w:t>Overlegorgaan</w:t>
            </w:r>
          </w:p>
        </w:tc>
        <w:tc>
          <w:tcPr>
            <w:tcW w:type="dxa" w:w="2835"/>
          </w:tcPr>
          <w:p>
            <w:r>
              <w:t>Gouverneursraad (MD-niveau)</w:t>
            </w:r>
          </w:p>
        </w:tc>
        <w:tc>
          <w:tcPr>
            <w:tcW w:type="dxa" w:w="5102"/>
          </w:tcPr>
          <w:p>
            <w:r>
              <w:t>Benoemt stembureau; behandelt escalaties en gevallen niet voorzien in het reglement (HR art. 18)</w:t>
            </w:r>
          </w:p>
        </w:tc>
      </w:tr>
    </w:tbl>
    <w:p>
      <w:pPr>
        <w:pStyle w:val="Heading2"/>
      </w:pPr>
      <w:r>
        <w:rPr>
          <w:rFonts w:ascii="Calibri" w:hAnsi="Calibri"/>
          <w:color w:val="003366"/>
        </w:rPr>
        <w:t>3.1 Verantwoordingslijnen</w:t>
      </w:r>
    </w:p>
    <w:p>
      <w:pPr>
        <w:pStyle w:val="ListBullet"/>
        <w:ind w:left="720"/>
      </w:pPr>
      <w:r>
        <w:rPr>
          <w:rFonts w:ascii="Calibri" w:hAnsi="Calibri"/>
          <w:color w:val="333333"/>
          <w:sz w:val="22"/>
        </w:rPr>
        <w:t>De Conventiecommissie en Host Club rapporteren aan de DG en het kabinet (maandelijkse voortgangsinformatie).</w:t>
      </w:r>
    </w:p>
    <w:p>
      <w:pPr>
        <w:pStyle w:val="ListBullet"/>
        <w:ind w:left="720"/>
      </w:pPr>
      <w:r>
        <w:rPr>
          <w:rFonts w:ascii="Calibri" w:hAnsi="Calibri"/>
          <w:color w:val="333333"/>
          <w:sz w:val="22"/>
        </w:rPr>
        <w:t>De DG en Cabinet Secretary zijn de 'linking pin' richting de Gouverneursraad en LCI (conform Handboek Lions Conventies).</w:t>
      </w:r>
    </w:p>
    <w:p>
      <w:pPr>
        <w:pStyle w:val="ListBullet"/>
        <w:ind w:left="720"/>
      </w:pPr>
      <w:r>
        <w:rPr>
          <w:rFonts w:ascii="Calibri" w:hAnsi="Calibri"/>
          <w:color w:val="333333"/>
          <w:sz w:val="22"/>
        </w:rPr>
        <w:t>Het stembureau werkt onafhankelijk en rapporteert uitsluitend aan de conventievoorzitter en de plenaire vergadering.</w:t>
      </w:r>
    </w:p>
    <w:p>
      <w:r>
        <w:br w:type="page"/>
      </w:r>
    </w:p>
    <w:p>
      <w:pPr>
        <w:pStyle w:val="Heading1"/>
      </w:pPr>
      <w:r>
        <w:rPr>
          <w:rFonts w:ascii="Calibri" w:hAnsi="Calibri"/>
          <w:color w:val="003366"/>
        </w:rPr>
        <w:t>4. Basisprincipes</w:t>
      </w:r>
    </w:p>
    <w:p>
      <w:r>
        <w:rPr>
          <w:rFonts w:ascii="Calibri" w:hAnsi="Calibri"/>
          <w:b w:val="0"/>
          <w:i w:val="0"/>
          <w:color w:val="333333"/>
          <w:sz w:val="22"/>
        </w:rPr>
        <w:t>De organisatie en besluitvorming van de voorjaarsconventie zijn gebaseerd op vier basisprincipes:</w:t>
      </w:r>
    </w:p>
    <w:p>
      <w:pPr>
        <w:pStyle w:val="Heading2"/>
      </w:pPr>
      <w:r>
        <w:rPr>
          <w:rFonts w:ascii="Calibri" w:hAnsi="Calibri"/>
          <w:color w:val="003366"/>
        </w:rPr>
        <w:t>Transparantie</w:t>
      </w:r>
    </w:p>
    <w:p>
      <w:r>
        <w:rPr>
          <w:rFonts w:ascii="Calibri" w:hAnsi="Calibri"/>
          <w:b w:val="0"/>
          <w:i w:val="0"/>
          <w:color w:val="333333"/>
          <w:sz w:val="22"/>
        </w:rPr>
        <w:t>Alle besluitvorming is navolgbaar: oproeping, agenda, voorstellen, begroting en stemuitslagen worden tijdig en volledig gecommuniceerd aan alle clubs en leden. Conventiestukken worden uiterlijk 20 dagen voor de conventie digitaal verstrekt (HR art. 7.1). Financiële verantwoording wordt na de conventie openbaar gemaakt binnen het district.</w:t>
      </w:r>
    </w:p>
    <w:p>
      <w:pPr>
        <w:pStyle w:val="Heading2"/>
      </w:pPr>
      <w:r>
        <w:rPr>
          <w:rFonts w:ascii="Calibri" w:hAnsi="Calibri"/>
          <w:color w:val="003366"/>
        </w:rPr>
        <w:t>Gelijkwaardigheid</w:t>
      </w:r>
    </w:p>
    <w:p>
      <w:r>
        <w:rPr>
          <w:rFonts w:ascii="Calibri" w:hAnsi="Calibri"/>
          <w:b w:val="0"/>
          <w:i w:val="0"/>
          <w:color w:val="333333"/>
          <w:sz w:val="22"/>
        </w:rPr>
        <w:t>Elke club heeft stemrecht conform de vaste regel (1 stem per 10 leden, minimaal 1, maximaal 5). Alle leden hebben onder gelijke voorwaarden toegang tot de conventie; toegang zonder stemrecht is gewaarborgd voor niet-aangewezen leden (spreekrecht conform HR).</w:t>
      </w:r>
    </w:p>
    <w:p>
      <w:pPr>
        <w:pStyle w:val="Heading2"/>
      </w:pPr>
      <w:r>
        <w:rPr>
          <w:rFonts w:ascii="Calibri" w:hAnsi="Calibri"/>
          <w:color w:val="003366"/>
        </w:rPr>
        <w:t>Ledenbetrokkenheid</w:t>
      </w:r>
    </w:p>
    <w:p>
      <w:r>
        <w:rPr>
          <w:rFonts w:ascii="Calibri" w:hAnsi="Calibri"/>
          <w:b w:val="0"/>
          <w:i w:val="0"/>
          <w:color w:val="333333"/>
          <w:sz w:val="22"/>
        </w:rPr>
        <w:t>Clubs en leden kunnen actief bijdragen via voorstellen, amendementen, resoluties en moties (conform de inzendingstermijnen in het HR). Het programma biedt ruimte voor ontmoeting, inspiratie en uitwissaling tussen clubs, zones en internationale gasten.</w:t>
      </w:r>
    </w:p>
    <w:p>
      <w:pPr>
        <w:pStyle w:val="Heading2"/>
      </w:pPr>
      <w:r>
        <w:rPr>
          <w:rFonts w:ascii="Calibri" w:hAnsi="Calibri"/>
          <w:color w:val="003366"/>
        </w:rPr>
        <w:t>Continuïteit</w:t>
      </w:r>
    </w:p>
    <w:p>
      <w:r>
        <w:rPr>
          <w:rFonts w:ascii="Calibri" w:hAnsi="Calibri"/>
          <w:b w:val="0"/>
          <w:i w:val="0"/>
          <w:color w:val="333333"/>
          <w:sz w:val="22"/>
        </w:rPr>
        <w:t>Kennis en ervaring worden overgedragen aan de volgende organiserende club conform het roulatieschema: evaluatierapport, overdrachtsmap en archivering (ownCloud / LionsBase) zijn vaste onderdelen van de afsluiting van elke conventiecyclus.</w:t>
      </w:r>
    </w:p>
    <w:p>
      <w:r>
        <w:br w:type="page"/>
      </w:r>
    </w:p>
    <w:p>
      <w:pPr>
        <w:pStyle w:val="Heading1"/>
      </w:pPr>
      <w:r>
        <w:rPr>
          <w:rFonts w:ascii="Calibri" w:hAnsi="Calibri"/>
          <w:color w:val="003366"/>
        </w:rPr>
        <w:t>5. Stafverantwoordelijkheden (RACI-samenvatting)</w:t>
      </w:r>
    </w:p>
    <w:p>
      <w:r>
        <w:rPr>
          <w:rFonts w:ascii="Calibri" w:hAnsi="Calibri"/>
          <w:b w:val="0"/>
          <w:i/>
          <w:color w:val="333333"/>
          <w:sz w:val="22"/>
        </w:rPr>
        <w:t>Onderstaande RACI-matrix vat de verantwoordelijkheden op beleidsniveau samen. R = Responsible (uitvoert), A = Accountable (eindverantwoordelijk), C = Consulted, I = Informed. De gedetailleerde taakverdeling en planning staan in het Projectplan (PVA).</w:t>
      </w:r>
    </w:p>
    <w:tbl>
      <w:tblPr>
        <w:tblStyle w:val="TableGrid"/>
        <w:tblW w:type="auto" w:w="0"/>
        <w:jc w:val="center"/>
        <w:tblLook w:firstColumn="1" w:firstRow="1" w:lastColumn="0" w:lastRow="0" w:noHBand="0" w:noVBand="1" w:val="04A0"/>
      </w:tblPr>
      <w:tblGrid>
        <w:gridCol w:w="1040"/>
        <w:gridCol w:w="1040"/>
        <w:gridCol w:w="1040"/>
        <w:gridCol w:w="1040"/>
        <w:gridCol w:w="1040"/>
        <w:gridCol w:w="1040"/>
        <w:gridCol w:w="1040"/>
        <w:gridCol w:w="1040"/>
        <w:gridCol w:w="1040"/>
      </w:tblGrid>
      <w:tr>
        <w:tc>
          <w:tcPr>
            <w:tcW w:type="dxa" w:w="2551"/>
            <w:shd w:fill="003366"/>
          </w:tcPr>
          <w:p>
            <w:r>
              <w:t>Beleidsterrein</w:t>
            </w:r>
          </w:p>
        </w:tc>
        <w:tc>
          <w:tcPr>
            <w:tcW w:type="dxa" w:w="737"/>
            <w:shd w:fill="003366"/>
          </w:tcPr>
          <w:p>
            <w:r>
              <w:t>DG</w:t>
            </w:r>
          </w:p>
        </w:tc>
        <w:tc>
          <w:tcPr>
            <w:tcW w:type="dxa" w:w="737"/>
            <w:shd w:fill="003366"/>
          </w:tcPr>
          <w:p>
            <w:r>
              <w:t>VDG's</w:t>
            </w:r>
          </w:p>
        </w:tc>
        <w:tc>
          <w:tcPr>
            <w:tcW w:type="dxa" w:w="964"/>
            <w:shd w:fill="003366"/>
          </w:tcPr>
          <w:p>
            <w:r>
              <w:t>Cab. Secretary</w:t>
            </w:r>
          </w:p>
        </w:tc>
        <w:tc>
          <w:tcPr>
            <w:tcW w:type="dxa" w:w="964"/>
            <w:shd w:fill="003366"/>
          </w:tcPr>
          <w:p>
            <w:r>
              <w:t>Cab. Treasurer</w:t>
            </w:r>
          </w:p>
        </w:tc>
        <w:tc>
          <w:tcPr>
            <w:tcW w:type="dxa" w:w="1247"/>
            <w:shd w:fill="003366"/>
          </w:tcPr>
          <w:p>
            <w:r>
              <w:t>Conventiecommissie</w:t>
            </w:r>
          </w:p>
        </w:tc>
        <w:tc>
          <w:tcPr>
            <w:tcW w:type="dxa" w:w="964"/>
            <w:shd w:fill="003366"/>
          </w:tcPr>
          <w:p>
            <w:r>
              <w:t>Host Club</w:t>
            </w:r>
          </w:p>
        </w:tc>
        <w:tc>
          <w:tcPr>
            <w:tcW w:type="dxa" w:w="907"/>
            <w:shd w:fill="003366"/>
          </w:tcPr>
          <w:p>
            <w:r>
              <w:t>Stembureau</w:t>
            </w:r>
          </w:p>
        </w:tc>
        <w:tc>
          <w:tcPr>
            <w:tcW w:type="dxa" w:w="680"/>
            <w:shd w:fill="003366"/>
          </w:tcPr>
          <w:p>
            <w:r>
              <w:t>GR</w:t>
            </w:r>
          </w:p>
        </w:tc>
      </w:tr>
      <w:tr>
        <w:tc>
          <w:tcPr>
            <w:tcW w:type="dxa" w:w="2551"/>
          </w:tcPr>
          <w:p>
            <w:r>
              <w:t>Datum &amp; locatie (roulatie)</w:t>
            </w:r>
          </w:p>
        </w:tc>
        <w:tc>
          <w:tcPr>
            <w:tcW w:type="dxa" w:w="737"/>
          </w:tcPr>
          <w:p>
            <w:r>
              <w:t>A</w:t>
            </w:r>
          </w:p>
        </w:tc>
        <w:tc>
          <w:tcPr>
            <w:tcW w:type="dxa" w:w="737"/>
          </w:tcPr>
          <w:p>
            <w:r>
              <w:t>C</w:t>
            </w:r>
          </w:p>
        </w:tc>
        <w:tc>
          <w:tcPr>
            <w:tcW w:type="dxa" w:w="964"/>
          </w:tcPr>
          <w:p>
            <w:r>
              <w:t>C</w:t>
            </w:r>
          </w:p>
        </w:tc>
        <w:tc>
          <w:tcPr>
            <w:tcW w:type="dxa" w:w="964"/>
          </w:tcPr>
          <w:p>
            <w:r>
              <w:t>C</w:t>
            </w:r>
          </w:p>
        </w:tc>
        <w:tc>
          <w:tcPr>
            <w:tcW w:type="dxa" w:w="1247"/>
          </w:tcPr>
          <w:p>
            <w:r>
              <w:t>R</w:t>
            </w:r>
          </w:p>
        </w:tc>
        <w:tc>
          <w:tcPr>
            <w:tcW w:type="dxa" w:w="964"/>
          </w:tcPr>
          <w:p>
            <w:r>
              <w:t>C</w:t>
            </w:r>
          </w:p>
        </w:tc>
        <w:tc>
          <w:tcPr>
            <w:tcW w:type="dxa" w:w="907"/>
          </w:tcPr>
          <w:p>
            <w:r>
              <w:t>—</w:t>
            </w:r>
          </w:p>
        </w:tc>
        <w:tc>
          <w:tcPr>
            <w:tcW w:type="dxa" w:w="680"/>
          </w:tcPr>
          <w:p>
            <w:r>
              <w:t>C</w:t>
            </w:r>
          </w:p>
        </w:tc>
      </w:tr>
      <w:tr>
        <w:tc>
          <w:tcPr>
            <w:tcW w:type="dxa" w:w="2551"/>
          </w:tcPr>
          <w:p>
            <w:r>
              <w:t>Oproeping &amp; conventiestukken</w:t>
            </w:r>
          </w:p>
        </w:tc>
        <w:tc>
          <w:tcPr>
            <w:tcW w:type="dxa" w:w="737"/>
          </w:tcPr>
          <w:p>
            <w:r>
              <w:t>A</w:t>
            </w:r>
          </w:p>
        </w:tc>
        <w:tc>
          <w:tcPr>
            <w:tcW w:type="dxa" w:w="737"/>
          </w:tcPr>
          <w:p>
            <w:r>
              <w:t>I</w:t>
            </w:r>
          </w:p>
        </w:tc>
        <w:tc>
          <w:tcPr>
            <w:tcW w:type="dxa" w:w="964"/>
          </w:tcPr>
          <w:p>
            <w:r>
              <w:t>R</w:t>
            </w:r>
          </w:p>
        </w:tc>
        <w:tc>
          <w:tcPr>
            <w:tcW w:type="dxa" w:w="964"/>
          </w:tcPr>
          <w:p>
            <w:r>
              <w:t>I</w:t>
            </w:r>
          </w:p>
        </w:tc>
        <w:tc>
          <w:tcPr>
            <w:tcW w:type="dxa" w:w="1247"/>
          </w:tcPr>
          <w:p>
            <w:r>
              <w:t>C</w:t>
            </w:r>
          </w:p>
        </w:tc>
        <w:tc>
          <w:tcPr>
            <w:tcW w:type="dxa" w:w="964"/>
          </w:tcPr>
          <w:p>
            <w:r>
              <w:t>I</w:t>
            </w:r>
          </w:p>
        </w:tc>
        <w:tc>
          <w:tcPr>
            <w:tcW w:type="dxa" w:w="907"/>
          </w:tcPr>
          <w:p>
            <w:r>
              <w:t>—</w:t>
            </w:r>
          </w:p>
        </w:tc>
        <w:tc>
          <w:tcPr>
            <w:tcW w:type="dxa" w:w="680"/>
          </w:tcPr>
          <w:p>
            <w:r>
              <w:t>I</w:t>
            </w:r>
          </w:p>
        </w:tc>
      </w:tr>
      <w:tr>
        <w:tc>
          <w:tcPr>
            <w:tcW w:type="dxa" w:w="2551"/>
          </w:tcPr>
          <w:p>
            <w:r>
              <w:t>Budget &amp; financiën</w:t>
            </w:r>
          </w:p>
        </w:tc>
        <w:tc>
          <w:tcPr>
            <w:tcW w:type="dxa" w:w="737"/>
          </w:tcPr>
          <w:p>
            <w:r>
              <w:t>A</w:t>
            </w:r>
          </w:p>
        </w:tc>
        <w:tc>
          <w:tcPr>
            <w:tcW w:type="dxa" w:w="737"/>
          </w:tcPr>
          <w:p>
            <w:r>
              <w:t>I</w:t>
            </w:r>
          </w:p>
        </w:tc>
        <w:tc>
          <w:tcPr>
            <w:tcW w:type="dxa" w:w="964"/>
          </w:tcPr>
          <w:p>
            <w:r>
              <w:t>C</w:t>
            </w:r>
          </w:p>
        </w:tc>
        <w:tc>
          <w:tcPr>
            <w:tcW w:type="dxa" w:w="964"/>
          </w:tcPr>
          <w:p>
            <w:r>
              <w:t>R</w:t>
            </w:r>
          </w:p>
        </w:tc>
        <w:tc>
          <w:tcPr>
            <w:tcW w:type="dxa" w:w="1247"/>
          </w:tcPr>
          <w:p>
            <w:r>
              <w:t>C</w:t>
            </w:r>
          </w:p>
        </w:tc>
        <w:tc>
          <w:tcPr>
            <w:tcW w:type="dxa" w:w="964"/>
          </w:tcPr>
          <w:p>
            <w:r>
              <w:t>C</w:t>
            </w:r>
          </w:p>
        </w:tc>
        <w:tc>
          <w:tcPr>
            <w:tcW w:type="dxa" w:w="907"/>
          </w:tcPr>
          <w:p>
            <w:r>
              <w:t>—</w:t>
            </w:r>
          </w:p>
        </w:tc>
        <w:tc>
          <w:tcPr>
            <w:tcW w:type="dxa" w:w="680"/>
          </w:tcPr>
          <w:p>
            <w:r>
              <w:t>I</w:t>
            </w:r>
          </w:p>
        </w:tc>
      </w:tr>
      <w:tr>
        <w:tc>
          <w:tcPr>
            <w:tcW w:type="dxa" w:w="2551"/>
          </w:tcPr>
          <w:p>
            <w:r>
              <w:t>Programma &amp; logistiek</w:t>
            </w:r>
          </w:p>
        </w:tc>
        <w:tc>
          <w:tcPr>
            <w:tcW w:type="dxa" w:w="737"/>
          </w:tcPr>
          <w:p>
            <w:r>
              <w:t>A</w:t>
            </w:r>
          </w:p>
        </w:tc>
        <w:tc>
          <w:tcPr>
            <w:tcW w:type="dxa" w:w="737"/>
          </w:tcPr>
          <w:p>
            <w:r>
              <w:t>C</w:t>
            </w:r>
          </w:p>
        </w:tc>
        <w:tc>
          <w:tcPr>
            <w:tcW w:type="dxa" w:w="964"/>
          </w:tcPr>
          <w:p>
            <w:r>
              <w:t>C</w:t>
            </w:r>
          </w:p>
        </w:tc>
        <w:tc>
          <w:tcPr>
            <w:tcW w:type="dxa" w:w="964"/>
          </w:tcPr>
          <w:p>
            <w:r>
              <w:t>C</w:t>
            </w:r>
          </w:p>
        </w:tc>
        <w:tc>
          <w:tcPr>
            <w:tcW w:type="dxa" w:w="1247"/>
          </w:tcPr>
          <w:p>
            <w:r>
              <w:t>R</w:t>
            </w:r>
          </w:p>
        </w:tc>
        <w:tc>
          <w:tcPr>
            <w:tcW w:type="dxa" w:w="964"/>
          </w:tcPr>
          <w:p>
            <w:r>
              <w:t>R</w:t>
            </w:r>
          </w:p>
        </w:tc>
        <w:tc>
          <w:tcPr>
            <w:tcW w:type="dxa" w:w="907"/>
          </w:tcPr>
          <w:p>
            <w:r>
              <w:t>—</w:t>
            </w:r>
          </w:p>
        </w:tc>
        <w:tc>
          <w:tcPr>
            <w:tcW w:type="dxa" w:w="680"/>
          </w:tcPr>
          <w:p>
            <w:r>
              <w:t>I</w:t>
            </w:r>
          </w:p>
        </w:tc>
      </w:tr>
      <w:tr>
        <w:tc>
          <w:tcPr>
            <w:tcW w:type="dxa" w:w="2551"/>
          </w:tcPr>
          <w:p>
            <w:r>
              <w:t>Verkiezingen &amp; stemproces</w:t>
            </w:r>
          </w:p>
        </w:tc>
        <w:tc>
          <w:tcPr>
            <w:tcW w:type="dxa" w:w="737"/>
          </w:tcPr>
          <w:p>
            <w:r>
              <w:t>A</w:t>
            </w:r>
          </w:p>
        </w:tc>
        <w:tc>
          <w:tcPr>
            <w:tcW w:type="dxa" w:w="737"/>
          </w:tcPr>
          <w:p>
            <w:r>
              <w:t>C</w:t>
            </w:r>
          </w:p>
        </w:tc>
        <w:tc>
          <w:tcPr>
            <w:tcW w:type="dxa" w:w="964"/>
          </w:tcPr>
          <w:p>
            <w:r>
              <w:t>C</w:t>
            </w:r>
          </w:p>
        </w:tc>
        <w:tc>
          <w:tcPr>
            <w:tcW w:type="dxa" w:w="964"/>
          </w:tcPr>
          <w:p>
            <w:r>
              <w:t>—</w:t>
            </w:r>
          </w:p>
        </w:tc>
        <w:tc>
          <w:tcPr>
            <w:tcW w:type="dxa" w:w="1247"/>
          </w:tcPr>
          <w:p>
            <w:r>
              <w:t>I</w:t>
            </w:r>
          </w:p>
        </w:tc>
        <w:tc>
          <w:tcPr>
            <w:tcW w:type="dxa" w:w="964"/>
          </w:tcPr>
          <w:p>
            <w:r>
              <w:t>I</w:t>
            </w:r>
          </w:p>
        </w:tc>
        <w:tc>
          <w:tcPr>
            <w:tcW w:type="dxa" w:w="907"/>
          </w:tcPr>
          <w:p>
            <w:r>
              <w:t>R</w:t>
            </w:r>
          </w:p>
        </w:tc>
        <w:tc>
          <w:tcPr>
            <w:tcW w:type="dxa" w:w="680"/>
          </w:tcPr>
          <w:p>
            <w:r>
              <w:t>A*</w:t>
            </w:r>
          </w:p>
        </w:tc>
      </w:tr>
      <w:tr>
        <w:tc>
          <w:tcPr>
            <w:tcW w:type="dxa" w:w="2551"/>
          </w:tcPr>
          <w:p>
            <w:r>
              <w:t>Communicatie (NL/EN)</w:t>
            </w:r>
          </w:p>
        </w:tc>
        <w:tc>
          <w:tcPr>
            <w:tcW w:type="dxa" w:w="737"/>
          </w:tcPr>
          <w:p>
            <w:r>
              <w:t>A</w:t>
            </w:r>
          </w:p>
        </w:tc>
        <w:tc>
          <w:tcPr>
            <w:tcW w:type="dxa" w:w="737"/>
          </w:tcPr>
          <w:p>
            <w:r>
              <w:t>C</w:t>
            </w:r>
          </w:p>
        </w:tc>
        <w:tc>
          <w:tcPr>
            <w:tcW w:type="dxa" w:w="964"/>
          </w:tcPr>
          <w:p>
            <w:r>
              <w:t>R</w:t>
            </w:r>
          </w:p>
        </w:tc>
        <w:tc>
          <w:tcPr>
            <w:tcW w:type="dxa" w:w="964"/>
          </w:tcPr>
          <w:p>
            <w:r>
              <w:t>I</w:t>
            </w:r>
          </w:p>
        </w:tc>
        <w:tc>
          <w:tcPr>
            <w:tcW w:type="dxa" w:w="1247"/>
          </w:tcPr>
          <w:p>
            <w:r>
              <w:t>R</w:t>
            </w:r>
          </w:p>
        </w:tc>
        <w:tc>
          <w:tcPr>
            <w:tcW w:type="dxa" w:w="964"/>
          </w:tcPr>
          <w:p>
            <w:r>
              <w:t>C</w:t>
            </w:r>
          </w:p>
        </w:tc>
        <w:tc>
          <w:tcPr>
            <w:tcW w:type="dxa" w:w="907"/>
          </w:tcPr>
          <w:p>
            <w:r>
              <w:t>—</w:t>
            </w:r>
          </w:p>
        </w:tc>
        <w:tc>
          <w:tcPr>
            <w:tcW w:type="dxa" w:w="680"/>
          </w:tcPr>
          <w:p>
            <w:r>
              <w:t>I</w:t>
            </w:r>
          </w:p>
        </w:tc>
      </w:tr>
      <w:tr>
        <w:tc>
          <w:tcPr>
            <w:tcW w:type="dxa" w:w="2551"/>
          </w:tcPr>
          <w:p>
            <w:r>
              <w:t>Evaluatie &amp; overdracht</w:t>
            </w:r>
          </w:p>
        </w:tc>
        <w:tc>
          <w:tcPr>
            <w:tcW w:type="dxa" w:w="737"/>
          </w:tcPr>
          <w:p>
            <w:r>
              <w:t>A</w:t>
            </w:r>
          </w:p>
        </w:tc>
        <w:tc>
          <w:tcPr>
            <w:tcW w:type="dxa" w:w="737"/>
          </w:tcPr>
          <w:p>
            <w:r>
              <w:t>R</w:t>
            </w:r>
          </w:p>
        </w:tc>
        <w:tc>
          <w:tcPr>
            <w:tcW w:type="dxa" w:w="964"/>
          </w:tcPr>
          <w:p>
            <w:r>
              <w:t>R</w:t>
            </w:r>
          </w:p>
        </w:tc>
        <w:tc>
          <w:tcPr>
            <w:tcW w:type="dxa" w:w="964"/>
          </w:tcPr>
          <w:p>
            <w:r>
              <w:t>R</w:t>
            </w:r>
          </w:p>
        </w:tc>
        <w:tc>
          <w:tcPr>
            <w:tcW w:type="dxa" w:w="1247"/>
          </w:tcPr>
          <w:p>
            <w:r>
              <w:t>R</w:t>
            </w:r>
          </w:p>
        </w:tc>
        <w:tc>
          <w:tcPr>
            <w:tcW w:type="dxa" w:w="964"/>
          </w:tcPr>
          <w:p>
            <w:r>
              <w:t>R</w:t>
            </w:r>
          </w:p>
        </w:tc>
        <w:tc>
          <w:tcPr>
            <w:tcW w:type="dxa" w:w="907"/>
          </w:tcPr>
          <w:p>
            <w:r>
              <w:t>C</w:t>
            </w:r>
          </w:p>
        </w:tc>
        <w:tc>
          <w:tcPr>
            <w:tcW w:type="dxa" w:w="680"/>
          </w:tcPr>
          <w:p>
            <w:r>
              <w:t>I</w:t>
            </w:r>
          </w:p>
        </w:tc>
      </w:tr>
    </w:tbl>
    <w:p>
      <w:r>
        <w:rPr>
          <w:rFonts w:ascii="Calibri" w:hAnsi="Calibri"/>
          <w:b w:val="0"/>
          <w:i/>
          <w:color w:val="333333"/>
          <w:sz w:val="18"/>
        </w:rPr>
        <w:t>* De Gouverneursraad benoemt het stembureau en is eindverantwoordelijk voor het stemproces conform het Huishoudelijk Reglement.</w:t>
      </w:r>
    </w:p>
    <w:p>
      <w:r>
        <w:br w:type="page"/>
      </w:r>
    </w:p>
    <w:p>
      <w:pPr>
        <w:pStyle w:val="Heading1"/>
      </w:pPr>
      <w:r>
        <w:rPr>
          <w:rFonts w:ascii="Calibri" w:hAnsi="Calibri"/>
          <w:color w:val="003366"/>
        </w:rPr>
        <w:t>6. Financieel Kader</w:t>
      </w:r>
    </w:p>
    <w:p>
      <w:pPr>
        <w:pStyle w:val="Heading2"/>
      </w:pPr>
      <w:r>
        <w:rPr>
          <w:rFonts w:ascii="Calibri" w:hAnsi="Calibri"/>
          <w:color w:val="003366"/>
        </w:rPr>
        <w:t>6.1 Begrotingsgrondslag</w:t>
      </w:r>
    </w:p>
    <w:p>
      <w:pPr>
        <w:pStyle w:val="ListBullet"/>
        <w:ind w:left="720"/>
      </w:pPr>
      <w:r>
        <w:rPr>
          <w:rFonts w:ascii="Calibri" w:hAnsi="Calibri"/>
          <w:color w:val="333333"/>
          <w:sz w:val="22"/>
        </w:rPr>
        <w:t>De conventie wordt begroot conform de districtbegroting, met de conventie-post als referentie: € 3.500 (post '1 Districtsconventie', Districtbegroting 25-26).</w:t>
      </w:r>
    </w:p>
    <w:p>
      <w:pPr>
        <w:pStyle w:val="ListBullet"/>
        <w:ind w:left="720"/>
      </w:pPr>
      <w:r>
        <w:rPr>
          <w:rFonts w:ascii="Calibri" w:hAnsi="Calibri"/>
          <w:color w:val="333333"/>
          <w:sz w:val="22"/>
        </w:rPr>
        <w:t>Inkomsten: registratiebijdragen deelnemers, eventuele sponsoring en bijdragen vanuit het district.</w:t>
      </w:r>
    </w:p>
    <w:p>
      <w:pPr>
        <w:pStyle w:val="ListBullet"/>
        <w:ind w:left="720"/>
      </w:pPr>
      <w:r>
        <w:rPr>
          <w:rFonts w:ascii="Calibri" w:hAnsi="Calibri"/>
          <w:color w:val="333333"/>
          <w:sz w:val="22"/>
        </w:rPr>
        <w:t>Het streven is een deugdelijke exploitatie: geen negatief eindresultaat voor het district; overschotten vallen ten goede aan het district.</w:t>
      </w:r>
    </w:p>
    <w:p>
      <w:pPr>
        <w:pStyle w:val="Heading2"/>
      </w:pPr>
      <w:r>
        <w:rPr>
          <w:rFonts w:ascii="Calibri" w:hAnsi="Calibri"/>
          <w:color w:val="003366"/>
        </w:rPr>
        <w:t>6.2 Beheersregels</w:t>
      </w:r>
    </w:p>
    <w:p>
      <w:pPr>
        <w:pStyle w:val="ListBullet"/>
        <w:ind w:left="720"/>
      </w:pPr>
      <w:r>
        <w:rPr>
          <w:rFonts w:ascii="Calibri" w:hAnsi="Calibri"/>
          <w:color w:val="333333"/>
          <w:sz w:val="22"/>
        </w:rPr>
        <w:t>De Cabinet Treasurer bewaakt het budget en rapporteert maandelijks aan DG en kabinet.</w:t>
      </w:r>
    </w:p>
    <w:p>
      <w:pPr>
        <w:pStyle w:val="ListBullet"/>
        <w:ind w:left="720"/>
      </w:pPr>
      <w:r>
        <w:rPr>
          <w:rFonts w:ascii="Calibri" w:hAnsi="Calibri"/>
          <w:color w:val="333333"/>
          <w:sz w:val="22"/>
        </w:rPr>
        <w:t>Uitgaven boven het door de Gouverneursraad vastgestelde plafond vereisen voorafgaande goedkeuring van de DG.</w:t>
      </w:r>
    </w:p>
    <w:p>
      <w:pPr>
        <w:pStyle w:val="ListBullet"/>
        <w:ind w:left="720"/>
      </w:pPr>
      <w:r>
        <w:rPr>
          <w:rFonts w:ascii="Calibri" w:hAnsi="Calibri"/>
          <w:color w:val="333333"/>
          <w:sz w:val="22"/>
        </w:rPr>
        <w:t>Alle facturen en betalingen worden gedocumenteerd bewaard in het conventie-archief.</w:t>
      </w:r>
    </w:p>
    <w:p>
      <w:pPr>
        <w:pStyle w:val="Heading2"/>
      </w:pPr>
      <w:r>
        <w:rPr>
          <w:rFonts w:ascii="Calibri" w:hAnsi="Calibri"/>
          <w:color w:val="003366"/>
        </w:rPr>
        <w:t>6.3 Verantwoording</w:t>
      </w:r>
    </w:p>
    <w:p>
      <w:pPr>
        <w:pStyle w:val="ListBullet"/>
        <w:ind w:left="720"/>
      </w:pPr>
      <w:r>
        <w:rPr>
          <w:rFonts w:ascii="Calibri" w:hAnsi="Calibri"/>
          <w:color w:val="333333"/>
          <w:sz w:val="22"/>
        </w:rPr>
        <w:t>Binnen 2 weken na de conventie: financiële afsluiting door de Cabinet Treasurer (budget versus realisatie).</w:t>
      </w:r>
    </w:p>
    <w:p>
      <w:pPr>
        <w:pStyle w:val="ListBullet"/>
        <w:ind w:left="720"/>
      </w:pPr>
      <w:r>
        <w:rPr>
          <w:rFonts w:ascii="Calibri" w:hAnsi="Calibri"/>
          <w:color w:val="333333"/>
          <w:sz w:val="22"/>
        </w:rPr>
        <w:t>Afwijkingen worden toegelicht en meegenomen in de evaluatie en de overdracht aan de volgende organiserende club.</w:t>
      </w:r>
    </w:p>
    <w:p>
      <w:pPr>
        <w:pStyle w:val="ListBullet"/>
        <w:ind w:left="720"/>
      </w:pPr>
      <w:r>
        <w:rPr>
          <w:rFonts w:ascii="Calibri" w:hAnsi="Calibri"/>
          <w:color w:val="333333"/>
          <w:sz w:val="22"/>
        </w:rPr>
        <w:t>De eindafrekening wordt gerapporteerd aan de kabinetsvergadering en opgenomen in de jaarverantwoording van het district.</w:t>
      </w:r>
    </w:p>
    <w:p>
      <w:r>
        <w:br w:type="page"/>
      </w:r>
    </w:p>
    <w:p>
      <w:pPr>
        <w:pStyle w:val="Heading1"/>
      </w:pPr>
      <w:r>
        <w:rPr>
          <w:rFonts w:ascii="Calibri" w:hAnsi="Calibri"/>
          <w:color w:val="003366"/>
        </w:rPr>
        <w:t>7. Communicatie</w:t>
      </w:r>
    </w:p>
    <w:p>
      <w:pPr>
        <w:pStyle w:val="Heading2"/>
      </w:pPr>
      <w:r>
        <w:rPr>
          <w:rFonts w:ascii="Calibri" w:hAnsi="Calibri"/>
          <w:color w:val="003366"/>
        </w:rPr>
        <w:t>7.1 Officiële kanalen</w:t>
      </w:r>
    </w:p>
    <w:tbl>
      <w:tblPr>
        <w:tblStyle w:val="TableGrid"/>
        <w:tblW w:type="auto" w:w="0"/>
        <w:jc w:val="center"/>
        <w:tblLook w:firstColumn="1" w:firstRow="1" w:lastColumn="0" w:lastRow="0" w:noHBand="0" w:noVBand="1" w:val="04A0"/>
      </w:tblPr>
      <w:tblGrid>
        <w:gridCol w:w="3120"/>
        <w:gridCol w:w="3120"/>
        <w:gridCol w:w="3120"/>
      </w:tblGrid>
      <w:tr>
        <w:tc>
          <w:tcPr>
            <w:tcW w:type="dxa" w:w="3402"/>
            <w:shd w:fill="003366"/>
          </w:tcPr>
          <w:p>
            <w:r>
              <w:t>Kanaal</w:t>
            </w:r>
          </w:p>
        </w:tc>
        <w:tc>
          <w:tcPr>
            <w:tcW w:type="dxa" w:w="4252"/>
            <w:shd w:fill="003366"/>
          </w:tcPr>
          <w:p>
            <w:r>
              <w:t>Doel</w:t>
            </w:r>
          </w:p>
        </w:tc>
        <w:tc>
          <w:tcPr>
            <w:tcW w:type="dxa" w:w="2268"/>
            <w:shd w:fill="003366"/>
          </w:tcPr>
          <w:p>
            <w:r>
              <w:t>Beheerder</w:t>
            </w:r>
          </w:p>
        </w:tc>
      </w:tr>
      <w:tr>
        <w:tc>
          <w:tcPr>
            <w:tcW w:type="dxa" w:w="3402"/>
          </w:tcPr>
          <w:p>
            <w:r>
              <w:t>Officiële oproeping (e-mail/post aan clubs)</w:t>
            </w:r>
          </w:p>
        </w:tc>
        <w:tc>
          <w:tcPr>
            <w:tcW w:type="dxa" w:w="4252"/>
          </w:tcPr>
          <w:p>
            <w:r>
              <w:t>Wettelijk vereiste kennisgeving conform HR art. 2.1</w:t>
            </w:r>
          </w:p>
        </w:tc>
        <w:tc>
          <w:tcPr>
            <w:tcW w:type="dxa" w:w="2268"/>
          </w:tcPr>
          <w:p>
            <w:r>
              <w:t>Cabinet Secretary</w:t>
            </w:r>
          </w:p>
        </w:tc>
      </w:tr>
      <w:tr>
        <w:tc>
          <w:tcPr>
            <w:tcW w:type="dxa" w:w="3402"/>
          </w:tcPr>
          <w:p>
            <w:r>
              <w:t>Districtswebsite / LionsBase</w:t>
            </w:r>
          </w:p>
        </w:tc>
        <w:tc>
          <w:tcPr>
            <w:tcW w:type="dxa" w:w="4252"/>
          </w:tcPr>
          <w:p>
            <w:r>
              <w:t>Publicatie agenda, stukken, registratie</w:t>
            </w:r>
          </w:p>
        </w:tc>
        <w:tc>
          <w:tcPr>
            <w:tcW w:type="dxa" w:w="2268"/>
          </w:tcPr>
          <w:p>
            <w:r>
              <w:t>Cabinet Secretary / Conventiecommissie</w:t>
            </w:r>
          </w:p>
        </w:tc>
      </w:tr>
      <w:tr>
        <w:tc>
          <w:tcPr>
            <w:tcW w:type="dxa" w:w="3402"/>
          </w:tcPr>
          <w:p>
            <w:r>
              <w:t>Conventiestukken digitaal (ownCloud / e-mail)</w:t>
            </w:r>
          </w:p>
        </w:tc>
        <w:tc>
          <w:tcPr>
            <w:tcW w:type="dxa" w:w="4252"/>
          </w:tcPr>
          <w:p>
            <w:r>
              <w:t>Distributie voorstellen, amendementen, adviezen (T-20 dagen)</w:t>
            </w:r>
          </w:p>
        </w:tc>
        <w:tc>
          <w:tcPr>
            <w:tcW w:type="dxa" w:w="2268"/>
          </w:tcPr>
          <w:p>
            <w:r>
              <w:t>Cabinet Secretary</w:t>
            </w:r>
          </w:p>
        </w:tc>
      </w:tr>
      <w:tr>
        <w:tc>
          <w:tcPr>
            <w:tcW w:type="dxa" w:w="3402"/>
          </w:tcPr>
          <w:p>
            <w:r>
              <w:t>Districtsnieuwsbrief &amp; clubcirculaires</w:t>
            </w:r>
          </w:p>
        </w:tc>
        <w:tc>
          <w:tcPr>
            <w:tcW w:type="dxa" w:w="4252"/>
          </w:tcPr>
          <w:p>
            <w:r>
              <w:t>Herinneringen, praktische informatie, programma</w:t>
            </w:r>
          </w:p>
        </w:tc>
        <w:tc>
          <w:tcPr>
            <w:tcW w:type="dxa" w:w="2268"/>
          </w:tcPr>
          <w:p>
            <w:r>
              <w:t>Conventiecommissie</w:t>
            </w:r>
          </w:p>
        </w:tc>
      </w:tr>
    </w:tbl>
    <w:p>
      <w:pPr>
        <w:pStyle w:val="Heading2"/>
      </w:pPr>
      <w:r>
        <w:rPr>
          <w:rFonts w:ascii="Calibri" w:hAnsi="Calibri"/>
          <w:color w:val="003366"/>
        </w:rPr>
        <w:t>7.2 Talen</w:t>
      </w:r>
    </w:p>
    <w:p>
      <w:pPr>
        <w:pStyle w:val="ListBullet"/>
        <w:ind w:left="720"/>
      </w:pPr>
      <w:r>
        <w:rPr>
          <w:rFonts w:ascii="Calibri" w:hAnsi="Calibri"/>
          <w:color w:val="333333"/>
          <w:sz w:val="22"/>
        </w:rPr>
        <w:t>De officiële voertaal van de conventie is Nederlands.</w:t>
      </w:r>
    </w:p>
    <w:p>
      <w:pPr>
        <w:pStyle w:val="ListBullet"/>
        <w:ind w:left="720"/>
      </w:pPr>
      <w:r>
        <w:rPr>
          <w:rFonts w:ascii="Calibri" w:hAnsi="Calibri"/>
          <w:color w:val="333333"/>
          <w:sz w:val="22"/>
        </w:rPr>
        <w:t>Kernstukken (oproeping, agenda, programma) worden tevens in het Engels beschikbaar gesteld vanwege internationale gasten en relaties (NL/EN).</w:t>
      </w:r>
    </w:p>
    <w:p>
      <w:pPr>
        <w:pStyle w:val="ListBullet"/>
        <w:ind w:left="720"/>
      </w:pPr>
      <w:r>
        <w:rPr>
          <w:rFonts w:ascii="Calibri" w:hAnsi="Calibri"/>
          <w:color w:val="333333"/>
          <w:sz w:val="22"/>
        </w:rPr>
        <w:t>Presentaties en toespraken van internationale gasten mogen in het Engels; afstemming over spreektijd en voertaal vindt vooraf plaats.</w:t>
      </w:r>
    </w:p>
    <w:p>
      <w:pPr>
        <w:pStyle w:val="Heading2"/>
      </w:pPr>
      <w:r>
        <w:rPr>
          <w:rFonts w:ascii="Calibri" w:hAnsi="Calibri"/>
          <w:color w:val="003366"/>
        </w:rPr>
        <w:t>7.3 Timing (beleidskader)</w:t>
      </w:r>
    </w:p>
    <w:tbl>
      <w:tblPr>
        <w:tblStyle w:val="TableGrid"/>
        <w:tblW w:type="auto" w:w="0"/>
        <w:jc w:val="center"/>
        <w:tblLook w:firstColumn="1" w:firstRow="1" w:lastColumn="0" w:lastRow="0" w:noHBand="0" w:noVBand="1" w:val="04A0"/>
      </w:tblPr>
      <w:tblGrid>
        <w:gridCol w:w="4680"/>
        <w:gridCol w:w="4680"/>
      </w:tblGrid>
      <w:tr>
        <w:tc>
          <w:tcPr>
            <w:tcW w:type="dxa" w:w="2268"/>
            <w:shd w:fill="003366"/>
          </w:tcPr>
          <w:p>
            <w:r>
              <w:t>Moment</w:t>
            </w:r>
          </w:p>
        </w:tc>
        <w:tc>
          <w:tcPr>
            <w:tcW w:type="dxa" w:w="7654"/>
            <w:shd w:fill="003366"/>
          </w:tcPr>
          <w:p>
            <w:r>
              <w:t>Communicatie-actie</w:t>
            </w:r>
          </w:p>
        </w:tc>
      </w:tr>
      <w:tr>
        <w:tc>
          <w:tcPr>
            <w:tcW w:type="dxa" w:w="2268"/>
          </w:tcPr>
          <w:p>
            <w:r>
              <w:t>T-6 maanden</w:t>
            </w:r>
          </w:p>
        </w:tc>
        <w:tc>
          <w:tcPr>
            <w:tcW w:type="dxa" w:w="7654"/>
          </w:tcPr>
          <w:p>
            <w:r>
              <w:t>Aankondiging conventie (datum, locatie) in districtskanalen</w:t>
            </w:r>
          </w:p>
        </w:tc>
      </w:tr>
      <w:tr>
        <w:tc>
          <w:tcPr>
            <w:tcW w:type="dxa" w:w="2268"/>
          </w:tcPr>
          <w:p>
            <w:r>
              <w:t>T-30 dagen</w:t>
            </w:r>
          </w:p>
        </w:tc>
        <w:tc>
          <w:tcPr>
            <w:tcW w:type="dxa" w:w="7654"/>
          </w:tcPr>
          <w:p>
            <w:r>
              <w:t>Officiële oproeping met volledige agenda en voorstellen (verplicht conform HR)</w:t>
            </w:r>
          </w:p>
        </w:tc>
      </w:tr>
      <w:tr>
        <w:tc>
          <w:tcPr>
            <w:tcW w:type="dxa" w:w="2268"/>
          </w:tcPr>
          <w:p>
            <w:r>
              <w:t>T-20 dagen</w:t>
            </w:r>
          </w:p>
        </w:tc>
        <w:tc>
          <w:tcPr>
            <w:tcW w:type="dxa" w:w="7654"/>
          </w:tcPr>
          <w:p>
            <w:r>
              <w:t>Conventiestukken digitaal verstrekt (verplicht conform HR art. 7.1)</w:t>
            </w:r>
          </w:p>
        </w:tc>
      </w:tr>
      <w:tr>
        <w:tc>
          <w:tcPr>
            <w:tcW w:type="dxa" w:w="2268"/>
          </w:tcPr>
          <w:p>
            <w:r>
              <w:t>T-14 / T-7 / T-3 dagen</w:t>
            </w:r>
          </w:p>
        </w:tc>
        <w:tc>
          <w:tcPr>
            <w:tcW w:type="dxa" w:w="7654"/>
          </w:tcPr>
          <w:p>
            <w:r>
              <w:t>Herinneringen registratie en aanwijzing stemgerechtigden</w:t>
            </w:r>
          </w:p>
        </w:tc>
      </w:tr>
      <w:tr>
        <w:tc>
          <w:tcPr>
            <w:tcW w:type="dxa" w:w="2268"/>
          </w:tcPr>
          <w:p>
            <w:r>
              <w:t>Tijdens conventie</w:t>
            </w:r>
          </w:p>
        </w:tc>
        <w:tc>
          <w:tcPr>
            <w:tcW w:type="dxa" w:w="7654"/>
          </w:tcPr>
          <w:p>
            <w:r>
              <w:t>Actuele informatie via conventiecommissie / locatie-omroep</w:t>
            </w:r>
          </w:p>
        </w:tc>
      </w:tr>
      <w:tr>
        <w:tc>
          <w:tcPr>
            <w:tcW w:type="dxa" w:w="2268"/>
          </w:tcPr>
          <w:p>
            <w:r>
              <w:t>T+4 weken</w:t>
            </w:r>
          </w:p>
        </w:tc>
        <w:tc>
          <w:tcPr>
            <w:tcW w:type="dxa" w:w="7654"/>
          </w:tcPr>
          <w:p>
            <w:r>
              <w:t>Notulen, besluitenlijst en bedankje aan deelnemers en vrijwilligers</w:t>
            </w:r>
          </w:p>
        </w:tc>
      </w:tr>
    </w:tbl>
    <w:p>
      <w:r>
        <w:br w:type="page"/>
      </w:r>
    </w:p>
    <w:p>
      <w:pPr>
        <w:pStyle w:val="Heading1"/>
      </w:pPr>
      <w:r>
        <w:rPr>
          <w:rFonts w:ascii="Calibri" w:hAnsi="Calibri"/>
          <w:color w:val="003366"/>
        </w:rPr>
        <w:t>8. Kwaliteitsborging</w:t>
      </w:r>
    </w:p>
    <w:p>
      <w:pPr>
        <w:pStyle w:val="Heading2"/>
      </w:pPr>
      <w:r>
        <w:rPr>
          <w:rFonts w:ascii="Calibri" w:hAnsi="Calibri"/>
          <w:color w:val="003366"/>
        </w:rPr>
        <w:t>8.1 QC-gates (Go/No-Go momenten)</w:t>
      </w:r>
    </w:p>
    <w:p>
      <w:r>
        <w:rPr>
          <w:rFonts w:ascii="Calibri" w:hAnsi="Calibri"/>
          <w:b w:val="0"/>
          <w:i w:val="0"/>
          <w:color w:val="333333"/>
          <w:sz w:val="22"/>
        </w:rPr>
        <w:t>De voorbereiding kent vaste kwaliteitscontroles (QC-gates). Elke gate moet zijn behaald voordat de volgende fase start; de volledige uitwerking staat in de Procedure.</w:t>
      </w:r>
    </w:p>
    <w:tbl>
      <w:tblPr>
        <w:tblStyle w:val="TableGrid"/>
        <w:tblW w:type="auto" w:w="0"/>
        <w:jc w:val="center"/>
        <w:tblLook w:firstColumn="1" w:firstRow="1" w:lastColumn="0" w:lastRow="0" w:noHBand="0" w:noVBand="1" w:val="04A0"/>
      </w:tblPr>
      <w:tblGrid>
        <w:gridCol w:w="3120"/>
        <w:gridCol w:w="3120"/>
        <w:gridCol w:w="3120"/>
      </w:tblGrid>
      <w:tr>
        <w:tc>
          <w:tcPr>
            <w:tcW w:type="dxa" w:w="1701"/>
            <w:shd w:fill="003366"/>
          </w:tcPr>
          <w:p>
            <w:r>
              <w:t>Gate</w:t>
            </w:r>
          </w:p>
        </w:tc>
        <w:tc>
          <w:tcPr>
            <w:tcW w:type="dxa" w:w="1984"/>
            <w:shd w:fill="003366"/>
          </w:tcPr>
          <w:p>
            <w:r>
              <w:t>Moment</w:t>
            </w:r>
          </w:p>
        </w:tc>
        <w:tc>
          <w:tcPr>
            <w:tcW w:type="dxa" w:w="6236"/>
            <w:shd w:fill="003366"/>
          </w:tcPr>
          <w:p>
            <w:r>
              <w:t>Criterium (samengevat)</w:t>
            </w:r>
          </w:p>
        </w:tc>
      </w:tr>
      <w:tr>
        <w:tc>
          <w:tcPr>
            <w:tcW w:type="dxa" w:w="1701"/>
          </w:tcPr>
          <w:p>
            <w:r>
              <w:t>QC-1 Plan</w:t>
            </w:r>
          </w:p>
        </w:tc>
        <w:tc>
          <w:tcPr>
            <w:tcW w:type="dxa" w:w="1984"/>
          </w:tcPr>
          <w:p>
            <w:r>
              <w:t>T-12/T-9 maanden</w:t>
            </w:r>
          </w:p>
        </w:tc>
        <w:tc>
          <w:tcPr>
            <w:tcW w:type="dxa" w:w="6236"/>
          </w:tcPr>
          <w:p>
            <w:r>
              <w:t>Datum, locatie en organisatiestructuur vastgesteld conform roulatie</w:t>
            </w:r>
          </w:p>
        </w:tc>
      </w:tr>
      <w:tr>
        <w:tc>
          <w:tcPr>
            <w:tcW w:type="dxa" w:w="1701"/>
          </w:tcPr>
          <w:p>
            <w:r>
              <w:t>QC-2 Stukken</w:t>
            </w:r>
          </w:p>
        </w:tc>
        <w:tc>
          <w:tcPr>
            <w:tcW w:type="dxa" w:w="1984"/>
          </w:tcPr>
          <w:p>
            <w:r>
              <w:t>T-30/T-20 dagen</w:t>
            </w:r>
          </w:p>
        </w:tc>
        <w:tc>
          <w:tcPr>
            <w:tcW w:type="dxa" w:w="6236"/>
          </w:tcPr>
          <w:p>
            <w:r>
              <w:t>Oproeping verzonden (≥ 30 dagen); conventiestukken digitaal beschikbaar (20 dagen)</w:t>
            </w:r>
          </w:p>
        </w:tc>
      </w:tr>
      <w:tr>
        <w:tc>
          <w:tcPr>
            <w:tcW w:type="dxa" w:w="1701"/>
          </w:tcPr>
          <w:p>
            <w:r>
              <w:t>QC-3 Registratie</w:t>
            </w:r>
          </w:p>
        </w:tc>
        <w:tc>
          <w:tcPr>
            <w:tcW w:type="dxa" w:w="1984"/>
          </w:tcPr>
          <w:p>
            <w:r>
              <w:t>T-14/T-7 dagen</w:t>
            </w:r>
          </w:p>
        </w:tc>
        <w:tc>
          <w:tcPr>
            <w:tcW w:type="dxa" w:w="6236"/>
          </w:tcPr>
          <w:p>
            <w:r>
              <w:t>Stembureau benoemd en geïnstrueerd; stemgerechtigden per club in beeld (quorum-indicator)</w:t>
            </w:r>
          </w:p>
        </w:tc>
      </w:tr>
      <w:tr>
        <w:tc>
          <w:tcPr>
            <w:tcW w:type="dxa" w:w="1701"/>
          </w:tcPr>
          <w:p>
            <w:r>
              <w:t>QC-4 Uitvoering</w:t>
            </w:r>
          </w:p>
        </w:tc>
        <w:tc>
          <w:tcPr>
            <w:tcW w:type="dxa" w:w="1984"/>
          </w:tcPr>
          <w:p>
            <w:r>
              <w:t>T-3/T-1 dagen</w:t>
            </w:r>
          </w:p>
        </w:tc>
        <w:tc>
          <w:tcPr>
            <w:tcW w:type="dxa" w:w="6236"/>
          </w:tcPr>
          <w:p>
            <w:r>
              <w:t>Logistiek, materiaal en personeel 100% gereed (runbook afgerond)</w:t>
            </w:r>
          </w:p>
        </w:tc>
      </w:tr>
      <w:tr>
        <w:tc>
          <w:tcPr>
            <w:tcW w:type="dxa" w:w="1701"/>
          </w:tcPr>
          <w:p>
            <w:r>
              <w:t>QC-5 Afsluiting</w:t>
            </w:r>
          </w:p>
        </w:tc>
        <w:tc>
          <w:tcPr>
            <w:tcW w:type="dxa" w:w="1984"/>
          </w:tcPr>
          <w:p>
            <w:r>
              <w:t>T+2/T+8 weken</w:t>
            </w:r>
          </w:p>
        </w:tc>
        <w:tc>
          <w:tcPr>
            <w:tcW w:type="dxa" w:w="6236"/>
          </w:tcPr>
          <w:p>
            <w:r>
              <w:t>Financiële afsluiting, evaluatierapport en archivering compleet; overdracht volgende club</w:t>
            </w:r>
          </w:p>
        </w:tc>
      </w:tr>
    </w:tbl>
    <w:p>
      <w:pPr>
        <w:pStyle w:val="Heading2"/>
      </w:pPr>
      <w:r>
        <w:rPr>
          <w:rFonts w:ascii="Calibri" w:hAnsi="Calibri"/>
          <w:color w:val="003366"/>
        </w:rPr>
        <w:t>8.2 Evaluatie na de conventie</w:t>
      </w:r>
    </w:p>
    <w:p>
      <w:pPr>
        <w:pStyle w:val="ListBullet"/>
        <w:ind w:left="720"/>
      </w:pPr>
      <w:r>
        <w:rPr>
          <w:rFonts w:ascii="Calibri" w:hAnsi="Calibri"/>
          <w:color w:val="333333"/>
          <w:sz w:val="22"/>
        </w:rPr>
        <w:t>Binnen 3 weken na de conventie vindt een evaluatiebijeenkomst plaats (DG, kabinet, Conventiecommissie, Host Club).</w:t>
      </w:r>
    </w:p>
    <w:p>
      <w:pPr>
        <w:pStyle w:val="ListBullet"/>
        <w:ind w:left="720"/>
      </w:pPr>
      <w:r>
        <w:rPr>
          <w:rFonts w:ascii="Calibri" w:hAnsi="Calibri"/>
          <w:color w:val="333333"/>
          <w:sz w:val="22"/>
        </w:rPr>
        <w:t>De evaluatie dekt minimaal: proces (termijnen, HR-naleving), programma en tevredenheid deelnemers, financiën en communicatie.</w:t>
      </w:r>
    </w:p>
    <w:p>
      <w:pPr>
        <w:pStyle w:val="ListBullet"/>
        <w:ind w:left="720"/>
      </w:pPr>
      <w:r>
        <w:rPr>
          <w:rFonts w:ascii="Calibri" w:hAnsi="Calibri"/>
          <w:color w:val="333333"/>
          <w:sz w:val="22"/>
        </w:rPr>
        <w:t>Resultaat: een evaluatierapport met lessen geleerd, dat onderdeel is van de overdrachtsmap voor de volgende roulatie.</w:t>
      </w:r>
    </w:p>
    <w:p>
      <w:pPr>
        <w:pStyle w:val="ListBullet"/>
        <w:ind w:left="720"/>
      </w:pPr>
      <w:r>
        <w:rPr>
          <w:rFonts w:ascii="Calibri" w:hAnsi="Calibri"/>
          <w:color w:val="333333"/>
          <w:sz w:val="22"/>
        </w:rPr>
        <w:t>De evaluatie wordt gepresenteerd in de eerstvolgende kabinetsvergadering en bewaard in het districtsarchief.</w:t>
      </w:r>
    </w:p>
    <w:p>
      <w:r>
        <w:br w:type="page"/>
      </w:r>
    </w:p>
    <w:p>
      <w:pPr>
        <w:pStyle w:val="Heading1"/>
      </w:pPr>
      <w:r>
        <w:rPr>
          <w:rFonts w:ascii="Calibri" w:hAnsi="Calibri"/>
          <w:color w:val="003366"/>
        </w:rPr>
        <w:t>9. Wijzigingsprocedure</w:t>
      </w:r>
    </w:p>
    <w:p>
      <w:pPr>
        <w:pStyle w:val="Heading2"/>
      </w:pPr>
      <w:r>
        <w:rPr>
          <w:rFonts w:ascii="Calibri" w:hAnsi="Calibri"/>
          <w:color w:val="003366"/>
        </w:rPr>
        <w:t>9.1 Afwijkingen van dit beleid</w:t>
      </w:r>
    </w:p>
    <w:p>
      <w:r>
        <w:rPr>
          <w:rFonts w:ascii="Calibri" w:hAnsi="Calibri"/>
          <w:b w:val="0"/>
          <w:i w:val="0"/>
          <w:color w:val="333333"/>
          <w:sz w:val="22"/>
        </w:rPr>
        <w:t>Afwijkingen van dit beleidsdocument zijn alleen geldig na schriftelijke vastlegging en goedkeuring via onderstaand escalatiepad. Afwijkingen mogen nooit in strijd zijn met het Huishoudelijk Reglement of de LCI Constitution; in voorkomende gevallen beslist het hogere niveau.</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850"/>
            <w:shd w:fill="003366"/>
          </w:tcPr>
          <w:p>
            <w:r>
              <w:t>Niveau</w:t>
            </w:r>
          </w:p>
        </w:tc>
        <w:tc>
          <w:tcPr>
            <w:tcW w:type="dxa" w:w="2551"/>
            <w:shd w:fill="003366"/>
          </w:tcPr>
          <w:p>
            <w:r>
              <w:t>Bevoegd voor goedkeuring</w:t>
            </w:r>
          </w:p>
        </w:tc>
        <w:tc>
          <w:tcPr>
            <w:tcW w:type="dxa" w:w="4535"/>
            <w:shd w:fill="003366"/>
          </w:tcPr>
          <w:p>
            <w:r>
              <w:t>Categorie afwijking</w:t>
            </w:r>
          </w:p>
        </w:tc>
        <w:tc>
          <w:tcPr>
            <w:tcW w:type="dxa" w:w="1984"/>
            <w:shd w:fill="003366"/>
          </w:tcPr>
          <w:p>
            <w:r>
              <w:t>Termijn</w:t>
            </w:r>
          </w:p>
        </w:tc>
      </w:tr>
      <w:tr>
        <w:tc>
          <w:tcPr>
            <w:tcW w:type="dxa" w:w="850"/>
          </w:tcPr>
          <w:p>
            <w:r>
              <w:t>1</w:t>
            </w:r>
          </w:p>
        </w:tc>
        <w:tc>
          <w:tcPr>
            <w:tcW w:type="dxa" w:w="2551"/>
          </w:tcPr>
          <w:p>
            <w:r>
              <w:t>Cabinet Secretary / Projectleider</w:t>
            </w:r>
          </w:p>
        </w:tc>
        <w:tc>
          <w:tcPr>
            <w:tcW w:type="dxa" w:w="4535"/>
          </w:tcPr>
          <w:p>
            <w:r>
              <w:t>Laag: logistieke details zonder gevolgen voor geldigheid of termijnen</w:t>
            </w:r>
          </w:p>
        </w:tc>
        <w:tc>
          <w:tcPr>
            <w:tcW w:type="dxa" w:w="1984"/>
          </w:tcPr>
          <w:p>
            <w:r>
              <w:t>24 uur</w:t>
            </w:r>
          </w:p>
        </w:tc>
      </w:tr>
      <w:tr>
        <w:tc>
          <w:tcPr>
            <w:tcW w:type="dxa" w:w="850"/>
          </w:tcPr>
          <w:p>
            <w:r>
              <w:t>2</w:t>
            </w:r>
          </w:p>
        </w:tc>
        <w:tc>
          <w:tcPr>
            <w:tcW w:type="dxa" w:w="2551"/>
          </w:tcPr>
          <w:p>
            <w:r>
              <w:t>District Governor (conventievoorzitter)</w:t>
            </w:r>
          </w:p>
        </w:tc>
        <w:tc>
          <w:tcPr>
            <w:tcW w:type="dxa" w:w="4535"/>
          </w:tcPr>
          <w:p>
            <w:r>
              <w:t>Middelmatig: termijn- of programmawijzigingen zonder statutair effect</w:t>
            </w:r>
          </w:p>
        </w:tc>
        <w:tc>
          <w:tcPr>
            <w:tcW w:type="dxa" w:w="1984"/>
          </w:tcPr>
          <w:p>
            <w:r>
              <w:t>Direct (conventiedag) / 4 uur</w:t>
            </w:r>
          </w:p>
        </w:tc>
      </w:tr>
      <w:tr>
        <w:tc>
          <w:tcPr>
            <w:tcW w:type="dxa" w:w="850"/>
          </w:tcPr>
          <w:p>
            <w:r>
              <w:t>3</w:t>
            </w:r>
          </w:p>
        </w:tc>
        <w:tc>
          <w:tcPr>
            <w:tcW w:type="dxa" w:w="2551"/>
          </w:tcPr>
          <w:p>
            <w:r>
              <w:t>Gouverneursraad</w:t>
            </w:r>
          </w:p>
        </w:tc>
        <w:tc>
          <w:tcPr>
            <w:tcW w:type="dxa" w:w="4535"/>
          </w:tcPr>
          <w:p>
            <w:r>
              <w:t>Hoog: afwijkingen met risico voor quorum, stemgerechtigheid of geldigheid besluiten</w:t>
            </w:r>
          </w:p>
        </w:tc>
        <w:tc>
          <w:tcPr>
            <w:tcW w:type="dxa" w:w="1984"/>
          </w:tcPr>
          <w:p>
            <w:r>
              <w:t>Binnen 24 uur / eerstvolgende vergadering</w:t>
            </w:r>
          </w:p>
        </w:tc>
      </w:tr>
      <w:tr>
        <w:tc>
          <w:tcPr>
            <w:tcW w:type="dxa" w:w="850"/>
          </w:tcPr>
          <w:p>
            <w:r>
              <w:t>4</w:t>
            </w:r>
          </w:p>
        </w:tc>
        <w:tc>
          <w:tcPr>
            <w:tcW w:type="dxa" w:w="2551"/>
          </w:tcPr>
          <w:p>
            <w:r>
              <w:t>Plenaire conventievergadering</w:t>
            </w:r>
          </w:p>
        </w:tc>
        <w:tc>
          <w:tcPr>
            <w:tcW w:type="dxa" w:w="4535"/>
          </w:tcPr>
          <w:p>
            <w:r>
              <w:t>Gevallen niet voorzien in het reglement (HR art. 18); ordevoorstellen</w:t>
            </w:r>
          </w:p>
        </w:tc>
        <w:tc>
          <w:tcPr>
            <w:tcW w:type="dxa" w:w="1984"/>
          </w:tcPr>
          <w:p>
            <w:r>
              <w:t>Direct tijdens conventie</w:t>
            </w:r>
          </w:p>
        </w:tc>
      </w:tr>
    </w:tbl>
    <w:p>
      <w:pPr>
        <w:pStyle w:val="Heading2"/>
      </w:pPr>
      <w:r>
        <w:rPr>
          <w:rFonts w:ascii="Calibri" w:hAnsi="Calibri"/>
          <w:color w:val="003366"/>
        </w:rPr>
        <w:t>9.2 Versiebeheer van het beleidsdocument</w:t>
      </w:r>
    </w:p>
    <w:p>
      <w:pPr>
        <w:pStyle w:val="ListBullet"/>
        <w:ind w:left="720"/>
      </w:pPr>
      <w:r>
        <w:rPr>
          <w:rFonts w:ascii="Calibri" w:hAnsi="Calibri"/>
          <w:color w:val="333333"/>
          <w:sz w:val="22"/>
        </w:rPr>
        <w:t>Wijzigingen van dit beleidsdocument worden vastgelegd in de versiehistorie (hoofdstuk Documentbeheer) met datum, auteur en wijziging.</w:t>
      </w:r>
    </w:p>
    <w:p>
      <w:pPr>
        <w:pStyle w:val="ListBullet"/>
        <w:ind w:left="720"/>
      </w:pPr>
      <w:r>
        <w:rPr>
          <w:rFonts w:ascii="Calibri" w:hAnsi="Calibri"/>
          <w:color w:val="333333"/>
          <w:sz w:val="22"/>
        </w:rPr>
        <w:t>Structurele wijzigingen worden vastgesteld door de Gouverneursraad, op voorstel van de DG en het kabinet.</w:t>
      </w:r>
    </w:p>
    <w:p>
      <w:pPr>
        <w:pStyle w:val="ListBullet"/>
        <w:ind w:left="720"/>
      </w:pPr>
      <w:r>
        <w:rPr>
          <w:rFonts w:ascii="Calibri" w:hAnsi="Calibri"/>
          <w:color w:val="333333"/>
          <w:sz w:val="22"/>
        </w:rPr>
        <w:t>Na de evaluatie van de voorjaarsconventie 2027 wordt dit beleid herzien voor de volgende roulatie.</w:t>
      </w:r>
    </w:p>
    <w:p>
      <w:pPr>
        <w:pStyle w:val="ListBullet"/>
        <w:ind w:left="720"/>
      </w:pPr>
      <w:r>
        <w:rPr>
          <w:rFonts w:ascii="Calibri" w:hAnsi="Calibri"/>
          <w:color w:val="333333"/>
          <w:sz w:val="22"/>
        </w:rPr>
        <w:t>Alle geldige versies worden gearchiveerd in ownCloud / LionsBase; alleen de laatst vastgestelde versie is leidend.</w:t>
      </w:r>
    </w:p>
    <w:p>
      <w:r>
        <w:br w:type="page"/>
      </w:r>
    </w:p>
    <w:p>
      <w:pPr>
        <w:pStyle w:val="Heading1"/>
      </w:pPr>
      <w:r>
        <w:rPr>
          <w:rFonts w:ascii="Calibri" w:hAnsi="Calibri"/>
          <w:color w:val="003366"/>
        </w:rPr>
        <w:t>Bijlage A: Controleset Feiten (TierVerify §17)</w:t>
      </w:r>
    </w:p>
    <w:p>
      <w:r>
        <w:rPr>
          <w:rFonts w:ascii="Calibri" w:hAnsi="Calibri"/>
          <w:b w:val="0"/>
          <w:i/>
          <w:color w:val="333333"/>
          <w:sz w:val="22"/>
        </w:rPr>
        <w:t>Deze feiten moeten in alle deliverables consistent terugkomen:</w:t>
      </w:r>
    </w:p>
    <w:tbl>
      <w:tblPr>
        <w:tblStyle w:val="TableGrid"/>
        <w:tblW w:type="auto" w:w="0"/>
        <w:jc w:val="center"/>
        <w:tblLook w:firstColumn="1" w:firstRow="1" w:lastColumn="0" w:lastRow="0" w:noHBand="0" w:noVBand="1" w:val="04A0"/>
      </w:tblPr>
      <w:tblGrid>
        <w:gridCol w:w="3120"/>
        <w:gridCol w:w="3120"/>
        <w:gridCol w:w="3120"/>
      </w:tblGrid>
      <w:tr>
        <w:tc>
          <w:tcPr>
            <w:tcW w:type="dxa" w:w="2835"/>
            <w:shd w:fill="003366"/>
          </w:tcPr>
          <w:p>
            <w:r>
              <w:t>Feit</w:t>
            </w:r>
          </w:p>
        </w:tc>
        <w:tc>
          <w:tcPr>
            <w:tcW w:type="dxa" w:w="3969"/>
            <w:shd w:fill="003366"/>
          </w:tcPr>
          <w:p>
            <w:r>
              <w:t>Waarde</w:t>
            </w:r>
          </w:p>
        </w:tc>
        <w:tc>
          <w:tcPr>
            <w:tcW w:type="dxa" w:w="3118"/>
            <w:shd w:fill="003366"/>
          </w:tcPr>
          <w:p>
            <w:r>
              <w:t>Bron</w:t>
            </w:r>
          </w:p>
        </w:tc>
      </w:tr>
      <w:tr>
        <w:tc>
          <w:tcPr>
            <w:tcW w:type="dxa" w:w="2835"/>
          </w:tcPr>
          <w:p>
            <w:r>
              <w:t>District</w:t>
            </w:r>
          </w:p>
        </w:tc>
        <w:tc>
          <w:tcPr>
            <w:tcW w:type="dxa" w:w="3969"/>
          </w:tcPr>
          <w:p>
            <w:r>
              <w:t>110AN</w:t>
            </w:r>
          </w:p>
        </w:tc>
        <w:tc>
          <w:tcPr>
            <w:tcW w:type="dxa" w:w="3118"/>
          </w:tcPr>
          <w:p>
            <w:r>
              <w:t>District 110AN Club Health Assessment (sept 2025)</w:t>
            </w:r>
          </w:p>
        </w:tc>
      </w:tr>
      <w:tr>
        <w:tc>
          <w:tcPr>
            <w:tcW w:type="dxa" w:w="2835"/>
          </w:tcPr>
          <w:p>
            <w:r>
              <w:t>Conventietype</w:t>
            </w:r>
          </w:p>
        </w:tc>
        <w:tc>
          <w:tcPr>
            <w:tcW w:type="dxa" w:w="3969"/>
          </w:tcPr>
          <w:p>
            <w:r>
              <w:t>Voorjaarsconventie (District Convention)</w:t>
            </w:r>
          </w:p>
        </w:tc>
        <w:tc>
          <w:tcPr>
            <w:tcW w:type="dxa" w:w="3118"/>
          </w:tcPr>
          <w:p>
            <w:r>
              <w:t>Handboek Lions Conventies vs 06 20240729</w:t>
            </w:r>
          </w:p>
        </w:tc>
      </w:tr>
      <w:tr>
        <w:tc>
          <w:tcPr>
            <w:tcW w:type="dxa" w:w="2835"/>
          </w:tcPr>
          <w:p>
            <w:r>
              <w:t>Datum</w:t>
            </w:r>
          </w:p>
        </w:tc>
        <w:tc>
          <w:tcPr>
            <w:tcW w:type="dxa" w:w="3969"/>
          </w:tcPr>
          <w:p>
            <w:r>
              <w:t>April 2027 (exacte datum conform roulatie)</w:t>
            </w:r>
          </w:p>
        </w:tc>
        <w:tc>
          <w:tcPr>
            <w:tcW w:type="dxa" w:w="3118"/>
          </w:tcPr>
          <w:p>
            <w:r>
              <w:t>Conventie Roulatieschema</w:t>
            </w:r>
          </w:p>
        </w:tc>
      </w:tr>
      <w:tr>
        <w:tc>
          <w:tcPr>
            <w:tcW w:type="dxa" w:w="2835"/>
          </w:tcPr>
          <w:p>
            <w:r>
              <w:t>Locatie</w:t>
            </w:r>
          </w:p>
        </w:tc>
        <w:tc>
          <w:tcPr>
            <w:tcW w:type="dxa" w:w="3969"/>
          </w:tcPr>
          <w:p>
            <w:r>
              <w:t>Conform roulatieschema (GR, vastgesteld 6 mei 2022)</w:t>
            </w:r>
          </w:p>
        </w:tc>
        <w:tc>
          <w:tcPr>
            <w:tcW w:type="dxa" w:w="3118"/>
          </w:tcPr>
          <w:p>
            <w:r>
              <w:t>Conventie Roulatieschema</w:t>
            </w:r>
          </w:p>
        </w:tc>
      </w:tr>
      <w:tr>
        <w:tc>
          <w:tcPr>
            <w:tcW w:type="dxa" w:w="2835"/>
          </w:tcPr>
          <w:p>
            <w:r>
              <w:t>Governance</w:t>
            </w:r>
          </w:p>
        </w:tc>
        <w:tc>
          <w:tcPr>
            <w:tcW w:type="dxa" w:w="3969"/>
          </w:tcPr>
          <w:p>
            <w:r>
              <w:t>Huishoudelijk Reglement MD 110 mei 2021</w:t>
            </w:r>
          </w:p>
        </w:tc>
        <w:tc>
          <w:tcPr>
            <w:tcW w:type="dxa" w:w="3118"/>
          </w:tcPr>
          <w:p>
            <w:r>
              <w:t>Huishoudelijk Reglement MD 110 mei 2021</w:t>
            </w:r>
          </w:p>
        </w:tc>
      </w:tr>
      <w:tr>
        <w:tc>
          <w:tcPr>
            <w:tcW w:type="dxa" w:w="2835"/>
          </w:tcPr>
          <w:p>
            <w:r>
              <w:t>Stemrechten</w:t>
            </w:r>
          </w:p>
        </w:tc>
        <w:tc>
          <w:tcPr>
            <w:tcW w:type="dxa" w:w="3969"/>
          </w:tcPr>
          <w:p>
            <w:r>
              <w:t>1 stem per 10 leden per club (min 1, max 5)</w:t>
            </w:r>
          </w:p>
        </w:tc>
        <w:tc>
          <w:tcPr>
            <w:tcW w:type="dxa" w:w="3118"/>
          </w:tcPr>
          <w:p>
            <w:r>
              <w:t>Huishoudelijk Reglement / LCI Statuten</w:t>
            </w:r>
          </w:p>
        </w:tc>
      </w:tr>
      <w:tr>
        <w:tc>
          <w:tcPr>
            <w:tcW w:type="dxa" w:w="2835"/>
          </w:tcPr>
          <w:p>
            <w:r>
              <w:t>Quorum</w:t>
            </w:r>
          </w:p>
        </w:tc>
        <w:tc>
          <w:tcPr>
            <w:tcW w:type="dxa" w:w="3969"/>
          </w:tcPr>
          <w:p>
            <w:r>
              <w:t>&gt;50% van stemgerechtigden</w:t>
            </w:r>
          </w:p>
        </w:tc>
        <w:tc>
          <w:tcPr>
            <w:tcW w:type="dxa" w:w="3118"/>
          </w:tcPr>
          <w:p>
            <w:r>
              <w:t>Huishoudelijk Reglement</w:t>
            </w:r>
          </w:p>
        </w:tc>
      </w:tr>
      <w:tr>
        <w:tc>
          <w:tcPr>
            <w:tcW w:type="dxa" w:w="2835"/>
          </w:tcPr>
          <w:p>
            <w:r>
              <w:t>Budget referentie</w:t>
            </w:r>
          </w:p>
        </w:tc>
        <w:tc>
          <w:tcPr>
            <w:tcW w:type="dxa" w:w="3969"/>
          </w:tcPr>
          <w:p>
            <w:r>
              <w:t>Districtbegroting 25-26: post '1 Districtsconventie' € 3.500</w:t>
            </w:r>
          </w:p>
        </w:tc>
        <w:tc>
          <w:tcPr>
            <w:tcW w:type="dxa" w:w="3118"/>
          </w:tcPr>
          <w:p>
            <w:r>
              <w:t>Districtbegroting 110 AN 25-26</w:t>
            </w:r>
          </w:p>
        </w:tc>
      </w:tr>
      <w:tr>
        <w:tc>
          <w:tcPr>
            <w:tcW w:type="dxa" w:w="2835"/>
          </w:tcPr>
          <w:p>
            <w:r>
              <w:t>Voorzitter</w:t>
            </w:r>
          </w:p>
        </w:tc>
        <w:tc>
          <w:tcPr>
            <w:tcW w:type="dxa" w:w="3969"/>
          </w:tcPr>
          <w:p>
            <w:r>
              <w:t>District Governor 2026–2027</w:t>
            </w:r>
          </w:p>
        </w:tc>
        <w:tc>
          <w:tcPr>
            <w:tcW w:type="dxa" w:w="3118"/>
          </w:tcPr>
          <w:p>
            <w:r>
              <w:t>Werkplan AN 2026-2027 draft v1</w:t>
            </w:r>
          </w:p>
        </w:tc>
      </w:tr>
      <w:tr>
        <w:tc>
          <w:tcPr>
            <w:tcW w:type="dxa" w:w="2835"/>
          </w:tcPr>
          <w:p>
            <w:r>
              <w:t>Secretaris</w:t>
            </w:r>
          </w:p>
        </w:tc>
        <w:tc>
          <w:tcPr>
            <w:tcW w:type="dxa" w:w="3969"/>
          </w:tcPr>
          <w:p>
            <w:r>
              <w:t>Cabinet Secretary 2026–2027</w:t>
            </w:r>
          </w:p>
        </w:tc>
        <w:tc>
          <w:tcPr>
            <w:tcW w:type="dxa" w:w="3118"/>
          </w:tcPr>
          <w:p>
            <w:r>
              <w:t>Werkplan AN 2026-2027 draft v1</w:t>
            </w:r>
          </w:p>
        </w:tc>
      </w:tr>
      <w:tr>
        <w:tc>
          <w:tcPr>
            <w:tcW w:type="dxa" w:w="2835"/>
          </w:tcPr>
          <w:p>
            <w:r>
              <w:t>Thema FY 2026–2027</w:t>
            </w:r>
          </w:p>
        </w:tc>
        <w:tc>
          <w:tcPr>
            <w:tcW w:type="dxa" w:w="3969"/>
          </w:tcPr>
          <w:p>
            <w:r>
              <w:t>Samen verder bouwen!</w:t>
            </w:r>
          </w:p>
        </w:tc>
        <w:tc>
          <w:tcPr>
            <w:tcW w:type="dxa" w:w="3118"/>
          </w:tcPr>
          <w:p>
            <w:r>
              <w:t>Werkplan AN 2026-2027 draft v1</w:t>
            </w:r>
          </w:p>
        </w:tc>
      </w:tr>
      <w:tr>
        <w:tc>
          <w:tcPr>
            <w:tcW w:type="dxa" w:w="2835"/>
          </w:tcPr>
          <w:p>
            <w:r>
              <w:t>Leden district (referentie)</w:t>
            </w:r>
          </w:p>
        </w:tc>
        <w:tc>
          <w:tcPr>
            <w:tcW w:type="dxa" w:w="3969"/>
          </w:tcPr>
          <w:p>
            <w:r>
              <w:t>± 1.200 (Districtbegroting 25-26)</w:t>
            </w:r>
          </w:p>
        </w:tc>
        <w:tc>
          <w:tcPr>
            <w:tcW w:type="dxa" w:w="3118"/>
          </w:tcPr>
          <w:p>
            <w:r>
              <w:t>Districtbegroting 110 AN 25-26</w:t>
            </w:r>
          </w:p>
        </w:tc>
      </w:tr>
    </w:tbl>
    <w:p>
      <w:r>
        <w:br w:type="page"/>
      </w:r>
    </w:p>
    <w:p>
      <w:pPr>
        <w:pStyle w:val="Heading1"/>
      </w:pPr>
      <w:r>
        <w:rPr>
          <w:rFonts w:ascii="Calibri" w:hAnsi="Calibri"/>
          <w:color w:val="003366"/>
        </w:rPr>
        <w:t>Bijlage B: Bronnenregister (Meta-Dossier v1)</w:t>
      </w:r>
    </w:p>
    <w:tbl>
      <w:tblPr>
        <w:tblStyle w:val="TableGrid"/>
        <w:tblW w:type="auto" w:w="0"/>
        <w:jc w:val="center"/>
        <w:tblLook w:firstColumn="1" w:firstRow="1" w:lastColumn="0" w:lastRow="0" w:noHBand="0" w:noVBand="1" w:val="04A0"/>
      </w:tblPr>
      <w:tblGrid>
        <w:gridCol w:w="3120"/>
        <w:gridCol w:w="3120"/>
        <w:gridCol w:w="3120"/>
      </w:tblGrid>
      <w:tr>
        <w:tc>
          <w:tcPr>
            <w:tcW w:type="dxa" w:w="3969"/>
            <w:shd w:fill="003366"/>
          </w:tcPr>
          <w:p>
            <w:r>
              <w:t>Bron</w:t>
            </w:r>
          </w:p>
        </w:tc>
        <w:tc>
          <w:tcPr>
            <w:tcW w:type="dxa" w:w="1701"/>
            <w:shd w:fill="003366"/>
          </w:tcPr>
          <w:p>
            <w:r>
              <w:t>Type</w:t>
            </w:r>
          </w:p>
        </w:tc>
        <w:tc>
          <w:tcPr>
            <w:tcW w:type="dxa" w:w="4252"/>
            <w:shd w:fill="003366"/>
          </w:tcPr>
          <w:p>
            <w:r>
              <w:t>Gebruik in dit beleid</w:t>
            </w:r>
          </w:p>
        </w:tc>
      </w:tr>
      <w:tr>
        <w:tc>
          <w:tcPr>
            <w:tcW w:type="dxa" w:w="3969"/>
          </w:tcPr>
          <w:p>
            <w:r>
              <w:t>Handboek Lions Conventies vs 06 (2024-07-29)</w:t>
            </w:r>
          </w:p>
        </w:tc>
        <w:tc>
          <w:tcPr>
            <w:tcW w:type="dxa" w:w="1701"/>
          </w:tcPr>
          <w:p>
            <w:r>
              <w:t>LCI-handboek</w:t>
            </w:r>
          </w:p>
        </w:tc>
        <w:tc>
          <w:tcPr>
            <w:tcW w:type="dxa" w:w="4252"/>
          </w:tcPr>
          <w:p>
            <w:r>
              <w:t>Conventie-eisen, organisatie-structuur, verkiezingen</w:t>
            </w:r>
          </w:p>
        </w:tc>
      </w:tr>
      <w:tr>
        <w:tc>
          <w:tcPr>
            <w:tcW w:type="dxa" w:w="3969"/>
          </w:tcPr>
          <w:p>
            <w:r>
              <w:t>Huishoudelijk Reglement MD 110 Nederland (mei 2021)</w:t>
            </w:r>
          </w:p>
        </w:tc>
        <w:tc>
          <w:tcPr>
            <w:tcW w:type="dxa" w:w="1701"/>
          </w:tcPr>
          <w:p>
            <w:r>
              <w:t>Reglement</w:t>
            </w:r>
          </w:p>
        </w:tc>
        <w:tc>
          <w:tcPr>
            <w:tcW w:type="dxa" w:w="4252"/>
          </w:tcPr>
          <w:p>
            <w:r>
              <w:t>Oproeping, stemrecht, quorum, stembureau, procedures</w:t>
            </w:r>
          </w:p>
        </w:tc>
      </w:tr>
      <w:tr>
        <w:tc>
          <w:tcPr>
            <w:tcW w:type="dxa" w:w="3969"/>
          </w:tcPr>
          <w:p>
            <w:r>
              <w:t>Conventie Roulatieschema (GR, 6 mei 2022)</w:t>
            </w:r>
          </w:p>
        </w:tc>
        <w:tc>
          <w:tcPr>
            <w:tcW w:type="dxa" w:w="1701"/>
          </w:tcPr>
          <w:p>
            <w:r>
              <w:t>Besluit GR</w:t>
            </w:r>
          </w:p>
        </w:tc>
        <w:tc>
          <w:tcPr>
            <w:tcW w:type="dxa" w:w="4252"/>
          </w:tcPr>
          <w:p>
            <w:r>
              <w:t>Datum- en locatieroulatie voorjaarsconventies</w:t>
            </w:r>
          </w:p>
        </w:tc>
      </w:tr>
      <w:tr>
        <w:tc>
          <w:tcPr>
            <w:tcW w:type="dxa" w:w="3969"/>
          </w:tcPr>
          <w:p>
            <w:r>
              <w:t>Districtbegroting 110 AN 25-26</w:t>
            </w:r>
          </w:p>
        </w:tc>
        <w:tc>
          <w:tcPr>
            <w:tcW w:type="dxa" w:w="1701"/>
          </w:tcPr>
          <w:p>
            <w:r>
              <w:t>Begroting</w:t>
            </w:r>
          </w:p>
        </w:tc>
        <w:tc>
          <w:tcPr>
            <w:tcW w:type="dxa" w:w="4252"/>
          </w:tcPr>
          <w:p>
            <w:r>
              <w:t>Financieel kader en conventie-post (€ 3.500)</w:t>
            </w:r>
          </w:p>
        </w:tc>
      </w:tr>
      <w:tr>
        <w:tc>
          <w:tcPr>
            <w:tcW w:type="dxa" w:w="3969"/>
          </w:tcPr>
          <w:p>
            <w:r>
              <w:t>Werkplan AN 2026-2027 draft v1</w:t>
            </w:r>
          </w:p>
        </w:tc>
        <w:tc>
          <w:tcPr>
            <w:tcW w:type="dxa" w:w="1701"/>
          </w:tcPr>
          <w:p>
            <w:r>
              <w:t>Werkplan</w:t>
            </w:r>
          </w:p>
        </w:tc>
        <w:tc>
          <w:tcPr>
            <w:tcW w:type="dxa" w:w="4252"/>
          </w:tcPr>
          <w:p>
            <w:r>
              <w:t>Thema, kabinet 2026-2027, activiteitenkalender</w:t>
            </w:r>
          </w:p>
        </w:tc>
      </w:tr>
      <w:tr>
        <w:tc>
          <w:tcPr>
            <w:tcW w:type="dxa" w:w="3969"/>
          </w:tcPr>
          <w:p>
            <w:r>
              <w:t>Werkplan AN 2025-2026</w:t>
            </w:r>
          </w:p>
        </w:tc>
        <w:tc>
          <w:tcPr>
            <w:tcW w:type="dxa" w:w="1701"/>
          </w:tcPr>
          <w:p>
            <w:r>
              <w:t>Werkplan</w:t>
            </w:r>
          </w:p>
        </w:tc>
        <w:tc>
          <w:tcPr>
            <w:tcW w:type="dxa" w:w="4252"/>
          </w:tcPr>
          <w:p>
            <w:r>
              <w:t>Context huidig werkjaar</w:t>
            </w:r>
          </w:p>
        </w:tc>
      </w:tr>
      <w:tr>
        <w:tc>
          <w:tcPr>
            <w:tcW w:type="dxa" w:w="3969"/>
          </w:tcPr>
          <w:p>
            <w:r>
              <w:t>District 110AN Club Health Assessment (sept 2025)</w:t>
            </w:r>
          </w:p>
        </w:tc>
        <w:tc>
          <w:tcPr>
            <w:tcW w:type="dxa" w:w="1701"/>
          </w:tcPr>
          <w:p>
            <w:r>
              <w:t>Rapportage</w:t>
            </w:r>
          </w:p>
        </w:tc>
        <w:tc>
          <w:tcPr>
            <w:tcW w:type="dxa" w:w="4252"/>
          </w:tcPr>
          <w:p>
            <w:r>
              <w:t>Ledenaantallen district (basis stemrechtberekening)</w:t>
            </w:r>
          </w:p>
        </w:tc>
      </w:tr>
      <w:tr>
        <w:tc>
          <w:tcPr>
            <w:tcW w:type="dxa" w:w="3969"/>
          </w:tcPr>
          <w:p>
            <w:r>
              <w:t>Verslag Najaarsconventie 110AN (17 oktober 2024)</w:t>
            </w:r>
          </w:p>
        </w:tc>
        <w:tc>
          <w:tcPr>
            <w:tcW w:type="dxa" w:w="1701"/>
          </w:tcPr>
          <w:p>
            <w:r>
              <w:t>Verslag</w:t>
            </w:r>
          </w:p>
        </w:tc>
        <w:tc>
          <w:tcPr>
            <w:tcW w:type="dxa" w:w="4252"/>
          </w:tcPr>
          <w:p>
            <w:r>
              <w:t>Precedenten en lessen geleerd</w:t>
            </w:r>
          </w:p>
        </w:tc>
      </w:tr>
    </w:tbl>
    <w:p>
      <w:r>
        <w:br w:type="page"/>
      </w:r>
    </w:p>
    <w:p>
      <w:pPr>
        <w:pStyle w:val="Heading1"/>
      </w:pPr>
      <w:r>
        <w:rPr>
          <w:rFonts w:ascii="Calibri" w:hAnsi="Calibri"/>
          <w:color w:val="003366"/>
        </w:rPr>
        <w:t>Colofon</w:t>
      </w:r>
    </w:p>
    <w:p>
      <w:pPr>
        <w:pStyle w:val="ListBullet"/>
        <w:ind w:left="720"/>
      </w:pPr>
      <w:r>
        <w:rPr>
          <w:rFonts w:ascii="Calibri" w:hAnsi="Calibri"/>
          <w:color w:val="333333"/>
          <w:sz w:val="22"/>
        </w:rPr>
        <w:t>Document: Beleidsdocument Voorjaarsconventie 2027 v1.0</w:t>
      </w:r>
    </w:p>
    <w:p>
      <w:pPr>
        <w:pStyle w:val="ListBullet"/>
        <w:ind w:left="720"/>
      </w:pPr>
      <w:r>
        <w:rPr>
          <w:rFonts w:ascii="Calibri" w:hAnsi="Calibri"/>
          <w:color w:val="333333"/>
          <w:sz w:val="22"/>
        </w:rPr>
        <w:t>District: 110AN</w:t>
      </w:r>
    </w:p>
    <w:p>
      <w:pPr>
        <w:pStyle w:val="ListBullet"/>
        <w:ind w:left="720"/>
      </w:pPr>
      <w:r>
        <w:rPr>
          <w:rFonts w:ascii="Calibri" w:hAnsi="Calibri"/>
          <w:color w:val="333333"/>
          <w:sz w:val="22"/>
        </w:rPr>
        <w:t>Datum aanmaak: 2026-08-26</w:t>
      </w:r>
    </w:p>
    <w:p>
      <w:pPr>
        <w:pStyle w:val="ListBullet"/>
        <w:ind w:left="720"/>
      </w:pPr>
      <w:r>
        <w:rPr>
          <w:rFonts w:ascii="Calibri" w:hAnsi="Calibri"/>
          <w:color w:val="333333"/>
          <w:sz w:val="22"/>
        </w:rPr>
        <w:t>Governance basis: LCI Constitution Chapter XVII · Huishoudelijk Reglement MD 110 mei 2021</w:t>
      </w:r>
    </w:p>
    <w:p>
      <w:pPr>
        <w:pStyle w:val="ListBullet"/>
        <w:ind w:left="720"/>
      </w:pPr>
      <w:r>
        <w:rPr>
          <w:rFonts w:ascii="Calibri" w:hAnsi="Calibri"/>
          <w:color w:val="333333"/>
          <w:sz w:val="22"/>
        </w:rPr>
        <w:t>Auteur: District Governor 2026-2027 / Cabinet Secretary / Conventiecommissie</w:t>
      </w:r>
    </w:p>
    <w:p>
      <w:pPr>
        <w:pStyle w:val="ListBullet"/>
        <w:ind w:left="720"/>
      </w:pPr>
      <w:r>
        <w:rPr>
          <w:rFonts w:ascii="Calibri" w:hAnsi="Calibri"/>
          <w:color w:val="333333"/>
          <w:sz w:val="22"/>
        </w:rPr>
        <w:t>Versiebeheer: v1.0 — initiële versie ter vaststelling Gouverneursraad</w:t>
      </w:r>
    </w:p>
    <w:p>
      <w:pPr>
        <w:pStyle w:val="ListBullet"/>
        <w:ind w:left="720"/>
      </w:pPr>
      <w:r>
        <w:rPr>
          <w:rFonts w:ascii="Calibri" w:hAnsi="Calibri"/>
          <w:color w:val="333333"/>
          <w:sz w:val="22"/>
        </w:rPr>
        <w:t>Volgende review: na evaluatie voorjaarsconventie 2027 (voor de volgende roulatie)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