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District</w:t>
      </w:r>
      <w:r>
        <w:t xml:space="preserve"> </w:t>
      </w:r>
      <w:r>
        <w:t xml:space="preserve">110</w:t>
      </w:r>
      <w:r>
        <w:t xml:space="preserve"> </w:t>
      </w:r>
      <w:r>
        <w:t xml:space="preserve">AN</w:t>
      </w:r>
      <w:r>
        <w:t xml:space="preserve"> </w:t>
      </w:r>
      <w:r>
        <w:t xml:space="preserve">—</w:t>
      </w:r>
      <w:r>
        <w:t xml:space="preserve"> </w:t>
      </w:r>
      <w:r>
        <w:t xml:space="preserve">Kennisdossier</w:t>
      </w:r>
      <w:r>
        <w:t xml:space="preserve"> </w:t>
      </w:r>
      <w:r>
        <w:t xml:space="preserve">Ledenontmoetingsavond</w:t>
      </w:r>
    </w:p>
    <w:p>
      <w:pPr>
        <w:pStyle w:val="Subtitle"/>
      </w:pPr>
      <w:r>
        <w:t xml:space="preserve">Kennis-</w:t>
      </w:r>
      <w:r>
        <w:t xml:space="preserve"> </w:t>
      </w:r>
      <w:r>
        <w:t xml:space="preserve">en</w:t>
      </w:r>
      <w:r>
        <w:t xml:space="preserve"> </w:t>
      </w:r>
      <w:r>
        <w:t xml:space="preserve">referentiedossier</w:t>
      </w:r>
      <w:r>
        <w:t xml:space="preserve"> </w:t>
      </w:r>
      <w:r>
        <w:t xml:space="preserve">voor</w:t>
      </w:r>
      <w:r>
        <w:t xml:space="preserve"> </w:t>
      </w:r>
      <w:r>
        <w:t xml:space="preserve">de</w:t>
      </w:r>
      <w:r>
        <w:t xml:space="preserve"> </w:t>
      </w:r>
      <w:r>
        <w:t xml:space="preserve">districtsbrede</w:t>
      </w:r>
      <w:r>
        <w:t xml:space="preserve"> </w:t>
      </w:r>
      <w:r>
        <w:t xml:space="preserve">ledenontmoetingsavond</w:t>
      </w:r>
      <w:r>
        <w:t xml:space="preserve"> </w:t>
      </w:r>
      <w:r>
        <w:t xml:space="preserve">met</w:t>
      </w:r>
      <w:r>
        <w:t xml:space="preserve"> </w:t>
      </w:r>
      <w:r>
        <w:t xml:space="preserve">aankondiging</w:t>
      </w:r>
      <w:r>
        <w:t xml:space="preserve"> </w:t>
      </w:r>
      <w:r>
        <w:t xml:space="preserve">van</w:t>
      </w:r>
      <w:r>
        <w:t xml:space="preserve"> </w:t>
      </w:r>
      <w:r>
        <w:t xml:space="preserve">de</w:t>
      </w:r>
      <w:r>
        <w:t xml:space="preserve"> </w:t>
      </w:r>
      <w:r>
        <w:t xml:space="preserve">kandidaat</w:t>
      </w:r>
      <w:r>
        <w:t xml:space="preserve"> </w:t>
      </w:r>
      <w:r>
        <w:t xml:space="preserve">2e</w:t>
      </w:r>
      <w:r>
        <w:t xml:space="preserve"> </w:t>
      </w:r>
      <w:r>
        <w:t xml:space="preserve">Vice</w:t>
      </w:r>
      <w:r>
        <w:t xml:space="preserve"> </w:t>
      </w:r>
      <w:r>
        <w:t xml:space="preserve">District</w:t>
      </w:r>
      <w:r>
        <w:t xml:space="preserve"> </w:t>
      </w:r>
      <w:r>
        <w:t xml:space="preserve">Governor</w:t>
      </w:r>
      <w:r>
        <w:t xml:space="preserve"> </w:t>
      </w:r>
      <w:r>
        <w:t xml:space="preserve">—</w:t>
      </w:r>
      <w:r>
        <w:t xml:space="preserve"> </w:t>
      </w:r>
      <w:r>
        <w:t xml:space="preserve">dinsdag</w:t>
      </w:r>
      <w:r>
        <w:t xml:space="preserve"> </w:t>
      </w:r>
      <w:r>
        <w:t xml:space="preserve">13</w:t>
      </w:r>
      <w:r>
        <w:t xml:space="preserve"> </w:t>
      </w:r>
      <w:r>
        <w:t xml:space="preserve">oktober</w:t>
      </w:r>
      <w:r>
        <w:t xml:space="preserve"> </w:t>
      </w:r>
      <w:r>
        <w:t xml:space="preserve">2026</w:t>
      </w:r>
    </w:p>
    <w:p>
      <w:pPr>
        <w:pStyle w:val="Author"/>
      </w:pPr>
      <w:r>
        <w:t xml:space="preserve">JvG</w:t>
      </w:r>
      <w:r>
        <w:t xml:space="preserve"> </w:t>
      </w:r>
      <w:r>
        <w:t xml:space="preserve">Consultancy</w:t>
      </w:r>
      <w:r>
        <w:t xml:space="preserve"> </w:t>
      </w:r>
      <w:r>
        <w:t xml:space="preserve">namens</w:t>
      </w:r>
      <w:r>
        <w:t xml:space="preserve"> </w:t>
      </w:r>
      <w:r>
        <w:t xml:space="preserve">District</w:t>
      </w:r>
      <w:r>
        <w:t xml:space="preserve"> </w:t>
      </w:r>
      <w:r>
        <w:t xml:space="preserve">110</w:t>
      </w:r>
      <w:r>
        <w:t xml:space="preserve"> </w:t>
      </w:r>
      <w:r>
        <w:t xml:space="preserve">AN</w:t>
      </w:r>
    </w:p>
    <w:p>
      <w:pPr>
        <w:pStyle w:val="Date"/>
      </w:pPr>
      <w:r>
        <w:t xml:space="preserve">Versie</w:t>
      </w:r>
      <w:r>
        <w:t xml:space="preserve"> </w:t>
      </w:r>
      <w:r>
        <w:t xml:space="preserve">1.0</w:t>
      </w:r>
      <w:r>
        <w:t xml:space="preserve"> </w:t>
      </w:r>
      <w:r>
        <w:t xml:space="preserve">•</w:t>
      </w:r>
      <w:r>
        <w:t xml:space="preserve"> </w:t>
      </w:r>
      <w:r>
        <w:t xml:space="preserve">25</w:t>
      </w:r>
      <w:r>
        <w:t xml:space="preserve"> </w:t>
      </w:r>
      <w:r>
        <w:t xml:space="preserve">augustus</w:t>
      </w:r>
      <w:r>
        <w:t xml:space="preserve"> </w:t>
      </w:r>
      <w:r>
        <w:t xml:space="preserve">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20" w:name="documentbeheer"/>
    <w:p>
      <w:pPr>
        <w:pStyle w:val="Heading2"/>
      </w:pPr>
      <w:r>
        <w:t xml:space="preserve">Documentbeheer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Versie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Auteur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Wijziging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25-08-2026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JvG Consultancy namens District 110 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Definitief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Initiële release; synthese van 37 bronnen (Tier 1–3) conform meta-dossier v1.0</w:t>
            </w:r>
          </w:p>
        </w:tc>
      </w:tr>
    </w:tbl>
    <w:p>
      <w:pPr>
        <w:pStyle w:val="BodyText"/>
      </w:pPr>
      <w:r>
        <w:rPr>
          <w:b/>
          <w:bCs/>
        </w:rPr>
        <w:t xml:space="preserve">Distributie:</w:t>
      </w:r>
      <w:r>
        <w:t xml:space="preserve"> </w:t>
      </w:r>
      <w:r>
        <w:t xml:space="preserve">District Governor (goedkeuring) • 1e Vice District Governor / GMT (uitvoering) • District Cabinet 2026-2027 (uitvoering) • Clubpresidenten District 110 AN (kennisgeving) • Projectgroep Ledenontmoetingsavond (werkingstitel).</w:t>
      </w:r>
    </w:p>
    <w:p>
      <w:pPr>
        <w:pStyle w:val="BodyText"/>
      </w:pPr>
      <w:r>
        <w:rPr>
          <w:b/>
          <w:bCs/>
        </w:rPr>
        <w:t xml:space="preserve">Status:</w:t>
      </w:r>
      <w:r>
        <w:t xml:space="preserve"> </w:t>
      </w:r>
      <w:r>
        <w:t xml:space="preserve">Dit kennisdossier is het kennis- en onderzoeksreferentiaal achter de deliverable-suite (policy, projectplan, communicatieplan). Het is een intern werkdocument; besluiten worden genomen in de daarvoor aangewezen organen conform het Huishoudelijk Reglement MD 110 [23][24].</w:t>
      </w:r>
    </w:p>
    <w:bookmarkEnd w:id="20"/>
    <w:bookmarkStart w:id="24" w:name="district-110-an-situatie-en-kerngegevens"/>
    <w:p>
      <w:pPr>
        <w:pStyle w:val="Heading1"/>
      </w:pPr>
      <w:r>
        <w:t xml:space="preserve">1. District 110 AN — Situatie en kerngegevens</w:t>
      </w:r>
    </w:p>
    <w:bookmarkStart w:id="21" w:name="bestuurlijke-situatie"/>
    <w:p>
      <w:pPr>
        <w:pStyle w:val="Heading2"/>
      </w:pPr>
      <w:r>
        <w:t xml:space="preserve">1.1 Bestuurlijke situatie</w:t>
      </w:r>
    </w:p>
    <w:p>
      <w:pPr>
        <w:pStyle w:val="FirstParagraph"/>
      </w:pPr>
      <w:r>
        <w:t xml:space="preserve">District 110 AN vormt samen met de overige districten Multiple District 110 (MD110) Nederland. De bestuurlijke continuïteit is geborgd in het kabinet 2025-2026, dat definitief is vastgesteld op 11 april 2025 [9]. Kernelementen: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District Governor (DG):</w:t>
      </w:r>
      <w:r>
        <w:t xml:space="preserve"> </w:t>
      </w:r>
      <w:r>
        <w:t xml:space="preserve">Arjan van Ommen (IPDG 2024-2025) [5][25].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1e Vice District Governor:</w:t>
      </w:r>
      <w:r>
        <w:t xml:space="preserve"> </w:t>
      </w:r>
      <w:r>
        <w:t xml:space="preserve">voorzitter GMT district; verantwoordelijk voor ledenbeleid en de Global Membership Team-agenda [2].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2e Vice District Governor:</w:t>
      </w:r>
      <w:r>
        <w:t xml:space="preserve"> </w:t>
      </w:r>
      <w:r>
        <w:t xml:space="preserve">te benoemen; de aankondiging van de kandidaat is het centrale governance-moment van de Ledenontmoetingsavond op 13 oktober 2026.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Gouverneursraad:</w:t>
      </w:r>
      <w:r>
        <w:t xml:space="preserve"> </w:t>
      </w:r>
      <w:r>
        <w:t xml:space="preserve">taakverdeling voor 2026-2027 is voorbereid [10], ter ondersteuning van de overdracht naar het kabinet 2026-2027.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Zonestructuur:</w:t>
      </w:r>
      <w:r>
        <w:t xml:space="preserve"> </w:t>
      </w:r>
      <w:r>
        <w:t xml:space="preserve">de zone-indeling is recent herzien [18]; zonevoorzitters vormen de verbindende schakel tussen kabinet en clubs.</w:t>
      </w:r>
    </w:p>
    <w:bookmarkEnd w:id="21"/>
    <w:bookmarkStart w:id="22" w:name="ledenstatistieken-en-club-health"/>
    <w:p>
      <w:pPr>
        <w:pStyle w:val="Heading2"/>
      </w:pPr>
      <w:r>
        <w:t xml:space="preserve">1.2 Ledenstatistieken en club health</w:t>
      </w:r>
    </w:p>
    <w:p>
      <w:pPr>
        <w:pStyle w:val="FirstParagraph"/>
      </w:pPr>
      <w:r>
        <w:t xml:space="preserve">De ledenstatistieken van het district zijn beschikbaar in drie officiële rapporten: de 5 Year Membership Trend [6], de Summary of Membership Types and Gender by Club [7] en het District 110AN club health assessment [5], aangevuld met de MD110-brede gezondheidsmeting [8]. Deze rapporten vormen de feitelijke basis voor opkomstprognoses, doelgroepsegmentatie en de vitaliteitsprogrammering van de avond: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Trendanalyse (5 jaar)</w:t>
      </w:r>
      <w:r>
        <w:t xml:space="preserve"> </w:t>
      </w:r>
      <w:r>
        <w:t xml:space="preserve">[6]: identificeert groeiende en krimpende clubs; input voor een doelgerichte zonebenadering.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Membership types en gender</w:t>
      </w:r>
      <w:r>
        <w:t xml:space="preserve"> </w:t>
      </w:r>
      <w:r>
        <w:t xml:space="preserve">[7]: ondersteunt de diversiteitsdoelstellingen uit het Club Vitaliteit Programma v4 [11].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Club health assessment</w:t>
      </w:r>
      <w:r>
        <w:t xml:space="preserve"> </w:t>
      </w:r>
      <w:r>
        <w:t xml:space="preserve">[5][8]: bepaalt welke clubs extra aandacht behoeven rondom vitaliteit en ledenbehoud; de MD110-meting [8] plaatst district 110 AN in landelijke context.</w:t>
      </w:r>
    </w:p>
    <w:p>
      <w:pPr>
        <w:pStyle w:val="Compact"/>
        <w:numPr>
          <w:ilvl w:val="0"/>
          <w:numId w:val="1002"/>
        </w:numPr>
      </w:pPr>
      <w:r>
        <w:t xml:space="preserve">Exacte actuele cijfers worden bij eerste gebruik in de projectplanning ontleend aan de actuele rapportages in de Lions database; dit dossier verwijst ernaar als geautoriseerde bron.</w:t>
      </w:r>
    </w:p>
    <w:bookmarkEnd w:id="22"/>
    <w:bookmarkStart w:id="23" w:name="strategische-kaders"/>
    <w:p>
      <w:pPr>
        <w:pStyle w:val="Heading2"/>
      </w:pPr>
      <w:r>
        <w:t xml:space="preserve">1.3 Strategische kaders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Werkplan 110 AN 2025-2026</w:t>
      </w:r>
      <w:r>
        <w:t xml:space="preserve"> </w:t>
      </w:r>
      <w:r>
        <w:t xml:space="preserve">[1]: clubvitaliteit en ledengroei, versterken van district governance, GMT-ondersteuning, jeugduitwisseling en serviceprojecten. Het concept-Werkplan AN 2026-2027 [16] zet deze lijn voort.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Meerjarenbeleidsplannen:</w:t>
      </w:r>
      <w:r>
        <w:t xml:space="preserve"> </w:t>
      </w:r>
      <w:r>
        <w:t xml:space="preserve">MD110 2024-2030 [26] en Lions Nederland 2025-2031 vs. 3.0 [25].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Ledenbeleid GMT Lions Nederland 2025</w:t>
      </w:r>
      <w:r>
        <w:t xml:space="preserve"> </w:t>
      </w:r>
      <w:r>
        <w:t xml:space="preserve">[12] en</w:t>
      </w:r>
      <w:r>
        <w:t xml:space="preserve"> </w:t>
      </w:r>
      <w:r>
        <w:rPr>
          <w:b/>
          <w:bCs/>
        </w:rPr>
        <w:t xml:space="preserve">Club Vitaliteit Programma v4</w:t>
      </w:r>
      <w:r>
        <w:t xml:space="preserve"> </w:t>
      </w:r>
      <w:r>
        <w:t xml:space="preserve">(april 2025) [11]: operationele kaders voor werving, onboarding, retentie en mentorprogramma’s.</w:t>
      </w:r>
    </w:p>
    <w:bookmarkEnd w:id="23"/>
    <w:bookmarkEnd w:id="24"/>
    <w:bookmarkStart w:id="27" w:name="X32c8b007cf7f4db4b3d936350c67b2c5b2dcc0e"/>
    <w:p>
      <w:pPr>
        <w:pStyle w:val="Heading1"/>
      </w:pPr>
      <w:r>
        <w:t xml:space="preserve">2. Governance framework (LCI, MD110, Protocollen)</w:t>
      </w:r>
    </w:p>
    <w:bookmarkStart w:id="25" w:name="X47898336d7ba4a9dbfb6662e039d982506f3e66"/>
    <w:p>
      <w:pPr>
        <w:pStyle w:val="Heading2"/>
      </w:pPr>
      <w:r>
        <w:t xml:space="preserve">2.1 Gelaagde regelgeving en compliance-matrix</w:t>
      </w:r>
    </w:p>
    <w:p>
      <w:pPr>
        <w:pStyle w:val="FirstParagraph"/>
      </w:pPr>
      <w:r>
        <w:t xml:space="preserve">Het evenement en de 2e VDG-aankondiging bewegen zich in een vierlagenstelsel: internationale regelgeving (LCI), multiple-districtregelgeving (MD110), districtprotocol en clubniveau.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Regelgeving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Bepaling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Toepassing op dit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Statuten MD110 Nederland (07-12-2021)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 4.2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Benoemingsprocedure 2e VDG; bevoegdheden DG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Huishoudelijk Reglement MD 110 (mei 2021 / concept 19-02-2025)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Protocol districtbijeenkomsten: uitnodiging, agenda, verslaglegging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23, 24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Protocol MD-Organen V1.0 (18-02-2025)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 3.1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 en samenstelling kabinet; overdrachtsprocedures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International Constitution and By-Laws (LCI)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Hoofdstuk 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Verkiezings- en benoemingsprocedures district officers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Board Policy Manual (LCI)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§ 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Ethische standaarden en richtlijnen voor de DG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Lions District Election Guidelines (LCI)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Geheel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Kader kandidaatstelling en aankondiging; geen campagne-uitingen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Ethical Standards and Conduct (DG)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Geheel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Gedragscode functionarissen tijdens het evenement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District Dispute Resolution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Geheel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Afhandeling van geschillen in voorbereiding en uitvoering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</w:tr>
    </w:tbl>
    <w:bookmarkEnd w:id="25"/>
    <w:bookmarkStart w:id="26" w:name="kernprincipes-voor-dit-evenement"/>
    <w:p>
      <w:pPr>
        <w:pStyle w:val="Heading2"/>
      </w:pPr>
      <w:r>
        <w:t xml:space="preserve">2.2 Kernprincipes voor dit evenement</w:t>
      </w:r>
    </w:p>
    <w:p>
      <w:pPr>
        <w:pStyle w:val="Compact"/>
        <w:numPr>
          <w:ilvl w:val="0"/>
          <w:numId w:val="1004"/>
        </w:numPr>
      </w:pPr>
      <w:r>
        <w:t xml:space="preserve">De</w:t>
      </w:r>
      <w:r>
        <w:t xml:space="preserve"> </w:t>
      </w:r>
      <w:r>
        <w:rPr>
          <w:b/>
          <w:bCs/>
        </w:rPr>
        <w:t xml:space="preserve">aankondiging van de kandidaat 2e VDG is geen verkiezingshandeling</w:t>
      </w:r>
      <w:r>
        <w:t xml:space="preserve">; stemprocedures zijn voorbehouden aan de districtsconventie conform de Election Guidelines [33] en het Handboek Lions Conventies [13].</w:t>
      </w:r>
    </w:p>
    <w:p>
      <w:pPr>
        <w:pStyle w:val="Compact"/>
        <w:numPr>
          <w:ilvl w:val="0"/>
          <w:numId w:val="1004"/>
        </w:numPr>
      </w:pPr>
      <w:r>
        <w:t xml:space="preserve">De avond heeft een</w:t>
      </w:r>
      <w:r>
        <w:t xml:space="preserve"> </w:t>
      </w:r>
      <w:r>
        <w:rPr>
          <w:b/>
          <w:bCs/>
        </w:rPr>
        <w:t xml:space="preserve">informerend en verbindend karakter</w:t>
      </w:r>
      <w:r>
        <w:t xml:space="preserve">; formele districtsbesluiten vinden uitsluitend plaats in de daarvoor aangewezen organen (HR MD110 [23]).</w:t>
      </w:r>
    </w:p>
    <w:p>
      <w:pPr>
        <w:pStyle w:val="Compact"/>
        <w:numPr>
          <w:ilvl w:val="0"/>
          <w:numId w:val="1004"/>
        </w:numPr>
      </w:pPr>
      <w:r>
        <w:t xml:space="preserve">Model clubstatuten [22] en de standaard clubstatuten van LCI [29] dienen als referentie wanneer clubafvaardigingen worden georganiseerd.</w:t>
      </w:r>
    </w:p>
    <w:p>
      <w:pPr>
        <w:pStyle w:val="Compact"/>
        <w:numPr>
          <w:ilvl w:val="0"/>
          <w:numId w:val="1004"/>
        </w:numPr>
      </w:pPr>
      <w:r>
        <w:t xml:space="preserve">Reis- en onkostenvergoedingen voor functionarissen volgen de LCI-instructies [30] en de MD110-onkostenregelgeving per 01-07-2023.</w:t>
      </w:r>
    </w:p>
    <w:bookmarkEnd w:id="26"/>
    <w:bookmarkEnd w:id="27"/>
    <w:bookmarkStart w:id="31" w:name="e-vdg-benoemingsprocedure-en-criteria"/>
    <w:p>
      <w:pPr>
        <w:pStyle w:val="Heading1"/>
      </w:pPr>
      <w:r>
        <w:t xml:space="preserve">3. 2e VDG-benoemingsprocedure en criteria</w:t>
      </w:r>
    </w:p>
    <w:bookmarkStart w:id="28" w:name="procedure-in-vogelvlucht"/>
    <w:p>
      <w:pPr>
        <w:pStyle w:val="Heading2"/>
      </w:pPr>
      <w:r>
        <w:t xml:space="preserve">3.1 Procedure in vogelvlucht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Kandidatuurperiode:</w:t>
      </w:r>
      <w:r>
        <w:t xml:space="preserve"> </w:t>
      </w:r>
      <w:r>
        <w:t xml:space="preserve">identificatie en begeleiding van potentiële kandidaten door DG en 1e VDG, afgestemd op de Taakverdeling GR 26-27 [10].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Aankondiging:</w:t>
      </w:r>
      <w:r>
        <w:t xml:space="preserve"> </w:t>
      </w:r>
      <w:r>
        <w:t xml:space="preserve">formele bekendmaking van de kandidaat tijdens de Ledenontmoetingsavond (13 oktober 2026), uitgevoerd door de DG conform Statuten MD110 § 4.2 [20].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Verkiezing:</w:t>
      </w:r>
      <w:r>
        <w:t xml:space="preserve"> </w:t>
      </w:r>
      <w:r>
        <w:t xml:space="preserve">de definitieve verkiezing vindt plaats tijdens de districtsconventie conform de Election Guidelines [33] en het Handboek Lions Conventies [13].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Inwerktraject:</w:t>
      </w:r>
      <w:r>
        <w:t xml:space="preserve"> </w:t>
      </w:r>
      <w:r>
        <w:t xml:space="preserve">2e VDG-training inclusief de opdracht rondom ledenaantallen per zone [4], gevolgd door kabinetstraining conform het Protocol MD-Organen [21].</w:t>
      </w:r>
    </w:p>
    <w:bookmarkEnd w:id="28"/>
    <w:bookmarkStart w:id="29" w:name="criteria-voor-de-kandidaat-2e-vdg"/>
    <w:p>
      <w:pPr>
        <w:pStyle w:val="Heading2"/>
      </w:pPr>
      <w:r>
        <w:t xml:space="preserve">3.2 Criteria voor de kandidaat-2e VDG</w:t>
      </w:r>
    </w:p>
    <w:p>
      <w:pPr>
        <w:pStyle w:val="Compact"/>
        <w:numPr>
          <w:ilvl w:val="0"/>
          <w:numId w:val="1006"/>
        </w:numPr>
      </w:pPr>
      <w:r>
        <w:t xml:space="preserve">Ervaring in club- en/of districtbestuur (onder meer zonevoorzitterschap, GMT- of GLT-rollen).</w:t>
      </w:r>
    </w:p>
    <w:p>
      <w:pPr>
        <w:pStyle w:val="Compact"/>
        <w:numPr>
          <w:ilvl w:val="0"/>
          <w:numId w:val="1006"/>
        </w:numPr>
      </w:pPr>
      <w:r>
        <w:t xml:space="preserve">Kennis van het ledenbeleid en aantoonbare affiniteit met ledengroei; de trainingsopdracht ledenaantal [4] vormt hierbij het referentiekader.</w:t>
      </w:r>
    </w:p>
    <w:p>
      <w:pPr>
        <w:pStyle w:val="Compact"/>
        <w:numPr>
          <w:ilvl w:val="0"/>
          <w:numId w:val="1006"/>
        </w:numPr>
      </w:pPr>
      <w:r>
        <w:t xml:space="preserve">Beschikbaarheid voor het meerjarige traject 2e VDG → 1e VDG → DG (opeenvolgend bestuursmodel conform de LCI-structuur [27]).</w:t>
      </w:r>
    </w:p>
    <w:p>
      <w:pPr>
        <w:pStyle w:val="Compact"/>
        <w:numPr>
          <w:ilvl w:val="0"/>
          <w:numId w:val="1006"/>
        </w:numPr>
      </w:pPr>
      <w:r>
        <w:t xml:space="preserve">Onderschrijving van de ethische standaarden voor district officers [28][31].</w:t>
      </w:r>
    </w:p>
    <w:p>
      <w:pPr>
        <w:pStyle w:val="Compact"/>
        <w:numPr>
          <w:ilvl w:val="0"/>
          <w:numId w:val="1006"/>
        </w:numPr>
      </w:pPr>
      <w:r>
        <w:t xml:space="preserve">Bereidheid tot intervisie en opleiding conform de LCI-trainingsvereisten.</w:t>
      </w:r>
    </w:p>
    <w:bookmarkEnd w:id="29"/>
    <w:bookmarkStart w:id="30" w:name="X288e492f3e2c06790f8852e4dce5dd7bd2b7f6e"/>
    <w:p>
      <w:pPr>
        <w:pStyle w:val="Heading2"/>
      </w:pPr>
      <w:r>
        <w:t xml:space="preserve">3.3 Communicatiekaders rondom de aankondiging</w:t>
      </w:r>
    </w:p>
    <w:p>
      <w:pPr>
        <w:pStyle w:val="Compact"/>
        <w:numPr>
          <w:ilvl w:val="0"/>
          <w:numId w:val="1007"/>
        </w:numPr>
      </w:pPr>
      <w:r>
        <w:t xml:space="preserve">Feitelijke, neutrale bekendmaking door of namens de DG; geen campagne-uitingen tijdens districtsbijeenkomsten [33].</w:t>
      </w:r>
    </w:p>
    <w:p>
      <w:pPr>
        <w:pStyle w:val="Compact"/>
        <w:numPr>
          <w:ilvl w:val="0"/>
          <w:numId w:val="1007"/>
        </w:numPr>
      </w:pPr>
      <w:r>
        <w:t xml:space="preserve">Coördinatie met het kabinet conform Protocol MD-Organen § 3.1 [21].</w:t>
      </w:r>
    </w:p>
    <w:p>
      <w:pPr>
        <w:pStyle w:val="Compact"/>
        <w:numPr>
          <w:ilvl w:val="0"/>
          <w:numId w:val="1007"/>
        </w:numPr>
      </w:pPr>
      <w:r>
        <w:t xml:space="preserve">Verslaglegging van het aankondigingsmoment conform HR MD110 art. 12 [23].</w:t>
      </w:r>
    </w:p>
    <w:bookmarkEnd w:id="30"/>
    <w:bookmarkEnd w:id="31"/>
    <w:bookmarkStart w:id="35" w:name="best-practices-districtsevenementen"/>
    <w:p>
      <w:pPr>
        <w:pStyle w:val="Heading1"/>
      </w:pPr>
      <w:r>
        <w:t xml:space="preserve">4. Best practices districtsevenementen</w:t>
      </w:r>
    </w:p>
    <w:bookmarkStart w:id="32" w:name="Xfdca69b66c629f7ec8aae624038da5092a8cba0"/>
    <w:p>
      <w:pPr>
        <w:pStyle w:val="Heading2"/>
      </w:pPr>
      <w:r>
        <w:t xml:space="preserve">4.1 Lessen uit de eerdere Inspiratieavond 110AN</w:t>
      </w:r>
    </w:p>
    <w:p>
      <w:pPr>
        <w:pStyle w:val="FirstParagraph"/>
      </w:pPr>
      <w:r>
        <w:t xml:space="preserve">De presentatie van de eerdere inspiratieavond [3] biedt het directe referentiekader voor programmabouw en toon. Waardevolle kernkenmerken: een combinerende opzet van inspiratie (extern perspectief), ontmoeting (informele netwerkstructuur) en districtsinformatie (kabinet en plannen), met een beperkt aantal sprekers en voldoende ontmoetingstijd.</w:t>
      </w:r>
    </w:p>
    <w:bookmarkEnd w:id="32"/>
    <w:bookmarkStart w:id="33" w:name="Xac622498192eb29aeb11cab571682359e228413"/>
    <w:p>
      <w:pPr>
        <w:pStyle w:val="Heading2"/>
      </w:pPr>
      <w:r>
        <w:t xml:space="preserve">4.2 Best practices uit conventiehandboek en districtpraktijk</w:t>
      </w:r>
    </w:p>
    <w:p>
      <w:pPr>
        <w:pStyle w:val="FirstParagraph"/>
      </w:pPr>
      <w:r>
        <w:t xml:space="preserve">Uit het Handboek Lions Conventies vs. 06 (29-07-2024) [13] en de District Convention best practices [37] zijn de volgende principes overdraagbaar naar een ledenontmoetingsavond: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Vroege agendavaststelling en -publicatie:</w:t>
      </w:r>
      <w:r>
        <w:t xml:space="preserve"> </w:t>
      </w:r>
      <w:r>
        <w:t xml:space="preserve">agenda ten minste zes weken vooraf delen via officiële kanalen.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Duidelijke rolverdeling:</w:t>
      </w:r>
      <w:r>
        <w:t xml:space="preserve"> </w:t>
      </w:r>
      <w:r>
        <w:t xml:space="preserve">formele opening door de DG, programmamodulatie door GMT en zonevoorzitters, logistiek door het kabinet.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Registratie en monitoring:</w:t>
      </w:r>
      <w:r>
        <w:t xml:space="preserve"> </w:t>
      </w:r>
      <w:r>
        <w:t xml:space="preserve">centrale aanmelding met zonegewijze monitoring en actieve bijsturing vanaf vier weken vooraf.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Follow-up:</w:t>
      </w:r>
      <w:r>
        <w:t xml:space="preserve"> </w:t>
      </w:r>
      <w:r>
        <w:t xml:space="preserve">verslag binnen één week, evaluatie binnen twee weken, financiële verantwoording binnen vier weken.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Programmabescherming:</w:t>
      </w:r>
      <w:r>
        <w:t xml:space="preserve"> </w:t>
      </w:r>
      <w:r>
        <w:t xml:space="preserve">het formele aankondigingsmoment krijgt een beschermde tijdsslot, gescheiden van informele programmaonderdelen.</w:t>
      </w:r>
    </w:p>
    <w:bookmarkEnd w:id="33"/>
    <w:bookmarkStart w:id="34" w:name="X336d3fbb31620ab00bf3a1a62a14165ed703997"/>
    <w:p>
      <w:pPr>
        <w:pStyle w:val="Heading2"/>
      </w:pPr>
      <w:r>
        <w:t xml:space="preserve">4.3 Ledenwerving en -behoud als programmamotor</w:t>
      </w:r>
    </w:p>
    <w:p>
      <w:pPr>
        <w:pStyle w:val="Compact"/>
        <w:numPr>
          <w:ilvl w:val="0"/>
          <w:numId w:val="1009"/>
        </w:numPr>
      </w:pPr>
      <w:r>
        <w:t xml:space="preserve">Het</w:t>
      </w:r>
      <w:r>
        <w:t xml:space="preserve"> </w:t>
      </w:r>
      <w:r>
        <w:rPr>
          <w:b/>
          <w:bCs/>
        </w:rPr>
        <w:t xml:space="preserve">Club Vitaliteit Programma v4</w:t>
      </w:r>
      <w:r>
        <w:t xml:space="preserve"> </w:t>
      </w:r>
      <w:r>
        <w:t xml:space="preserve">[11] biedt modules voor inclusiviteit, onboarding van nieuwe leden en betrokkenheid van actieve leden.</w:t>
      </w:r>
    </w:p>
    <w:p>
      <w:pPr>
        <w:pStyle w:val="Compact"/>
        <w:numPr>
          <w:ilvl w:val="0"/>
          <w:numId w:val="1009"/>
        </w:numPr>
      </w:pPr>
      <w:r>
        <w:t xml:space="preserve">Het</w:t>
      </w:r>
      <w:r>
        <w:t xml:space="preserve"> </w:t>
      </w:r>
      <w:r>
        <w:rPr>
          <w:b/>
          <w:bCs/>
        </w:rPr>
        <w:t xml:space="preserve">Ledenbeleid GMT 2025</w:t>
      </w:r>
      <w:r>
        <w:t xml:space="preserve"> </w:t>
      </w:r>
      <w:r>
        <w:t xml:space="preserve">[12] levert retentiepraktijken en mentorprogramma’s die tijdens de avond zichtbaar gemaakt kunnen worden via clubgood practices.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GMT-best practices</w:t>
      </w:r>
      <w:r>
        <w:t xml:space="preserve"> </w:t>
      </w:r>
      <w:r>
        <w:t xml:space="preserve">[36]: ledengroei wordt het sterkst gedreven door persoonlijke uitnodigingen en een gestructureerde onboarding; deze principes zijn ook toepasbaar op de opkomststimulering van de avond zelf.</w:t>
      </w:r>
    </w:p>
    <w:bookmarkEnd w:id="34"/>
    <w:bookmarkEnd w:id="35"/>
    <w:bookmarkStart w:id="38" w:name="risicoprofiel-en-mitigatie"/>
    <w:p>
      <w:pPr>
        <w:pStyle w:val="Heading1"/>
      </w:pPr>
      <w:r>
        <w:t xml:space="preserve">5. Risicoprofiel en mitigatie</w:t>
      </w:r>
    </w:p>
    <w:bookmarkStart w:id="36" w:name="risicoregister"/>
    <w:p>
      <w:pPr>
        <w:pStyle w:val="Heading2"/>
      </w:pPr>
      <w:r>
        <w:t xml:space="preserve">5.1 Risicoregister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Risico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Waarschijnlijkheid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Locatie niet (tijdig) beschikbaar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Tijdige boeking (T-12 weken); alternatieve locaties in dezelfde regio paraat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Kandidaat 2e VDG niet tijdig beschikbaar voor aankondiging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Strak benoemingstraject parallel aan de organisatie; scenario voor programmatische vervanging van het aankondigingsmoment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Lage opkomst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Communicatiecampagne via zonevoorzitters; doelstelling minimaal één delegatie per club; monitoring vanaf T-4 weken [5][6][7]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Budgetoverschrijding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Realistische begroting conform Districtbegroting 25-26 [2]; 10%-reserve; opdrachten boven € 500 uitsluitend na DG-akkoord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Governance-naleving (non-compliance)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Compliance-check van agenda en aankondigingsmoment vóór publicatie tegen de matrix in hoofdstuk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Agenda-conflict met andere districtactiviteiten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Afstemming op de districtskalender conform het Werkplan [1]; geen overlapping met kabinets- en zonebijeenkomsten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Communicatielekkage rondom kandidaatstelling vóór de avond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Laag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Strikte geheimhouding binnen DG en kabinet; enkelvoudige communicatielijn via de DG</w:t>
            </w:r>
          </w:p>
        </w:tc>
      </w:tr>
    </w:tbl>
    <w:bookmarkEnd w:id="36"/>
    <w:bookmarkStart w:id="37" w:name="beheersmaatregelen"/>
    <w:p>
      <w:pPr>
        <w:pStyle w:val="Heading2"/>
      </w:pPr>
      <w:r>
        <w:t xml:space="preserve">5.2 Beheersmaatregelen</w:t>
      </w:r>
    </w:p>
    <w:p>
      <w:pPr>
        <w:pStyle w:val="Compact"/>
        <w:numPr>
          <w:ilvl w:val="0"/>
          <w:numId w:val="1010"/>
        </w:numPr>
      </w:pPr>
      <w:r>
        <w:t xml:space="preserve">Maandelijkse risicoreview door de projectgroep; escalatie naar de DG bij rode status.</w:t>
      </w:r>
    </w:p>
    <w:p>
      <w:pPr>
        <w:pStyle w:val="Compact"/>
        <w:numPr>
          <w:ilvl w:val="0"/>
          <w:numId w:val="1010"/>
        </w:numPr>
      </w:pPr>
      <w:r>
        <w:t xml:space="preserve">Elke risico-eigenaar rapporteert de status in de vaste voortgangsvergadering conform de Standaard agenda Kabinet [15].</w:t>
      </w:r>
    </w:p>
    <w:p>
      <w:pPr>
        <w:pStyle w:val="Compact"/>
        <w:numPr>
          <w:ilvl w:val="0"/>
          <w:numId w:val="1010"/>
        </w:numPr>
      </w:pPr>
      <w:r>
        <w:t xml:space="preserve">Het risicoregister wordt als living document bijgehouden in de projectmap en is onderdeel van de T+4-lessen-geleerd-rapportage.</w:t>
      </w:r>
    </w:p>
    <w:bookmarkEnd w:id="37"/>
    <w:bookmarkEnd w:id="38"/>
    <w:bookmarkStart w:id="41" w:name="budget-framework"/>
    <w:p>
      <w:pPr>
        <w:pStyle w:val="Heading1"/>
      </w:pPr>
      <w:r>
        <w:t xml:space="preserve">6. Budget framework</w:t>
      </w:r>
    </w:p>
    <w:bookmarkStart w:id="39" w:name="budgetkader"/>
    <w:p>
      <w:pPr>
        <w:pStyle w:val="Heading2"/>
      </w:pPr>
      <w:r>
        <w:t xml:space="preserve">6.1 Budgetkader</w:t>
      </w:r>
    </w:p>
    <w:p>
      <w:pPr>
        <w:pStyle w:val="FirstParagraph"/>
      </w:pPr>
      <w:r>
        <w:t xml:space="preserve">Het budget voor de Ledenontmoetingsavond maakt onderdeel uit van de Districtbegroting 110 AN 25-26 [2]. Definitieve bedragen worden bij vaststelling van de begroting geactualiseerd; het kabinet bewaakt de kaders en rapporteert maandelijks.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Budgetpost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Indicatie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Toelichting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Locatie en faciliteiten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 districtbegroting [2]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Zaalhuur inclusief AV-middelen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Catering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 districtbegroting [2]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Koffie/thee en lichte consumpties, afgestemd op aanmeldingen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Communicatie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Conform districtbegroting [2]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Drukwerk en verzendkosten conform huisstijl [17]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Reserve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Berekend op subtotaal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Onvoorziene kosten; uitgifte uitsluitend na akkoord DG</w:t>
            </w:r>
          </w:p>
        </w:tc>
      </w:tr>
    </w:tbl>
    <w:bookmarkEnd w:id="39"/>
    <w:bookmarkStart w:id="40" w:name="financiële-beheersing"/>
    <w:p>
      <w:pPr>
        <w:pStyle w:val="Heading2"/>
      </w:pPr>
      <w:r>
        <w:t xml:space="preserve">6.2 Financiële beheersing</w:t>
      </w:r>
    </w:p>
    <w:p>
      <w:pPr>
        <w:pStyle w:val="Compact"/>
        <w:numPr>
          <w:ilvl w:val="0"/>
          <w:numId w:val="1011"/>
        </w:numPr>
      </w:pPr>
      <w:r>
        <w:t xml:space="preserve">Opdrachten boven € 500 vereisen voorafgaand akkoord van de DG.</w:t>
      </w:r>
    </w:p>
    <w:p>
      <w:pPr>
        <w:pStyle w:val="Compact"/>
        <w:numPr>
          <w:ilvl w:val="0"/>
          <w:numId w:val="1011"/>
        </w:numPr>
      </w:pPr>
      <w:r>
        <w:t xml:space="preserve">Onkostenvergoedingen conform MD110-regelgeving per 01-07-2023 en de LCI-richtlijnen voor reis- en onkostenvergoedingen [30].</w:t>
      </w:r>
    </w:p>
    <w:p>
      <w:pPr>
        <w:pStyle w:val="Compact"/>
        <w:numPr>
          <w:ilvl w:val="0"/>
          <w:numId w:val="1011"/>
        </w:numPr>
      </w:pPr>
      <w:r>
        <w:t xml:space="preserve">Financiële verantwoording binnen vier weken na het evenement, inclusief evaluatie van de reserve-annotatie.</w:t>
      </w:r>
    </w:p>
    <w:bookmarkEnd w:id="40"/>
    <w:bookmarkEnd w:id="41"/>
    <w:bookmarkStart w:id="45" w:name="communicatie-strategie"/>
    <w:p>
      <w:pPr>
        <w:pStyle w:val="Heading1"/>
      </w:pPr>
      <w:r>
        <w:t xml:space="preserve">7. Communicatie strategie</w:t>
      </w:r>
    </w:p>
    <w:bookmarkStart w:id="42" w:name="kanalen-en-middelen"/>
    <w:p>
      <w:pPr>
        <w:pStyle w:val="Heading2"/>
      </w:pPr>
      <w:r>
        <w:t xml:space="preserve">7.1 Kanalen en middelen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Middel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Inzet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Kanaal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Districtscommunicatie (officieel)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Uitnodiging en agenda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E-mail via kabinet aan clubbesturen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Clubpresidenten-briefing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Doorvertaling naar leden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Clubvergaderingen / clubnieuwsbrieven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Zonebijeenkomsten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Opkomststimulering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Zonevoorzitters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Website Lions 110 AN / social media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Aankondiging en terugkoppeling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Districtskanalen conform huisstijl</w:t>
            </w:r>
          </w:p>
        </w:tc>
      </w:tr>
    </w:tbl>
    <w:bookmarkEnd w:id="42"/>
    <w:bookmarkStart w:id="43" w:name="huisstijl-en-toon"/>
    <w:p>
      <w:pPr>
        <w:pStyle w:val="Heading2"/>
      </w:pPr>
      <w:r>
        <w:t xml:space="preserve">7.2 Huisstijl en toon</w:t>
      </w:r>
    </w:p>
    <w:p>
      <w:pPr>
        <w:pStyle w:val="Compact"/>
        <w:numPr>
          <w:ilvl w:val="0"/>
          <w:numId w:val="1012"/>
        </w:numPr>
      </w:pPr>
      <w:r>
        <w:t xml:space="preserve">Alle communicatie draagt het officiële districtshuisstijlkenmerk; het briefpapier 110 AN 25-26 [17] vormt het referentiedocument.</w:t>
      </w:r>
    </w:p>
    <w:p>
      <w:pPr>
        <w:pStyle w:val="Compact"/>
        <w:numPr>
          <w:ilvl w:val="0"/>
          <w:numId w:val="1012"/>
        </w:numPr>
      </w:pPr>
      <w:r>
        <w:t xml:space="preserve">De toon is zakelijk, inclusief en toegankelijk, conform de waarden van Lions Clubs International en de MASTER_STYLEGUIDE van het project.</w:t>
      </w:r>
    </w:p>
    <w:p>
      <w:pPr>
        <w:pStyle w:val="Compact"/>
        <w:numPr>
          <w:ilvl w:val="0"/>
          <w:numId w:val="1012"/>
        </w:numPr>
      </w:pPr>
      <w:r>
        <w:t xml:space="preserve">Over de kandidaatstelling 2e VDG wordt uitsluitend feitelijk en neutraal gecommuniceerd; campagne-uitingen zijn niet toegestaan conform de Election Guidelines [33].</w:t>
      </w:r>
    </w:p>
    <w:bookmarkEnd w:id="43"/>
    <w:bookmarkStart w:id="44" w:name="communicatietijdlijn"/>
    <w:p>
      <w:pPr>
        <w:pStyle w:val="Heading2"/>
      </w:pPr>
      <w:r>
        <w:t xml:space="preserve">7.3 Communicatietijdlijn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Moment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Boodschap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T-8 weken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Save-the-date met datum en locatie aan alle clubs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T-6 weken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Officiële uitnodiging met agenda en registratie-instructies conform HR MD110 [23]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T-3 weken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Herinnering met opkomststimulering via zonevoorzitters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T-1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Sluiting registratie; praktische informatie voor deelnemers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T+1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Terugkoppeling met verslag en vervolgacties</w:t>
            </w:r>
          </w:p>
        </w:tc>
      </w:tr>
    </w:tbl>
    <w:bookmarkEnd w:id="44"/>
    <w:bookmarkEnd w:id="45"/>
    <w:bookmarkStart w:id="50" w:name="kwaliteitsborging-checklists"/>
    <w:p>
      <w:pPr>
        <w:pStyle w:val="Heading1"/>
      </w:pPr>
      <w:r>
        <w:t xml:space="preserve">8. Kwaliteitsborging checklists</w:t>
      </w:r>
    </w:p>
    <w:bookmarkStart w:id="46" w:name="kwaliteitscriteria"/>
    <w:p>
      <w:pPr>
        <w:pStyle w:val="Heading2"/>
      </w:pPr>
      <w:r>
        <w:t xml:space="preserve">8.1 Kwaliteitscriteria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Meetmoment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Opkomst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Minimaal één delegatie per club van het district [5][6][7]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Registratie T-1 week en op de avond zelf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Tevredenheid deelnemers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Gemiddelde evaluatiescore ≥ 7,5 (10-puntsschaal)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Evaluatieformulier direct na afloop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Governance-naleving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Nul afwijkingen van statuten en HR MD110 [20][23]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Toetsing agenda en verslag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Budgethandhaving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Realisatie binnen goedgekeurd budget inclusief reserve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Financiële verantwoording T+4 weken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Verslaglegging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Verslag binnen één week conform HR art. 12 [23]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T+1 week</w:t>
            </w:r>
          </w:p>
        </w:tc>
      </w:tr>
    </w:tbl>
    <w:bookmarkEnd w:id="46"/>
    <w:bookmarkStart w:id="47" w:name="checklist-voorbereiding-t-16-tm-t-1"/>
    <w:p>
      <w:pPr>
        <w:pStyle w:val="Heading2"/>
      </w:pPr>
      <w:r>
        <w:t xml:space="preserve">8.2 Checklist voorbereiding (T-16 t/m T-1)</w:t>
      </w:r>
    </w:p>
    <w:p>
      <w:pPr>
        <w:pStyle w:val="Compact"/>
        <w:numPr>
          <w:ilvl w:val="0"/>
          <w:numId w:val="1013"/>
        </w:numPr>
      </w:pPr>
      <w:r>
        <w:t xml:space="preserve">☐ Policy en projectplan vastgesteld door de DG</w:t>
      </w:r>
    </w:p>
    <w:p>
      <w:pPr>
        <w:pStyle w:val="Compact"/>
        <w:numPr>
          <w:ilvl w:val="0"/>
          <w:numId w:val="1013"/>
        </w:numPr>
      </w:pPr>
      <w:r>
        <w:t xml:space="preserve">☐ Locatie geboekt en datum gepubliceerd in de districtskalender</w:t>
      </w:r>
    </w:p>
    <w:p>
      <w:pPr>
        <w:pStyle w:val="Compact"/>
        <w:numPr>
          <w:ilvl w:val="0"/>
          <w:numId w:val="1013"/>
        </w:numPr>
      </w:pPr>
      <w:r>
        <w:t xml:space="preserve">☐ Definitieve agenda inclusief beschermd aankondigingsmoment 2e VDG</w:t>
      </w:r>
    </w:p>
    <w:p>
      <w:pPr>
        <w:pStyle w:val="Compact"/>
        <w:numPr>
          <w:ilvl w:val="0"/>
          <w:numId w:val="1013"/>
        </w:numPr>
      </w:pPr>
      <w:r>
        <w:t xml:space="preserve">☐ Compliance-check agenda uitgevoerd tegen de matrix in hoofdstuk 2</w:t>
      </w:r>
    </w:p>
    <w:p>
      <w:pPr>
        <w:pStyle w:val="Compact"/>
        <w:numPr>
          <w:ilvl w:val="0"/>
          <w:numId w:val="1013"/>
        </w:numPr>
      </w:pPr>
      <w:r>
        <w:t xml:space="preserve">☐ Uitnodigingen verzonden aan alle clubs (uiterlijk T-6)</w:t>
      </w:r>
    </w:p>
    <w:p>
      <w:pPr>
        <w:pStyle w:val="Compact"/>
        <w:numPr>
          <w:ilvl w:val="0"/>
          <w:numId w:val="1013"/>
        </w:numPr>
      </w:pPr>
      <w:r>
        <w:t xml:space="preserve">☐ Aanmeldmonitoring per zone gestart (T-4) en bijgestuurd</w:t>
      </w:r>
    </w:p>
    <w:p>
      <w:pPr>
        <w:pStyle w:val="Compact"/>
        <w:numPr>
          <w:ilvl w:val="0"/>
          <w:numId w:val="1013"/>
        </w:numPr>
      </w:pPr>
      <w:r>
        <w:t xml:space="preserve">☐ Communicatiemiddelen conform huisstijl [17] geproduceerd</w:t>
      </w:r>
    </w:p>
    <w:p>
      <w:pPr>
        <w:pStyle w:val="Compact"/>
        <w:numPr>
          <w:ilvl w:val="0"/>
          <w:numId w:val="1013"/>
        </w:numPr>
      </w:pPr>
      <w:r>
        <w:t xml:space="preserve">☐ Budgetbewaking ingericht; DG-akkoordregime actief</w:t>
      </w:r>
    </w:p>
    <w:p>
      <w:pPr>
        <w:pStyle w:val="Compact"/>
        <w:numPr>
          <w:ilvl w:val="0"/>
          <w:numId w:val="1013"/>
        </w:numPr>
      </w:pPr>
      <w:r>
        <w:t xml:space="preserve">☐ Evaluatieformulier en registratiemiddelen gereed</w:t>
      </w:r>
    </w:p>
    <w:bookmarkEnd w:id="47"/>
    <w:bookmarkStart w:id="48" w:name="checklist-uitvoering-13-oktober-2026"/>
    <w:p>
      <w:pPr>
        <w:pStyle w:val="Heading2"/>
      </w:pPr>
      <w:r>
        <w:t xml:space="preserve">8.3 Checklist uitvoering (13 oktober 2026)</w:t>
      </w:r>
    </w:p>
    <w:p>
      <w:pPr>
        <w:pStyle w:val="Compact"/>
        <w:numPr>
          <w:ilvl w:val="0"/>
          <w:numId w:val="1014"/>
        </w:numPr>
      </w:pPr>
      <w:r>
        <w:t xml:space="preserve">☐ Ontvangst en registratie operationeel</w:t>
      </w:r>
    </w:p>
    <w:p>
      <w:pPr>
        <w:pStyle w:val="Compact"/>
        <w:numPr>
          <w:ilvl w:val="0"/>
          <w:numId w:val="1014"/>
        </w:numPr>
      </w:pPr>
      <w:r>
        <w:t xml:space="preserve">☐ Openingsprotocol door de DG conform HR MD110 [23]</w:t>
      </w:r>
    </w:p>
    <w:p>
      <w:pPr>
        <w:pStyle w:val="Compact"/>
        <w:numPr>
          <w:ilvl w:val="0"/>
          <w:numId w:val="1014"/>
        </w:numPr>
      </w:pPr>
      <w:r>
        <w:t xml:space="preserve">☐ Programmablokken ledenvitaliteit en service conform Werkplan [1]</w:t>
      </w:r>
    </w:p>
    <w:p>
      <w:pPr>
        <w:pStyle w:val="Compact"/>
        <w:numPr>
          <w:ilvl w:val="0"/>
          <w:numId w:val="1014"/>
        </w:numPr>
      </w:pPr>
      <w:r>
        <w:t xml:space="preserve">☐ Aankondigingsmoment kandidaat 2e VDG door de DG, zonder stemmingshandeling [33]</w:t>
      </w:r>
    </w:p>
    <w:p>
      <w:pPr>
        <w:pStyle w:val="Compact"/>
        <w:numPr>
          <w:ilvl w:val="0"/>
          <w:numId w:val="1014"/>
        </w:numPr>
      </w:pPr>
      <w:r>
        <w:t xml:space="preserve">☐ Informeel ontmoetings- en netwerkgedeelte volgens programma</w:t>
      </w:r>
    </w:p>
    <w:p>
      <w:pPr>
        <w:pStyle w:val="Compact"/>
        <w:numPr>
          <w:ilvl w:val="0"/>
          <w:numId w:val="1014"/>
        </w:numPr>
      </w:pPr>
      <w:r>
        <w:t xml:space="preserve">☐ Evaluatieformulieren uitgedeeld en verzameld</w:t>
      </w:r>
    </w:p>
    <w:bookmarkEnd w:id="48"/>
    <w:bookmarkStart w:id="49" w:name="checklist-nazorg-t1-tm-t4"/>
    <w:p>
      <w:pPr>
        <w:pStyle w:val="Heading2"/>
      </w:pPr>
      <w:r>
        <w:t xml:space="preserve">8.4 Checklist nazorg (T+1 t/m T+4)</w:t>
      </w:r>
    </w:p>
    <w:p>
      <w:pPr>
        <w:pStyle w:val="Compact"/>
        <w:numPr>
          <w:ilvl w:val="0"/>
          <w:numId w:val="1015"/>
        </w:numPr>
      </w:pPr>
      <w:r>
        <w:t xml:space="preserve">☐ Verslag opgesteld en gedistribueerd (T+1) [23]</w:t>
      </w:r>
    </w:p>
    <w:p>
      <w:pPr>
        <w:pStyle w:val="Compact"/>
        <w:numPr>
          <w:ilvl w:val="0"/>
          <w:numId w:val="1015"/>
        </w:numPr>
      </w:pPr>
      <w:r>
        <w:t xml:space="preserve">☐ Evaluatie met GMT en zonevoorzitters; opkomstcijfers geanalyseerd (T+2)</w:t>
      </w:r>
    </w:p>
    <w:p>
      <w:pPr>
        <w:pStyle w:val="Compact"/>
        <w:numPr>
          <w:ilvl w:val="0"/>
          <w:numId w:val="1015"/>
        </w:numPr>
      </w:pPr>
      <w:r>
        <w:t xml:space="preserve">☐ Financiële verantwoording afgerond (T+4)</w:t>
      </w:r>
    </w:p>
    <w:p>
      <w:pPr>
        <w:pStyle w:val="Compact"/>
        <w:numPr>
          <w:ilvl w:val="0"/>
          <w:numId w:val="1015"/>
        </w:numPr>
      </w:pPr>
      <w:r>
        <w:t xml:space="preserve">☐ Lessen-geleerd-rapportage opgesteld en overgedragen aan het volgende kabinet</w:t>
      </w:r>
    </w:p>
    <w:bookmarkEnd w:id="49"/>
    <w:bookmarkEnd w:id="50"/>
    <w:bookmarkStart w:id="51" w:name="referentie-documenten-index"/>
    <w:p>
      <w:pPr>
        <w:pStyle w:val="Heading1"/>
      </w:pPr>
      <w:r>
        <w:t xml:space="preserve">9. Referentie documenten index</w:t>
      </w:r>
    </w:p>
    <w:p>
      <w:pPr>
        <w:pStyle w:val="FirstParagraph"/>
      </w:pPr>
      <w:r>
        <w:t xml:space="preserve">Bronverwijzingen conform de genummerde bronnenlijst in research/sources.md (37 bronnen).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Bron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Werkplan 110 AN 2025-2026 (PDF, Lions database)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Districtbegroting 110 AN 25-26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Inspiratie avond 110AN (PPTX, referentiepresentatie)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2e VDG training opdracht ledenaantal info (DOCX)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 110AN club health assessment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 110AN 5 Year Membership Trend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 110AN Summary of Membership Types and Gender by Club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Multiple District 110 health assessment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Samenstelling kabinet 25-26 def dd 11-04-25 (XLSX)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Taakverdeling GR 26-27 (XLSX)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Lions Club Vitaliteit v4, 13-04-2025 (DOCX)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Ledenbeleid GMT Lions Nederland 2025, 30-03-2025 (DOCX)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Handboek Lions Conventies vs 06, 29-07-2024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Overdrachtsdocument District 110AN 2023-2024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Standaard agenda Kabinet FY 2526 (DOCX)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Werkplan AN 2026-2027 draft v1 (DOCX)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Briefpapier 110 AN 25-26 (DOCX, huisstijl)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Herverdeling zones 110AN Lions (PPTX)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 110AN overzicht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Statuten MD110 Nederland, 07-12-2021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Protocol MD-Organen V1.0, 18-02-2025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clubstatuten en HR mei 2021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Huishoudelijk Reglement MD 110 mei 2021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Huishoudelijk Reglement MD 110 concept, 19-02-2025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Meerjarenbeleidsplan 2025-2031 Lions vs 3.0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MD110 Meerjarenbeleidsplan 2024-2030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Constitution and By-Laws LCI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LCI Board Policy Manual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Constitution and By-Laws standard club LCI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 Governor Travel Expense Claim Form • Instruction Tips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Ethical Standards and Conduct (District Governor)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 Dispute Resolution Procedure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Lions District Election Guidelines (PDF)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LCI Global Member Portal (web)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Lions Nederland website (web)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GMT best practices ledenwerving en -behoud (web)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District Convention best practices (web)</w:t>
            </w:r>
          </w:p>
        </w:tc>
      </w:tr>
    </w:tbl>
    <w:bookmarkEnd w:id="51"/>
    <w:bookmarkStart w:id="55" w:name="lessons-learned-van-vorige-evenementen"/>
    <w:p>
      <w:pPr>
        <w:pStyle w:val="Heading1"/>
      </w:pPr>
      <w:r>
        <w:t xml:space="preserve">10. Lessons learned van vorige evenementen</w:t>
      </w:r>
    </w:p>
    <w:bookmarkStart w:id="52" w:name="uit-de-inspiratieavond-110an-3"/>
    <w:p>
      <w:pPr>
        <w:pStyle w:val="Heading2"/>
      </w:pPr>
      <w:r>
        <w:t xml:space="preserve">10.1 Uit de Inspiratieavond 110AN [3]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Combinatieprogramma werkt:</w:t>
      </w:r>
      <w:r>
        <w:t xml:space="preserve"> </w:t>
      </w:r>
      <w:r>
        <w:t xml:space="preserve">inspiratie, ontmoeting en districtsinformatie in één avond houdt de energie hoog en spreekt meerdere doelgroepen aan.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Beperk het aantal sprekers:</w:t>
      </w:r>
      <w:r>
        <w:t xml:space="preserve"> </w:t>
      </w:r>
      <w:r>
        <w:t xml:space="preserve">korte, krachtige bijdragen met voldoende ontmoetingstijd dragen meer bij aan tevredenheid dan een vol programma.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Zichtbaar kabinet:</w:t>
      </w:r>
      <w:r>
        <w:t xml:space="preserve"> </w:t>
      </w:r>
      <w:r>
        <w:t xml:space="preserve">aanwezigheid en toegankelijkheid van kabinetsleden versterkt de band tussen district en clubs.</w:t>
      </w:r>
    </w:p>
    <w:bookmarkEnd w:id="52"/>
    <w:bookmarkStart w:id="53" w:name="X422cb59d6d450c52806d6a00a957aeb90c238b6"/>
    <w:p>
      <w:pPr>
        <w:pStyle w:val="Heading2"/>
      </w:pPr>
      <w:r>
        <w:t xml:space="preserve">10.2 Uit het Overdrachtsdocument District 110AN 2023-2024 [14]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Tijdige vaststelling van data en locaties</w:t>
      </w:r>
      <w:r>
        <w:t xml:space="preserve"> </w:t>
      </w:r>
      <w:r>
        <w:t xml:space="preserve">is de belangrijkste succesfactor voor districtsevenementen; late vaststelling leidt tot opkomstdruk en hogere kosten.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Duidelijke verslaglegging en overdracht</w:t>
      </w:r>
      <w:r>
        <w:t xml:space="preserve"> </w:t>
      </w:r>
      <w:r>
        <w:t xml:space="preserve">voorkomt kennisverlies tussen kabinetten; dit dossier en de T+4-lessen-geleerd-rapportage zijn hiervoor de dragers.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Communicatie via meerdere schakels</w:t>
      </w:r>
      <w:r>
        <w:t xml:space="preserve"> </w:t>
      </w:r>
      <w:r>
        <w:t xml:space="preserve">(kabinet → zonevoorzitters → clubs) is effectiever dan uitsluitend directe districtscommunicatie.</w:t>
      </w:r>
    </w:p>
    <w:bookmarkEnd w:id="53"/>
    <w:bookmarkStart w:id="54" w:name="uit-districtconventie-praktijk-1337"/>
    <w:p>
      <w:pPr>
        <w:pStyle w:val="Heading2"/>
      </w:pPr>
      <w:r>
        <w:t xml:space="preserve">10.3 Uit districtconventie-praktijk [13][37]</w:t>
      </w:r>
    </w:p>
    <w:p>
      <w:pPr>
        <w:pStyle w:val="Compact"/>
        <w:numPr>
          <w:ilvl w:val="0"/>
          <w:numId w:val="1018"/>
        </w:numPr>
      </w:pPr>
      <w:r>
        <w:t xml:space="preserve">Vroege agendapublicatie en gecentraliseerde registratie verhogen de opkomst significant.</w:t>
      </w:r>
    </w:p>
    <w:p>
      <w:pPr>
        <w:pStyle w:val="Compact"/>
        <w:numPr>
          <w:ilvl w:val="0"/>
          <w:numId w:val="1018"/>
        </w:numPr>
      </w:pPr>
      <w:r>
        <w:t xml:space="preserve">Follow-up binnen één tot twee weken na het evenement bepaalt de beoordeling van het evenement en de deelname aan vervolgbijeenkomsten.</w:t>
      </w:r>
    </w:p>
    <w:p>
      <w:pPr>
        <w:pStyle w:val="Compact"/>
        <w:numPr>
          <w:ilvl w:val="0"/>
          <w:numId w:val="1018"/>
        </w:numPr>
      </w:pPr>
      <w:r>
        <w:t xml:space="preserve">Formele momenten (zoals verkiezingen en aankondigingen) verdienen een beschermde programmablok en een neutrale omkading conform de Election Guidelines [33].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Einde document — Kennisdossier Ledenontmoetingsavond District 110 AN, versie 1.0, 25 augustus 2026. Opgesteld door JvG Consultancy namens District 110 AN als onderdeel van de deliverable-suite voor 13 oktober 2026.</w:t>
      </w:r>
    </w:p>
    <w:bookmarkEnd w:id="54"/>
    <w:bookmarkEnd w:id="55"/>
    <w:sectPr w:rsidR="00FC693F" w:rsidRPr="0006063C" w:rsidSect="00034616">
      <w:footerReference r:id="rId9" w:type="default"/>
      <w:pgSz w:h="15840" w:w="12240"/>
      <w:pgMar w:bottom="1134" w:footer="720" w:gutter="0" w:header="720" w:left="1361" w:right="1361" w:top="1247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374151"/>
        <w:sz w:val="18"/>
      </w:rPr>
      <w:t xml:space="preserve">District 110 AN • Ledenontmoetingsavond 13 oktober 2026  •  pagina </w:t>
    </w:r>
    <w:r>
      <w:rPr>
        <w:rFonts w:ascii="Calibri" w:hAnsi="Calibri"/>
        <w:sz w:val="18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nl-NL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110 AN — Kennisdossier Ledenontmoetingsavond</dc:title>
  <dc:creator>JvG Consultancy namens District 110 AN</dc:creator>
  <dc:language>nl-NL</dc:language>
  <cp:keywords/>
  <dcterms:created xsi:type="dcterms:W3CDTF">2026-08-25T19:10:31Z</dcterms:created>
  <dcterms:modified xsi:type="dcterms:W3CDTF">2026-08-25T19:10:31Z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Versie 1.0 • 25 augustus 2026</vt:lpwstr>
  </property>
  <property fmtid="{D5CDD505-2E9C-101B-9397-08002B2CF9AE}" pid="3" name="subtitle">
    <vt:lpwstr>Kennis- en referentiedossier voor de districtsbrede ledenontmoetingsavond met aankondiging van de kandidaat 2e Vice District Governor — dinsdag 13 oktober 2026</vt:lpwstr>
  </property>
</Properties>
</file>