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after="40"/>
        <w:jc w:val="center"/>
      </w:pPr>
      <w:r>
        <w:rPr>
          <w:rFonts w:ascii="Calibri" w:hAnsi="Calibri"/>
          <w:b/>
          <w:i w:val="0"/>
          <w:color w:val="003366"/>
          <w:sz w:val="28"/>
        </w:rPr>
        <w:t>JvG CONSULTANCY — HSEQ</w:t>
      </w:r>
    </w:p>
    <w:p>
      <w:pPr>
        <w:spacing w:after="40"/>
        <w:jc w:val="center"/>
      </w:pPr>
      <w:r>
        <w:rPr>
          <w:rFonts w:ascii="Calibri" w:hAnsi="Calibri"/>
          <w:b/>
          <w:i w:val="0"/>
          <w:color w:val="003366"/>
          <w:sz w:val="48"/>
        </w:rPr>
        <w:t>TEKSTUEEL VERBETERADVIES</w:t>
      </w:r>
    </w:p>
    <w:p>
      <w:pPr>
        <w:spacing w:after="40"/>
        <w:jc w:val="center"/>
      </w:pPr>
      <w:r>
        <w:rPr>
          <w:rFonts w:ascii="Calibri" w:hAnsi="Calibri"/>
          <w:b/>
          <w:i w:val="0"/>
          <w:color w:val="003366"/>
          <w:sz w:val="32"/>
        </w:rPr>
        <w:t>Kwik — Koole 003.057</w:t>
      </w:r>
    </w:p>
    <w:p>
      <w:pPr>
        <w:spacing w:after="320"/>
        <w:jc w:val="center"/>
      </w:pPr>
      <w:r>
        <w:rPr>
          <w:rFonts w:ascii="Calibri" w:hAnsi="Calibri"/>
          <w:b w:val="0"/>
          <w:i w:val="0"/>
          <w:sz w:val="24"/>
        </w:rPr>
        <w:t>Gedetailleerde tekstverbetervoorstellen per sectie van MSD 003.057</w:t>
      </w:r>
    </w:p>
    <w:p>
      <w:pPr>
        <w:spacing w:after="80"/>
        <w:jc w:val="center"/>
      </w:pPr>
      <w:r>
        <w:rPr>
          <w:rFonts w:ascii="Calibri" w:hAnsi="Calibri"/>
          <w:b w:val="0"/>
          <w:i w:val="0"/>
          <w:sz w:val="20"/>
        </w:rPr>
        <w:t>Koppeling: Compliance Audit v3.0 (R-01 t/m R-12) · Conformiteitsmatrix v1.0</w:t>
      </w:r>
    </w:p>
    <w:p>
      <w:pPr>
        <w:spacing w:after="80"/>
        <w:jc w:val="center"/>
      </w:pPr>
      <w:r>
        <w:rPr>
          <w:rFonts w:ascii="Calibri" w:hAnsi="Calibri"/>
          <w:b w:val="0"/>
          <w:i w:val="0"/>
          <w:sz w:val="20"/>
        </w:rPr>
        <w:t>Iteratie: v1.0 (audit-notities) → v2.0 (structuur) → v3.0 (deze uitgave)</w:t>
      </w:r>
    </w:p>
    <w:p>
      <w:pPr>
        <w:spacing w:after="400"/>
        <w:jc w:val="center"/>
      </w:pPr>
      <w:r>
        <w:rPr>
          <w:rFonts w:ascii="Calibri" w:hAnsi="Calibri"/>
          <w:b w:val="0"/>
          <w:i/>
          <w:sz w:val="20"/>
        </w:rPr>
        <w:t>Status: Definitief — Vertrouwelijk</w:t>
      </w:r>
    </w:p>
    <w:p>
      <w:pPr>
        <w:pStyle w:val="Heading1"/>
      </w:pPr>
      <w:r>
        <w:t>1. Inleiding en Leeswijzer</w:t>
      </w:r>
    </w:p>
    <w:p>
      <w:pPr>
        <w:spacing w:after="120"/>
      </w:pPr>
      <w:r>
        <w:rPr>
          <w:rFonts w:ascii="Calibri" w:hAnsi="Calibri"/>
          <w:b w:val="0"/>
          <w:i w:val="0"/>
          <w:sz w:val="22"/>
        </w:rPr>
        <w:t>Dit Tekstueel Verbeteradvies bevat gedetailleerde, direct toepasbare tekstverbetervoorstellen voor de Koole-procedure MSD 003.057 ‘Safe Handling of Mercury’ (Rev 1, 12-05-2026). Elk voorstel volgt een vast stramien: locatie in het brondocument, beschrijving van de huidige situatie, analyse van de tekortkoming, voorgestelde (her)formulering en onderbouwing. De voorstellen zijn nummered T-01 t/m T-24 en gekoppeld aan de bevindingen R-01 t/m R-12 uit de Compliance Audit v3.0 en de regels uit de Conformiteitsmatrix.</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Prioriteit</w:t>
            </w:r>
          </w:p>
        </w:tc>
        <w:tc>
          <w:tcPr>
            <w:tcW w:type="dxa" w:w="3173"/>
            <w:shd w:val="clear" w:color="auto" w:fill="003366"/>
          </w:tcPr>
          <w:p>
            <w:r/>
            <w:r>
              <w:rPr>
                <w:rFonts w:ascii="Calibri" w:hAnsi="Calibri"/>
                <w:b/>
                <w:color w:val="FFFFFF"/>
                <w:sz w:val="19"/>
              </w:rPr>
              <w:t>Betekenis</w:t>
            </w:r>
          </w:p>
        </w:tc>
        <w:tc>
          <w:tcPr>
            <w:tcW w:type="dxa" w:w="3173"/>
            <w:shd w:val="clear" w:color="auto" w:fill="003366"/>
          </w:tcPr>
          <w:p>
            <w:r/>
            <w:r>
              <w:rPr>
                <w:rFonts w:ascii="Calibri" w:hAnsi="Calibri"/>
                <w:b/>
                <w:color w:val="FFFFFF"/>
                <w:sz w:val="19"/>
              </w:rPr>
              <w:t>Aantal voorstellen</w:t>
            </w:r>
          </w:p>
        </w:tc>
      </w:tr>
      <w:tr>
        <w:tc>
          <w:tcPr>
            <w:tcW w:type="dxa" w:w="3173"/>
          </w:tcPr>
          <w:p>
            <w:r/>
            <w:r>
              <w:rPr>
                <w:rFonts w:ascii="Calibri" w:hAnsi="Calibri"/>
                <w:b w:val="0"/>
                <w:color w:val="1F2937"/>
                <w:sz w:val="19"/>
              </w:rPr>
              <w:t>P1</w:t>
            </w:r>
          </w:p>
        </w:tc>
        <w:tc>
          <w:tcPr>
            <w:tcW w:type="dxa" w:w="3173"/>
          </w:tcPr>
          <w:p>
            <w:r/>
            <w:r>
              <w:rPr>
                <w:rFonts w:ascii="Calibri" w:hAnsi="Calibri"/>
                <w:b w:val="0"/>
                <w:color w:val="1F2937"/>
                <w:sz w:val="19"/>
              </w:rPr>
              <w:t>Wettelijk verplicht — opnemen in spoedrevisie vóór projectuitvoering</w:t>
            </w:r>
          </w:p>
        </w:tc>
        <w:tc>
          <w:tcPr>
            <w:tcW w:type="dxa" w:w="3173"/>
          </w:tcPr>
          <w:p>
            <w:r/>
            <w:r>
              <w:rPr>
                <w:rFonts w:ascii="Calibri" w:hAnsi="Calibri"/>
                <w:b w:val="0"/>
                <w:color w:val="1F2937"/>
                <w:sz w:val="19"/>
              </w:rPr>
              <w:t>7</w:t>
            </w:r>
          </w:p>
        </w:tc>
      </w:tr>
      <w:tr>
        <w:tc>
          <w:tcPr>
            <w:tcW w:type="dxa" w:w="3173"/>
          </w:tcPr>
          <w:p>
            <w:r/>
            <w:r>
              <w:rPr>
                <w:rFonts w:ascii="Calibri" w:hAnsi="Calibri"/>
                <w:b w:val="0"/>
                <w:color w:val="1F2937"/>
                <w:sz w:val="19"/>
              </w:rPr>
              <w:t>P2</w:t>
            </w:r>
          </w:p>
        </w:tc>
        <w:tc>
          <w:tcPr>
            <w:tcW w:type="dxa" w:w="3173"/>
          </w:tcPr>
          <w:p>
            <w:r/>
            <w:r>
              <w:rPr>
                <w:rFonts w:ascii="Calibri" w:hAnsi="Calibri"/>
                <w:b w:val="0"/>
                <w:color w:val="1F2937"/>
                <w:sz w:val="19"/>
              </w:rPr>
              <w:t>Aanbevolen — opnemen in eerstvolgende herzieningsronde</w:t>
            </w:r>
          </w:p>
        </w:tc>
        <w:tc>
          <w:tcPr>
            <w:tcW w:type="dxa" w:w="3173"/>
          </w:tcPr>
          <w:p>
            <w:r/>
            <w:r>
              <w:rPr>
                <w:rFonts w:ascii="Calibri" w:hAnsi="Calibri"/>
                <w:b w:val="0"/>
                <w:color w:val="1F2937"/>
                <w:sz w:val="19"/>
              </w:rPr>
              <w:t>13</w:t>
            </w:r>
          </w:p>
        </w:tc>
      </w:tr>
      <w:tr>
        <w:tc>
          <w:tcPr>
            <w:tcW w:type="dxa" w:w="3173"/>
          </w:tcPr>
          <w:p>
            <w:r/>
            <w:r>
              <w:rPr>
                <w:rFonts w:ascii="Calibri" w:hAnsi="Calibri"/>
                <w:b w:val="0"/>
                <w:color w:val="1F2937"/>
                <w:sz w:val="19"/>
              </w:rPr>
              <w:t>P3</w:t>
            </w:r>
          </w:p>
        </w:tc>
        <w:tc>
          <w:tcPr>
            <w:tcW w:type="dxa" w:w="3173"/>
          </w:tcPr>
          <w:p>
            <w:r/>
            <w:r>
              <w:rPr>
                <w:rFonts w:ascii="Calibri" w:hAnsi="Calibri"/>
                <w:b w:val="0"/>
                <w:color w:val="1F2937"/>
                <w:sz w:val="19"/>
              </w:rPr>
              <w:t>Best practice / documentbeheer</w:t>
            </w:r>
          </w:p>
        </w:tc>
        <w:tc>
          <w:tcPr>
            <w:tcW w:type="dxa" w:w="3173"/>
          </w:tcPr>
          <w:p>
            <w:r/>
            <w:r>
              <w:rPr>
                <w:rFonts w:ascii="Calibri" w:hAnsi="Calibri"/>
                <w:b w:val="0"/>
                <w:color w:val="1F2937"/>
                <w:sz w:val="19"/>
              </w:rPr>
              <w:t>2</w:t>
            </w:r>
          </w:p>
        </w:tc>
      </w:tr>
      <w:tr>
        <w:tc>
          <w:tcPr>
            <w:tcW w:type="dxa" w:w="3173"/>
          </w:tcPr>
          <w:p>
            <w:r/>
            <w:r>
              <w:rPr>
                <w:rFonts w:ascii="Calibri" w:hAnsi="Calibri"/>
                <w:b w:val="0"/>
                <w:color w:val="1F2937"/>
                <w:sz w:val="19"/>
              </w:rPr>
              <w:t>Totaal</w:t>
            </w:r>
          </w:p>
        </w:tc>
        <w:tc>
          <w:tcPr>
            <w:tcW w:type="dxa" w:w="3173"/>
          </w:tcPr>
          <w:p>
            <w:r/>
            <w:r>
              <w:rPr>
                <w:rFonts w:ascii="Calibri" w:hAnsi="Calibri"/>
                <w:b w:val="0"/>
                <w:color w:val="1F2937"/>
                <w:sz w:val="19"/>
              </w:rPr>
              <w:t>—</w:t>
            </w:r>
          </w:p>
        </w:tc>
        <w:tc>
          <w:tcPr>
            <w:tcW w:type="dxa" w:w="3173"/>
          </w:tcPr>
          <w:p>
            <w:r/>
            <w:r>
              <w:rPr>
                <w:rFonts w:ascii="Calibri" w:hAnsi="Calibri"/>
                <w:b w:val="0"/>
                <w:color w:val="1F2937"/>
                <w:sz w:val="19"/>
              </w:rPr>
              <w:t>24 (met ca. 48 teksttabellen)</w:t>
            </w:r>
          </w:p>
        </w:tc>
      </w:tr>
    </w:tbl>
    <w:p>
      <w:pPr>
        <w:spacing w:after="40"/>
      </w:pPr>
    </w:p>
    <w:p>
      <w:pPr>
        <w:pStyle w:val="Heading2"/>
      </w:pPr>
      <w:r>
        <w:t>1.1 Werkwijze</w:t>
      </w:r>
    </w:p>
    <w:p>
      <w:pPr>
        <w:pStyle w:val="ListNumber"/>
        <w:spacing w:after="60"/>
      </w:pPr>
      <w:r>
        <w:t>Elk voorstel is herleidbaar naar wetsartikel, AI-blad of norm.</w:t>
      </w:r>
    </w:p>
    <w:p>
      <w:pPr>
        <w:pStyle w:val="ListNumber"/>
        <w:spacing w:after="60"/>
      </w:pPr>
      <w:r>
        <w:t>Voorgestelde teksten zijn in het Engels (taal van het brondocument), de analyse in het Nederlands.</w:t>
      </w:r>
    </w:p>
    <w:p>
      <w:pPr>
        <w:pStyle w:val="ListNumber"/>
        <w:spacing w:after="60"/>
      </w:pPr>
      <w:r>
        <w:t>Prioriteiten sluiten aan op de R-nummers van de audit; koppelingen zijn per voorstel vermeld.</w:t>
      </w:r>
    </w:p>
    <w:p>
      <w:pPr>
        <w:pStyle w:val="ListNumber"/>
        <w:spacing w:after="60"/>
      </w:pPr>
      <w:r>
        <w:t>Na implementatie: doorloop de cross-reference checklist in hoofdstuk 4.</w:t>
      </w:r>
    </w:p>
    <w:p>
      <w:pPr>
        <w:pStyle w:val="Heading1"/>
      </w:pPr>
      <w:r>
        <w:t>2. Voorstellen per Locatie in het Brondocument</w:t>
      </w:r>
    </w:p>
    <w:p>
      <w:pPr>
        <w:pStyle w:val="Heading2"/>
      </w:pPr>
      <w:r>
        <w:t>T-01 — Sectie 1 — Purpose and Scope: Subcontractors en ketenverplichtingen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T-01</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1 — Purpose and Scope</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Subcontractors en ketenverplichtingen</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De scope begrenst de procedure tot eigen werkzaamheden aan potentieel kwikverontreinigde systemen; subcontractors worden nergens expliciet genoemd.</w:t>
      </w:r>
    </w:p>
    <w:p>
      <w:pPr>
        <w:spacing w:after="120"/>
      </w:pPr>
      <w:r>
        <w:rPr>
          <w:rFonts w:ascii="Calibri" w:hAnsi="Calibri"/>
          <w:b/>
          <w:sz w:val="22"/>
        </w:rPr>
        <w:t xml:space="preserve">Analyse:  </w:t>
      </w:r>
      <w:r>
        <w:rPr>
          <w:rFonts w:ascii="Calibri" w:hAnsi="Calibri"/>
          <w:sz w:val="22"/>
        </w:rPr>
        <w:t>Arbowet art. 8 laat de zorgplicht bij de werkgever onder wiens gezag wordt gewerkt. In de offshore keten werkt Koole met meerdere aannemers; zonder expliciete ketenbepaling is onduidelijk of de procedure ook op subcontractors rust.</w:t>
      </w:r>
    </w:p>
    <w:p>
      <w:pPr>
        <w:spacing w:after="120"/>
      </w:pPr>
      <w:r>
        <w:rPr>
          <w:rFonts w:ascii="Calibri" w:hAnsi="Calibri"/>
          <w:b/>
          <w:sz w:val="22"/>
        </w:rPr>
        <w:t xml:space="preserve">Voorgestelde plaatsing:  </w:t>
      </w:r>
      <w:r>
        <w:rPr>
          <w:rFonts w:ascii="Calibri" w:hAnsi="Calibri"/>
          <w:sz w:val="22"/>
        </w:rPr>
        <w:t>Nieuwe slotalinea Sectie 1.</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This procedure applies to all personnel engaged in or supporting mercury-related work under Koole’s scope, including contractors and subcontractors. Contracting parties shall ensure equivalent protection is implemented and evidenced in their HSE plans prior to mobilisation.</w:t>
            </w:r>
          </w:p>
        </w:tc>
      </w:tr>
    </w:tbl>
    <w:p>
      <w:pPr>
        <w:spacing w:after="40"/>
      </w:pPr>
    </w:p>
    <w:p>
      <w:pPr>
        <w:spacing w:after="120"/>
      </w:pPr>
      <w:r>
        <w:rPr>
          <w:rFonts w:ascii="Calibri" w:hAnsi="Calibri"/>
          <w:b/>
          <w:sz w:val="22"/>
        </w:rPr>
        <w:t xml:space="preserve">Onderbouwing:  </w:t>
      </w:r>
      <w:r>
        <w:rPr>
          <w:rFonts w:ascii="Calibri" w:hAnsi="Calibri"/>
          <w:sz w:val="22"/>
        </w:rPr>
        <w:t>Sluit de governance-gap in de keten en maakt de procedure afdwingbaar richting subcontractors; voorkomt discussie bij inspectie (Stoom/Nederlandse Arbeidsinspectie) over de reikwijdte.</w:t>
      </w:r>
    </w:p>
    <w:p>
      <w:pPr>
        <w:spacing w:after="120"/>
      </w:pPr>
      <w:r>
        <w:rPr>
          <w:rFonts w:ascii="Calibri" w:hAnsi="Calibri"/>
          <w:b w:val="0"/>
          <w:i w:val="0"/>
          <w:sz w:val="22"/>
        </w:rPr>
        <w:t>Status voor de redacteur: Opnemen in eerstvolgende herzieningsronde.</w:t>
      </w:r>
    </w:p>
    <w:p>
      <w:pPr>
        <w:pStyle w:val="Heading2"/>
      </w:pPr>
      <w:r>
        <w:t>T-02 — Sectie 2 — Definitions: Definities CMR-begrippen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T-02</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2 — Definitions</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Definities CMR-begrippen</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De definitielijst bevat RPE, PTW, EMVI en TGG, maar geen definities van ‘exposed worker’, ‘health surveillance’ en ‘fit test’.</w:t>
      </w:r>
    </w:p>
    <w:p>
      <w:pPr>
        <w:spacing w:after="120"/>
      </w:pPr>
      <w:r>
        <w:rPr>
          <w:rFonts w:ascii="Calibri" w:hAnsi="Calibri"/>
          <w:b/>
          <w:sz w:val="22"/>
        </w:rPr>
        <w:t xml:space="preserve">Analyse:  </w:t>
      </w:r>
      <w:r>
        <w:rPr>
          <w:rFonts w:ascii="Calibri" w:hAnsi="Calibri"/>
          <w:sz w:val="22"/>
        </w:rPr>
        <w:t>De herziene procedure moet functioneren onder het CMR-regime. Zonder definitie van ‘blootgestelde werknemer’ kan de art. 4.15-lijst niet eenduidig worden gevoerd; ‘fit test’ is nodig voor de nieuwe RPE-eis.</w:t>
      </w:r>
    </w:p>
    <w:p>
      <w:pPr>
        <w:spacing w:after="120"/>
      </w:pPr>
      <w:r>
        <w:rPr>
          <w:rFonts w:ascii="Calibri" w:hAnsi="Calibri"/>
          <w:b/>
          <w:sz w:val="22"/>
        </w:rPr>
        <w:t xml:space="preserve">Voorgestelde plaatsing:  </w:t>
      </w:r>
      <w:r>
        <w:rPr>
          <w:rFonts w:ascii="Calibri" w:hAnsi="Calibri"/>
          <w:sz w:val="22"/>
        </w:rPr>
        <w:t>Aanvulling definitieslijst.</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Exposed worker: any worker who is or may be exposed to mercury vapour at or above background levels as a result of work under this procedure. Health surveillance: systematic medical assessment offered pursuant to the Dutch Working Conditions Decree (art. 4.10a). Fit test: qualitative or quantitative assessment of the face-to-face seal of tight-fitting RPE.</w:t>
            </w:r>
          </w:p>
        </w:tc>
      </w:tr>
    </w:tbl>
    <w:p>
      <w:pPr>
        <w:spacing w:after="40"/>
      </w:pPr>
    </w:p>
    <w:p>
      <w:pPr>
        <w:spacing w:after="120"/>
      </w:pPr>
      <w:r>
        <w:rPr>
          <w:rFonts w:ascii="Calibri" w:hAnsi="Calibri"/>
          <w:b/>
          <w:sz w:val="22"/>
        </w:rPr>
        <w:t xml:space="preserve">Onderbouwing:  </w:t>
      </w:r>
      <w:r>
        <w:rPr>
          <w:rFonts w:ascii="Calibri" w:hAnsi="Calibri"/>
          <w:sz w:val="22"/>
        </w:rPr>
        <w:t>Definities zijn de bouwstenen voor de nieuwe verplichte paragrafen (register, AGO, fit-test); zonder deze wordt elke toezichthoudende toets ambigu.</w:t>
      </w:r>
    </w:p>
    <w:p>
      <w:pPr>
        <w:spacing w:after="120"/>
      </w:pPr>
      <w:r>
        <w:rPr>
          <w:rFonts w:ascii="Calibri" w:hAnsi="Calibri"/>
          <w:b w:val="0"/>
          <w:i w:val="0"/>
          <w:sz w:val="22"/>
        </w:rPr>
        <w:t>Status voor de redacteur: Opnemen in eerstvolgende herzieningsronde.</w:t>
      </w:r>
    </w:p>
    <w:p>
      <w:pPr>
        <w:pStyle w:val="Heading2"/>
      </w:pPr>
      <w:r>
        <w:t>T-03 — Sectie 3 — Roles and Responsibilities: Bedrijfsarts en register-eigenaar</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T-03</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3 — Roles and Responsibilities</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Bedrijfsarts en register-eigenaar</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P1</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Rollen dekken uitvoering, toezicht en QHSE; de arbodienst/bedrijfsarts en een eigenaar van het blootstellingsregister ontbreken.</w:t>
      </w:r>
    </w:p>
    <w:p>
      <w:pPr>
        <w:spacing w:after="120"/>
      </w:pPr>
      <w:r>
        <w:rPr>
          <w:rFonts w:ascii="Calibri" w:hAnsi="Calibri"/>
          <w:b/>
          <w:sz w:val="22"/>
        </w:rPr>
        <w:t xml:space="preserve">Analyse:  </w:t>
      </w:r>
      <w:r>
        <w:rPr>
          <w:rFonts w:ascii="Calibri" w:hAnsi="Calibri"/>
          <w:sz w:val="22"/>
        </w:rPr>
        <w:t>Art. 4.10a verplicht aanbieding van arbeidsgezondheidskundig onderzoek; art. 4.15 verplicht het bijhouden van een blootstellingsregister. Beide verplichtingen hebben een verantwoordelijke rol nodig; nu is geen enkele rol aanspreekbaar.</w:t>
      </w:r>
    </w:p>
    <w:p>
      <w:pPr>
        <w:spacing w:after="120"/>
      </w:pPr>
      <w:r>
        <w:rPr>
          <w:rFonts w:ascii="Calibri" w:hAnsi="Calibri"/>
          <w:b/>
          <w:sz w:val="22"/>
        </w:rPr>
        <w:t xml:space="preserve">Voorgestelde plaatsing:  </w:t>
      </w:r>
      <w:r>
        <w:rPr>
          <w:rFonts w:ascii="Calibri" w:hAnsi="Calibri"/>
          <w:sz w:val="22"/>
        </w:rPr>
        <w:t>Nieuwe rollen in Sectie 3.</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Company physician / occupational health service: advises on and performs health surveillance of exposed workers (pre-placement, periodic, exit), including biological monitoring (mercury in urine) where indicated. QHSE Manager: owns and maintains the exposure register, ensures 40-year retention and worker access rights, and reports annually on exposures and trends.</w:t>
            </w:r>
          </w:p>
        </w:tc>
      </w:tr>
    </w:tbl>
    <w:p>
      <w:pPr>
        <w:spacing w:after="40"/>
      </w:pPr>
    </w:p>
    <w:p>
      <w:pPr>
        <w:spacing w:after="120"/>
      </w:pPr>
      <w:r>
        <w:rPr>
          <w:rFonts w:ascii="Calibri" w:hAnsi="Calibri"/>
          <w:b/>
          <w:sz w:val="22"/>
        </w:rPr>
        <w:t xml:space="preserve">Onderbouwing:  </w:t>
      </w:r>
      <w:r>
        <w:rPr>
          <w:rFonts w:ascii="Calibri" w:hAnsi="Calibri"/>
          <w:sz w:val="22"/>
        </w:rPr>
        <w:t>Wettelijke verplichtingen worden rol-gebonden en daarmee afdwingbaar en auditabel.</w:t>
      </w:r>
    </w:p>
    <w:p>
      <w:pPr>
        <w:spacing w:after="120"/>
      </w:pPr>
      <w:r>
        <w:rPr>
          <w:rFonts w:ascii="Calibri" w:hAnsi="Calibri"/>
          <w:b w:val="0"/>
          <w:i w:val="0"/>
          <w:sz w:val="22"/>
        </w:rPr>
        <w:t>Status voor de redacteur: SPOED — Rev 2 vóór projectuitvoering.</w:t>
      </w:r>
    </w:p>
    <w:p>
      <w:pPr>
        <w:pStyle w:val="Heading2"/>
      </w:pPr>
      <w:r>
        <w:t>T-04 — Sectie 4.1 — Physical Properties: CLP-hazardblok</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T-04</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4.1 — Physical Properties</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CLP-hazardblok</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Sectie 4 beschrijft fysische eigenschappen correct maar bevat geen formele CLP-classificatiegegevens.</w:t>
      </w:r>
    </w:p>
    <w:p>
      <w:pPr>
        <w:spacing w:after="120"/>
      </w:pPr>
      <w:r>
        <w:rPr>
          <w:rFonts w:ascii="Calibri" w:hAnsi="Calibri"/>
          <w:b/>
          <w:sz w:val="22"/>
        </w:rPr>
        <w:t xml:space="preserve">Analyse:  </w:t>
      </w:r>
      <w:r>
        <w:rPr>
          <w:rFonts w:ascii="Calibri" w:hAnsi="Calibri"/>
          <w:sz w:val="22"/>
        </w:rPr>
        <w:t>REACH art. 31/CLP vereisen beschikbaarheid van hazardinformatie; voor consistente etikettering en SDS-gebruik moet de classificatie in de procedure staan.</w:t>
      </w:r>
    </w:p>
    <w:p>
      <w:pPr>
        <w:spacing w:after="120"/>
      </w:pPr>
      <w:r>
        <w:rPr>
          <w:rFonts w:ascii="Calibri" w:hAnsi="Calibri"/>
          <w:b/>
          <w:sz w:val="22"/>
        </w:rPr>
        <w:t xml:space="preserve">Voorgestelde plaatsing:  </w:t>
      </w:r>
      <w:r>
        <w:rPr>
          <w:rFonts w:ascii="Calibri" w:hAnsi="Calibri"/>
          <w:sz w:val="22"/>
        </w:rPr>
        <w:t>Nieuwe sub-paragraaf 4.2 — Hazard Classification.</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Mercury (CAS 7439-97-6; index 080-001-00-0) is classified as Repr. 1B (H360Df), STOT RE 1 (H372 — nervous system, kidneys), Aquatic Acute 1 (H400) and Aquatic Chronic 1 (H410). Safety data sheets shall be available at the worksite for all mercury-containing or contaminated materials.</w:t>
            </w:r>
          </w:p>
        </w:tc>
      </w:tr>
    </w:tbl>
    <w:p>
      <w:pPr>
        <w:spacing w:after="40"/>
      </w:pPr>
    </w:p>
    <w:p>
      <w:pPr>
        <w:spacing w:after="120"/>
      </w:pPr>
      <w:r>
        <w:rPr>
          <w:rFonts w:ascii="Calibri" w:hAnsi="Calibri"/>
          <w:b/>
          <w:sz w:val="22"/>
        </w:rPr>
        <w:t xml:space="preserve">Onderbouwing:  </w:t>
      </w:r>
      <w:r>
        <w:rPr>
          <w:rFonts w:ascii="Calibri" w:hAnsi="Calibri"/>
          <w:sz w:val="22"/>
        </w:rPr>
        <w:t>Vult R-04; maakt etikettering en SDS-gebruik consistent en toetsbaar.</w:t>
      </w:r>
    </w:p>
    <w:p>
      <w:pPr>
        <w:spacing w:after="120"/>
      </w:pPr>
      <w:r>
        <w:rPr>
          <w:rFonts w:ascii="Calibri" w:hAnsi="Calibri"/>
          <w:b w:val="0"/>
          <w:i w:val="0"/>
          <w:sz w:val="22"/>
        </w:rPr>
        <w:t>Status voor de redacteur: Opnemen in eerstvolgende herzieningsronde.</w:t>
      </w:r>
    </w:p>
    <w:p>
      <w:pPr>
        <w:pStyle w:val="Heading2"/>
      </w:pPr>
      <w:r>
        <w:t>T-05 — Sectie 5 — Health Effects: Reproductietoxiciteit</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T-05</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5 — Health Effects</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Reproductietoxiciteit</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P1</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De gezondheidseffectenlijst noemt CNS-, nier- en acute effecten maar niet de reproductietoxische werking.</w:t>
      </w:r>
    </w:p>
    <w:p>
      <w:pPr>
        <w:spacing w:after="120"/>
      </w:pPr>
      <w:r>
        <w:rPr>
          <w:rFonts w:ascii="Calibri" w:hAnsi="Calibri"/>
          <w:b/>
          <w:sz w:val="22"/>
        </w:rPr>
        <w:t xml:space="preserve">Analyse:  </w:t>
      </w:r>
      <w:r>
        <w:rPr>
          <w:rFonts w:ascii="Calibri" w:hAnsi="Calibri"/>
          <w:sz w:val="22"/>
        </w:rPr>
        <w:t>H360D is precies de classificatie die het CMR-regime activeert; weglating leidt tot onderschatting van de beschermingsbehoefte (zwangerschap, fertilitët).</w:t>
      </w:r>
    </w:p>
    <w:p>
      <w:pPr>
        <w:spacing w:after="120"/>
      </w:pPr>
      <w:r>
        <w:rPr>
          <w:rFonts w:ascii="Calibri" w:hAnsi="Calibri"/>
          <w:b/>
          <w:sz w:val="22"/>
        </w:rPr>
        <w:t xml:space="preserve">Voorgestelde plaatsing:  </w:t>
      </w:r>
      <w:r>
        <w:rPr>
          <w:rFonts w:ascii="Calibri" w:hAnsi="Calibri"/>
          <w:sz w:val="22"/>
        </w:rPr>
        <w:t>Uitbreiding alinea Health Effects.</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Mercury vapour is toxic to reproduction (Repr. 1B, H360Df): it may damage fertility and the unborn child. Workers who are pregnant, breastfeeding or planning a pregnancy shall inform the occupational health physician; alternative duties without mercury exposure shall be offered.</w:t>
            </w:r>
          </w:p>
        </w:tc>
      </w:tr>
    </w:tbl>
    <w:p>
      <w:pPr>
        <w:spacing w:after="40"/>
      </w:pPr>
    </w:p>
    <w:p>
      <w:pPr>
        <w:spacing w:after="120"/>
      </w:pPr>
      <w:r>
        <w:rPr>
          <w:rFonts w:ascii="Calibri" w:hAnsi="Calibri"/>
          <w:b/>
          <w:sz w:val="22"/>
        </w:rPr>
        <w:t xml:space="preserve">Onderbouwing:  </w:t>
      </w:r>
      <w:r>
        <w:rPr>
          <w:rFonts w:ascii="Calibri" w:hAnsi="Calibri"/>
          <w:sz w:val="22"/>
        </w:rPr>
        <w:t>Sluit inhoudelijk aan op art. 4.10a/4.15 en voorkomt discriminatie- en aansprakelijkheidsrisico’s.</w:t>
      </w:r>
    </w:p>
    <w:p>
      <w:pPr>
        <w:spacing w:after="120"/>
      </w:pPr>
      <w:r>
        <w:rPr>
          <w:rFonts w:ascii="Calibri" w:hAnsi="Calibri"/>
          <w:b w:val="0"/>
          <w:i w:val="0"/>
          <w:sz w:val="22"/>
        </w:rPr>
        <w:t>Status voor de redacteur: SPOED — Rev 2 vóór projectuitvoering.</w:t>
      </w:r>
    </w:p>
    <w:p>
      <w:pPr>
        <w:pStyle w:val="Heading2"/>
      </w:pPr>
      <w:r>
        <w:t>T-06 — Sectie 5 — Health Effects: CMR-samenvattingsbox</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T-06</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5 — Health Effects</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CMR-samenvattingsbox</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P1</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De procedure noemt nergens dat kwik onder het Nederlandse CMR-regime valt.</w:t>
      </w:r>
    </w:p>
    <w:p>
      <w:pPr>
        <w:spacing w:after="120"/>
      </w:pPr>
      <w:r>
        <w:rPr>
          <w:rFonts w:ascii="Calibri" w:hAnsi="Calibri"/>
          <w:b/>
          <w:sz w:val="22"/>
        </w:rPr>
        <w:t xml:space="preserve">Analyse:  </w:t>
      </w:r>
      <w:r>
        <w:rPr>
          <w:rFonts w:ascii="Calibri" w:hAnsi="Calibri"/>
          <w:sz w:val="22"/>
        </w:rPr>
        <w:t>De lezer (uitvoerder) moet in één oogopslag zien welke bijzondere verplichtingen gelden: AGO, register, bewaartermijn, abnormale blootstelling.</w:t>
      </w:r>
    </w:p>
    <w:p>
      <w:pPr>
        <w:spacing w:after="120"/>
      </w:pPr>
      <w:r>
        <w:rPr>
          <w:rFonts w:ascii="Calibri" w:hAnsi="Calibri"/>
          <w:b/>
          <w:sz w:val="22"/>
        </w:rPr>
        <w:t xml:space="preserve">Voorgestelde plaatsing:  </w:t>
      </w:r>
      <w:r>
        <w:rPr>
          <w:rFonts w:ascii="Calibri" w:hAnsi="Calibri"/>
          <w:sz w:val="22"/>
        </w:rPr>
        <w:t>Nieuwe textbox na Sectie 5.</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MERCURY IS CLASSIFIED REPR. 1B (CMR-REGIME). Consequently: (1) health surveillance is offered to all exposed workers; (2) exposures are recorded in the exposure register with worker access rights; (3) exposure records are retained for 40 years; (4) abnormal exposure events trigger immediate information, investigation and works council notification.</w:t>
            </w:r>
          </w:p>
        </w:tc>
      </w:tr>
    </w:tbl>
    <w:p>
      <w:pPr>
        <w:spacing w:after="40"/>
      </w:pPr>
    </w:p>
    <w:p>
      <w:pPr>
        <w:spacing w:after="120"/>
      </w:pPr>
      <w:r>
        <w:rPr>
          <w:rFonts w:ascii="Calibri" w:hAnsi="Calibri"/>
          <w:b/>
          <w:sz w:val="22"/>
        </w:rPr>
        <w:t xml:space="preserve">Onderbouwing:  </w:t>
      </w:r>
      <w:r>
        <w:rPr>
          <w:rFonts w:ascii="Calibri" w:hAnsi="Calibri"/>
          <w:sz w:val="22"/>
        </w:rPr>
        <w:t>Communicatie van wettelijk kernregime aan de werkvloer; ondersteunt training en inspectie.</w:t>
      </w:r>
    </w:p>
    <w:p>
      <w:pPr>
        <w:spacing w:after="120"/>
      </w:pPr>
      <w:r>
        <w:rPr>
          <w:rFonts w:ascii="Calibri" w:hAnsi="Calibri"/>
          <w:b w:val="0"/>
          <w:i w:val="0"/>
          <w:sz w:val="22"/>
        </w:rPr>
        <w:t>Status voor de redacteur: SPOED — Rev 2 vóór projectuitvoering.</w:t>
      </w:r>
    </w:p>
    <w:p>
      <w:pPr>
        <w:pStyle w:val="Heading2"/>
      </w:pPr>
      <w:r>
        <w:t>T-07 — Sectie 6 — Measuring: Kalibratie en verificatie</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T-07</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6 — Measuring</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Kalibratie en verificatie</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Meetfrequenties zijn goed geregeld; kalibratie/verification van het Jerome J405 wordt niet voorgeschreven.</w:t>
      </w:r>
    </w:p>
    <w:p>
      <w:pPr>
        <w:spacing w:after="120"/>
      </w:pPr>
      <w:r>
        <w:rPr>
          <w:rFonts w:ascii="Calibri" w:hAnsi="Calibri"/>
          <w:b/>
          <w:sz w:val="22"/>
        </w:rPr>
        <w:t xml:space="preserve">Analyse:  </w:t>
      </w:r>
      <w:r>
        <w:rPr>
          <w:rFonts w:ascii="Calibri" w:hAnsi="Calibri"/>
          <w:sz w:val="22"/>
        </w:rPr>
        <w:t>Zonder dagelijkse verification en periodieke kalibratie zijn meetresultaten juridisch en technisch zwak (NEN-EN 482-geest); bij geschil over blootstelling vallen ze om.</w:t>
      </w:r>
    </w:p>
    <w:p>
      <w:pPr>
        <w:spacing w:after="120"/>
      </w:pPr>
      <w:r>
        <w:rPr>
          <w:rFonts w:ascii="Calibri" w:hAnsi="Calibri"/>
          <w:b/>
          <w:sz w:val="22"/>
        </w:rPr>
        <w:t xml:space="preserve">Voorgestelde plaatsing:  </w:t>
      </w:r>
      <w:r>
        <w:rPr>
          <w:rFonts w:ascii="Calibri" w:hAnsi="Calibri"/>
          <w:sz w:val="22"/>
        </w:rPr>
        <w:t>Uitbreiding Sectie 6.</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Prior to each measurement campaign the instrument shall pass the manufacturer’s verification check against a known reference; calibration certificates shall be valid and filed in the measurement log. Failed verification invalidates preceding measurements since the last passed check.</w:t>
            </w:r>
          </w:p>
        </w:tc>
      </w:tr>
    </w:tbl>
    <w:p>
      <w:pPr>
        <w:spacing w:after="40"/>
      </w:pPr>
    </w:p>
    <w:p>
      <w:pPr>
        <w:spacing w:after="120"/>
      </w:pPr>
      <w:r>
        <w:rPr>
          <w:rFonts w:ascii="Calibri" w:hAnsi="Calibri"/>
          <w:b/>
          <w:sz w:val="22"/>
        </w:rPr>
        <w:t xml:space="preserve">Onderbouwing:  </w:t>
      </w:r>
      <w:r>
        <w:rPr>
          <w:rFonts w:ascii="Calibri" w:hAnsi="Calibri"/>
          <w:sz w:val="22"/>
        </w:rPr>
        <w:t>Beëindigt de bewijsketen-weakness en ondersteunt het blootstellingsregister.</w:t>
      </w:r>
    </w:p>
    <w:p>
      <w:pPr>
        <w:spacing w:after="120"/>
      </w:pPr>
      <w:r>
        <w:rPr>
          <w:rFonts w:ascii="Calibri" w:hAnsi="Calibri"/>
          <w:b w:val="0"/>
          <w:i w:val="0"/>
          <w:sz w:val="22"/>
        </w:rPr>
        <w:t>Status voor de redacteur: Opnemen in eerstvolgende herzieningsronde.</w:t>
      </w:r>
    </w:p>
    <w:p>
      <w:pPr>
        <w:pStyle w:val="Heading2"/>
      </w:pPr>
      <w:r>
        <w:t>T-08 — Sectie 6 — Measuring: Ex-instrumentatie in ATEX-zones</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T-08</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6 — Measuring</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Ex-instrumentatie in ATEX-zones</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De procedure noemt ATEX-overweging (‘shall be considered’) maar biedt geen Ex-geschikt alternatief.</w:t>
      </w:r>
    </w:p>
    <w:p>
      <w:pPr>
        <w:spacing w:after="120"/>
      </w:pPr>
      <w:r>
        <w:rPr>
          <w:rFonts w:ascii="Calibri" w:hAnsi="Calibri"/>
          <w:b/>
          <w:sz w:val="22"/>
        </w:rPr>
        <w:t xml:space="preserve">Analyse:  </w:t>
      </w:r>
      <w:r>
        <w:rPr>
          <w:rFonts w:ascii="Calibri" w:hAnsi="Calibri"/>
          <w:sz w:val="22"/>
        </w:rPr>
        <w:t>Op offshore platforms zijn zone-classificaties norm; een niet-Ex instrument is daar ongecontroleerd risico. ‘Consider’ is geen beheersmaatregel.</w:t>
      </w:r>
    </w:p>
    <w:p>
      <w:pPr>
        <w:spacing w:after="120"/>
      </w:pPr>
      <w:r>
        <w:rPr>
          <w:rFonts w:ascii="Calibri" w:hAnsi="Calibri"/>
          <w:b/>
          <w:sz w:val="22"/>
        </w:rPr>
        <w:t xml:space="preserve">Voorgestelde plaatsing:  </w:t>
      </w:r>
      <w:r>
        <w:rPr>
          <w:rFonts w:ascii="Calibri" w:hAnsi="Calibri"/>
          <w:sz w:val="22"/>
        </w:rPr>
        <w:t>Herformulering ATEX-alinea.</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In ATEX-classified zones only Ex-certified mercury analysers shall be used. Where no Ex-certified instrument is available, measurements shall be taken from outside the zone via sampling lines, or the zone shall be depressurised/declassified under permit prior to measurement.</w:t>
            </w:r>
          </w:p>
        </w:tc>
      </w:tr>
    </w:tbl>
    <w:p>
      <w:pPr>
        <w:spacing w:after="40"/>
      </w:pPr>
    </w:p>
    <w:p>
      <w:pPr>
        <w:spacing w:after="120"/>
      </w:pPr>
      <w:r>
        <w:rPr>
          <w:rFonts w:ascii="Calibri" w:hAnsi="Calibri"/>
          <w:b/>
          <w:sz w:val="22"/>
        </w:rPr>
        <w:t xml:space="preserve">Onderbouwing:  </w:t>
      </w:r>
      <w:r>
        <w:rPr>
          <w:rFonts w:ascii="Calibri" w:hAnsi="Calibri"/>
          <w:sz w:val="22"/>
        </w:rPr>
        <w:t>Maakt de eis operationeel uitvoerbaar zonder ATEX-inbreuk.</w:t>
      </w:r>
    </w:p>
    <w:p>
      <w:pPr>
        <w:spacing w:after="120"/>
      </w:pPr>
      <w:r>
        <w:rPr>
          <w:rFonts w:ascii="Calibri" w:hAnsi="Calibri"/>
          <w:b w:val="0"/>
          <w:i w:val="0"/>
          <w:sz w:val="22"/>
        </w:rPr>
        <w:t>Status voor de redacteur: Opnemen in eerstvolgende herzieningsronde.</w:t>
      </w:r>
    </w:p>
    <w:p>
      <w:pPr>
        <w:pStyle w:val="Heading2"/>
      </w:pPr>
      <w:r>
        <w:t>T-09 — Nieuwe paragraaf 6A — Exposure Register: Blootstellingsregister (art. 4.15)</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T-09</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Nieuwe paragraaf 6A — Exposure Register</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Blootstellingsregister (art. 4.15)</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P1</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Meetresultaten worden uitsluitend in het PTW-dossier opgenomen; een register van blootgestelde personen ontbreekt.</w:t>
      </w:r>
    </w:p>
    <w:p>
      <w:pPr>
        <w:spacing w:after="120"/>
      </w:pPr>
      <w:r>
        <w:rPr>
          <w:rFonts w:ascii="Calibri" w:hAnsi="Calibri"/>
          <w:b/>
          <w:sz w:val="22"/>
        </w:rPr>
        <w:t xml:space="preserve">Analyse:  </w:t>
      </w:r>
      <w:r>
        <w:rPr>
          <w:rFonts w:ascii="Calibri" w:hAnsi="Calibri"/>
          <w:sz w:val="22"/>
        </w:rPr>
        <w:t>Art. 4.15 verplicht een lijst van werknemers die zijn of kunnen worden blootgesteld, met vermelding van de ondergane blootstelling en inzage-/afschriftrecht. PTW-dossiers dekken dit niet: ze zijn taak- en niet persoonsgebonden.</w:t>
      </w:r>
    </w:p>
    <w:p>
      <w:pPr>
        <w:spacing w:after="120"/>
      </w:pPr>
      <w:r>
        <w:rPr>
          <w:rFonts w:ascii="Calibri" w:hAnsi="Calibri"/>
          <w:b/>
          <w:sz w:val="22"/>
        </w:rPr>
        <w:t xml:space="preserve">Voorgestelde plaatsing:  </w:t>
      </w:r>
      <w:r>
        <w:rPr>
          <w:rFonts w:ascii="Calibri" w:hAnsi="Calibri"/>
          <w:sz w:val="22"/>
        </w:rPr>
        <w:t>Nieuwe paragraaf — Exposure Register.</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The QHSE Manager maintains an exposure register listing all workers (including contractors) exposed or potentially exposed to mercury vapour, with name, function, tasks, measured or estimated exposure levels and dates. Each worker has the right to inspect the register and to obtain a copy. The register is retained for 40 years after the last exposure and is transferred to the corporate archive upon project closure.</w:t>
            </w:r>
          </w:p>
        </w:tc>
      </w:tr>
    </w:tbl>
    <w:p>
      <w:pPr>
        <w:spacing w:after="40"/>
      </w:pPr>
    </w:p>
    <w:p>
      <w:pPr>
        <w:spacing w:after="120"/>
      </w:pPr>
      <w:r>
        <w:rPr>
          <w:rFonts w:ascii="Calibri" w:hAnsi="Calibri"/>
          <w:b/>
          <w:sz w:val="22"/>
        </w:rPr>
        <w:t xml:space="preserve">Onderbouwing:  </w:t>
      </w:r>
      <w:r>
        <w:rPr>
          <w:rFonts w:ascii="Calibri" w:hAnsi="Calibri"/>
          <w:sz w:val="22"/>
        </w:rPr>
        <w:t>Directe implementatie van R-02; sluit aan bij de 40-jaars bewaarplicht.</w:t>
      </w:r>
    </w:p>
    <w:p>
      <w:pPr>
        <w:spacing w:after="120"/>
      </w:pPr>
      <w:r>
        <w:rPr>
          <w:rFonts w:ascii="Calibri" w:hAnsi="Calibri"/>
          <w:b w:val="0"/>
          <w:i w:val="0"/>
          <w:sz w:val="22"/>
        </w:rPr>
        <w:t>Status voor de redacteur: SPOED — Rev 2 vóór projectuitvoering.</w:t>
      </w:r>
    </w:p>
    <w:p>
      <w:pPr>
        <w:pStyle w:val="Heading2"/>
      </w:pPr>
      <w:r>
        <w:t>T-10 — Nieuwe paragraaf 6B — Record Retention: 40-jaar bewaartermijn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T-10</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Nieuwe paragraaf 6B — Record Retention</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40-jaar bewaartermijn</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P1</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Bewaartermijnen van meet- en blootstellingsgegevens zijn niet vastgelegd.</w:t>
      </w:r>
    </w:p>
    <w:p>
      <w:pPr>
        <w:spacing w:after="120"/>
      </w:pPr>
      <w:r>
        <w:rPr>
          <w:rFonts w:ascii="Calibri" w:hAnsi="Calibri"/>
          <w:b/>
          <w:sz w:val="22"/>
        </w:rPr>
        <w:t xml:space="preserve">Analyse:  </w:t>
      </w:r>
      <w:r>
        <w:rPr>
          <w:rFonts w:ascii="Calibri" w:hAnsi="Calibri"/>
          <w:sz w:val="22"/>
        </w:rPr>
        <w:t>Het CMR-regime verlangt 40 jaar bewaring na laatste blootstelling; bij decommissioning (tijdelijk project) is een overdrachtsregeling noodzakelijk om te voorkomen dat gegevens bij projecteinde verloren raken.</w:t>
      </w:r>
    </w:p>
    <w:p>
      <w:pPr>
        <w:spacing w:after="120"/>
      </w:pPr>
      <w:r>
        <w:rPr>
          <w:rFonts w:ascii="Calibri" w:hAnsi="Calibri"/>
          <w:b/>
          <w:sz w:val="22"/>
        </w:rPr>
        <w:t xml:space="preserve">Voorgestelde plaatsing:  </w:t>
      </w:r>
      <w:r>
        <w:rPr>
          <w:rFonts w:ascii="Calibri" w:hAnsi="Calibri"/>
          <w:sz w:val="22"/>
        </w:rPr>
        <w:t>Nieuwe paragraaf — Record Retention.</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All exposure measurements, calibration records, medical surveillance offers and the exposure register shall be retained for at least 40 years after the last exposure of the persons concerned, also beyond project completion. Upon demobilisation, records are transferred to Koole’s corporate HSE archive under documented handover.</w:t>
            </w:r>
          </w:p>
        </w:tc>
      </w:tr>
    </w:tbl>
    <w:p>
      <w:pPr>
        <w:spacing w:after="40"/>
      </w:pPr>
    </w:p>
    <w:p>
      <w:pPr>
        <w:spacing w:after="120"/>
      </w:pPr>
      <w:r>
        <w:rPr>
          <w:rFonts w:ascii="Calibri" w:hAnsi="Calibri"/>
          <w:b/>
          <w:sz w:val="22"/>
        </w:rPr>
        <w:t xml:space="preserve">Onderbouwing:  </w:t>
      </w:r>
      <w:r>
        <w:rPr>
          <w:rFonts w:ascii="Calibri" w:hAnsi="Calibri"/>
          <w:sz w:val="22"/>
        </w:rPr>
        <w:t>Beveiligt de bewijspositie van werkgever én werknemers op langere termijn.</w:t>
      </w:r>
    </w:p>
    <w:p>
      <w:pPr>
        <w:spacing w:after="120"/>
      </w:pPr>
      <w:r>
        <w:rPr>
          <w:rFonts w:ascii="Calibri" w:hAnsi="Calibri"/>
          <w:b w:val="0"/>
          <w:i w:val="0"/>
          <w:sz w:val="22"/>
        </w:rPr>
        <w:t>Status voor de redacteur: SPOED — Rev 2 vóór projectuitvoering.</w:t>
      </w:r>
    </w:p>
    <w:p>
      <w:pPr>
        <w:pStyle w:val="Heading2"/>
      </w:pPr>
      <w:r>
        <w:t>T-11 — Sectie 7 — Safe Working Method: Fit-test-eis RPE</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T-11</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7 — Safe Working Method</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Fit-test-eis RPE</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De RPE-bandindeling leunt op half- en volgelaatsmaskers; een fit-test wordt nergens geèist.</w:t>
      </w:r>
    </w:p>
    <w:p>
      <w:pPr>
        <w:spacing w:after="120"/>
      </w:pPr>
      <w:r>
        <w:rPr>
          <w:rFonts w:ascii="Calibri" w:hAnsi="Calibri"/>
          <w:b/>
          <w:sz w:val="22"/>
        </w:rPr>
        <w:t xml:space="preserve">Analyse:  </w:t>
      </w:r>
      <w:r>
        <w:rPr>
          <w:rFonts w:ascii="Calibri" w:hAnsi="Calibri"/>
          <w:sz w:val="22"/>
        </w:rPr>
        <w:t>AI-blad 18/EN 529: de vermelde beschermingsfactor geldt alleen bij geldige face-seal; zonder fit-test is de factor theoretisch en is de blootstellingsbeheersing niet aantoonbaar.</w:t>
      </w:r>
    </w:p>
    <w:p>
      <w:pPr>
        <w:spacing w:after="120"/>
      </w:pPr>
      <w:r>
        <w:rPr>
          <w:rFonts w:ascii="Calibri" w:hAnsi="Calibri"/>
          <w:b/>
          <w:sz w:val="22"/>
        </w:rPr>
        <w:t xml:space="preserve">Voorgestelde plaatsing:  </w:t>
      </w:r>
      <w:r>
        <w:rPr>
          <w:rFonts w:ascii="Calibri" w:hAnsi="Calibri"/>
          <w:sz w:val="22"/>
        </w:rPr>
        <w:t>Uitbreiding RPE-paragraaf.</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All users of tight-fitting RPE (half- and full-face masks) shall have passed a qualitative or quantitative fit test for the specific mask model, recorded in the personal competency file and repeated at least annually or upon change of mask model, facial features or significant weight change.</w:t>
            </w:r>
          </w:p>
        </w:tc>
      </w:tr>
    </w:tbl>
    <w:p>
      <w:pPr>
        <w:spacing w:after="40"/>
      </w:pPr>
    </w:p>
    <w:p>
      <w:pPr>
        <w:spacing w:after="120"/>
      </w:pPr>
      <w:r>
        <w:rPr>
          <w:rFonts w:ascii="Calibri" w:hAnsi="Calibri"/>
          <w:b/>
          <w:sz w:val="22"/>
        </w:rPr>
        <w:t xml:space="preserve">Onderbouwing:  </w:t>
      </w:r>
      <w:r>
        <w:rPr>
          <w:rFonts w:ascii="Calibri" w:hAnsi="Calibri"/>
          <w:sz w:val="22"/>
        </w:rPr>
        <w:t>Sluit R-05 aan; maakt de Annex II-banden technisch geldig.</w:t>
      </w:r>
    </w:p>
    <w:p>
      <w:pPr>
        <w:spacing w:after="120"/>
      </w:pPr>
      <w:r>
        <w:rPr>
          <w:rFonts w:ascii="Calibri" w:hAnsi="Calibri"/>
          <w:b w:val="0"/>
          <w:i w:val="0"/>
          <w:sz w:val="22"/>
        </w:rPr>
        <w:t>Status voor de redacteur: Opnemen in eerstvolgende herzieningsronde.</w:t>
      </w:r>
    </w:p>
    <w:p>
      <w:pPr>
        <w:pStyle w:val="Heading2"/>
      </w:pPr>
      <w:r>
        <w:t>T-12 — Sectie 7 — Safe Working Method: RI&amp;E/TRA-verankering</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T-12</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7 — Safe Working Method</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RI&amp;E/TRA-verankering</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‘Risk-based approach’ wordt genoemd, maar de procedure legt niet vast waar de risicobeoordeling ligt en hoe deze de meetstrategie en RPE-bandkeuze stuurt.</w:t>
      </w:r>
    </w:p>
    <w:p>
      <w:pPr>
        <w:spacing w:after="120"/>
      </w:pPr>
      <w:r>
        <w:rPr>
          <w:rFonts w:ascii="Calibri" w:hAnsi="Calibri"/>
          <w:b/>
          <w:sz w:val="22"/>
        </w:rPr>
        <w:t xml:space="preserve">Analyse:  </w:t>
      </w:r>
      <w:r>
        <w:rPr>
          <w:rFonts w:ascii="Calibri" w:hAnsi="Calibri"/>
          <w:sz w:val="22"/>
        </w:rPr>
        <w:t>Arbowet art. 5/Arbobesluit art. 4.1 verplichten RI&amp;E; voor inspectie moet de keten RI&amp;E → TRA/JSA → PTW → meetband aantoonbaar zijn.</w:t>
      </w:r>
    </w:p>
    <w:p>
      <w:pPr>
        <w:spacing w:after="120"/>
      </w:pPr>
      <w:r>
        <w:rPr>
          <w:rFonts w:ascii="Calibri" w:hAnsi="Calibri"/>
          <w:b/>
          <w:sz w:val="22"/>
        </w:rPr>
        <w:t xml:space="preserve">Voorgestelde plaatsing:  </w:t>
      </w:r>
      <w:r>
        <w:rPr>
          <w:rFonts w:ascii="Calibri" w:hAnsi="Calibri"/>
          <w:sz w:val="22"/>
        </w:rPr>
        <w:t>Herformulering risk-based approach.</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All work under this procedure shall be covered by the project RI&amp;E (mercury annex) and a task-specific TRA/JSA, referenced in the PTW. The TRA determines the measurement plan, RPE-band and decontamination measures; changes in scope or conditions trigger re-assessment before work continues.</w:t>
            </w:r>
          </w:p>
        </w:tc>
      </w:tr>
    </w:tbl>
    <w:p>
      <w:pPr>
        <w:spacing w:after="40"/>
      </w:pPr>
    </w:p>
    <w:p>
      <w:pPr>
        <w:spacing w:after="120"/>
      </w:pPr>
      <w:r>
        <w:rPr>
          <w:rFonts w:ascii="Calibri" w:hAnsi="Calibri"/>
          <w:b/>
          <w:sz w:val="22"/>
        </w:rPr>
        <w:t xml:space="preserve">Onderbouwing:  </w:t>
      </w:r>
      <w:r>
        <w:rPr>
          <w:rFonts w:ascii="Calibri" w:hAnsi="Calibri"/>
          <w:sz w:val="22"/>
        </w:rPr>
        <w:t>Verankert de beheersketen en maakt de meetstrategie afdwingbaar gekoppeld.</w:t>
      </w:r>
    </w:p>
    <w:p>
      <w:pPr>
        <w:spacing w:after="120"/>
      </w:pPr>
      <w:r>
        <w:rPr>
          <w:rFonts w:ascii="Calibri" w:hAnsi="Calibri"/>
          <w:b w:val="0"/>
          <w:i w:val="0"/>
          <w:sz w:val="22"/>
        </w:rPr>
        <w:t>Status voor de redacteur: Opnemen in eerstvolgende herzieningsronde.</w:t>
      </w:r>
    </w:p>
    <w:p>
      <w:pPr>
        <w:pStyle w:val="Heading2"/>
      </w:pPr>
      <w:r>
        <w:t>T-13 — Sectie 7 — Safe Working Method: EMVI-uitbreiding</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T-13</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7 — Safe Working Method</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EMVI-uitbreiding</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EMVI beperkt zich tot spill-opschoning; symptoomherkenning, EHBO en escalatie ontbreken.</w:t>
      </w:r>
    </w:p>
    <w:p>
      <w:pPr>
        <w:spacing w:after="120"/>
      </w:pPr>
      <w:r>
        <w:rPr>
          <w:rFonts w:ascii="Calibri" w:hAnsi="Calibri"/>
          <w:b/>
          <w:sz w:val="22"/>
        </w:rPr>
        <w:t xml:space="preserve">Analyse:  </w:t>
      </w:r>
      <w:r>
        <w:rPr>
          <w:rFonts w:ascii="Calibri" w:hAnsi="Calibri"/>
          <w:sz w:val="22"/>
        </w:rPr>
        <w:t>Art. 4.21 verplicht bij abnormale blootstelling onmiddellijke informatie, maatregelen en onderzoek. Kwikvergiftiging begint vaak met vage symptomen (tremor, smaak, hoofdpijn) — veldherkenning is essentieel.</w:t>
      </w:r>
    </w:p>
    <w:p>
      <w:pPr>
        <w:spacing w:after="120"/>
      </w:pPr>
      <w:r>
        <w:rPr>
          <w:rFonts w:ascii="Calibri" w:hAnsi="Calibri"/>
          <w:b/>
          <w:sz w:val="22"/>
        </w:rPr>
        <w:t xml:space="preserve">Voorgestelde plaatsing:  </w:t>
      </w:r>
      <w:r>
        <w:rPr>
          <w:rFonts w:ascii="Calibri" w:hAnsi="Calibri"/>
          <w:sz w:val="22"/>
        </w:rPr>
        <w:t>Uitbreiding EMVI-paragraaf.</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Any worker experiencing symptoms suggestive of mercury exposure (metallic taste, tremor, headache, irritability, nausea) shall stop work, report to supervision and be referred to the medic/occupational physician. Overspeed events (&gt;50% of the OEL) or spills shall trigger: immediate area evacuation, re-measurement, incident investigation, information of all exposed workers, and notification of the works council/PVT.</w:t>
            </w:r>
          </w:p>
        </w:tc>
      </w:tr>
    </w:tbl>
    <w:p>
      <w:pPr>
        <w:spacing w:after="40"/>
      </w:pPr>
    </w:p>
    <w:p>
      <w:pPr>
        <w:spacing w:after="120"/>
      </w:pPr>
      <w:r>
        <w:rPr>
          <w:rFonts w:ascii="Calibri" w:hAnsi="Calibri"/>
          <w:b/>
          <w:sz w:val="22"/>
        </w:rPr>
        <w:t xml:space="preserve">Onderbouwing:  </w:t>
      </w:r>
      <w:r>
        <w:rPr>
          <w:rFonts w:ascii="Calibri" w:hAnsi="Calibri"/>
          <w:sz w:val="22"/>
        </w:rPr>
        <w:t>Vult R-09; operationaliseert art. 4.21 voor de offshore context.</w:t>
      </w:r>
    </w:p>
    <w:p>
      <w:pPr>
        <w:spacing w:after="120"/>
      </w:pPr>
      <w:r>
        <w:rPr>
          <w:rFonts w:ascii="Calibri" w:hAnsi="Calibri"/>
          <w:b w:val="0"/>
          <w:i w:val="0"/>
          <w:sz w:val="22"/>
        </w:rPr>
        <w:t>Status voor de redacteur: Opnemen in eerstvolgende herzieningsronde.</w:t>
      </w:r>
    </w:p>
    <w:p>
      <w:pPr>
        <w:pStyle w:val="Heading2"/>
      </w:pPr>
      <w:r>
        <w:t>T-14 — Sectie 7 — Safe Working Method: Training en competentie</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T-14</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7 — Safe Working Method</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Training en competentie</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Training wordt verondersteld maar niet uitgewerkt (inhoud, frequentie, bewijs).</w:t>
      </w:r>
    </w:p>
    <w:p>
      <w:pPr>
        <w:spacing w:after="120"/>
      </w:pPr>
      <w:r>
        <w:rPr>
          <w:rFonts w:ascii="Calibri" w:hAnsi="Calibri"/>
          <w:b/>
          <w:sz w:val="22"/>
        </w:rPr>
        <w:t xml:space="preserve">Analyse:  </w:t>
      </w:r>
      <w:r>
        <w:rPr>
          <w:rFonts w:ascii="Calibri" w:hAnsi="Calibri"/>
          <w:sz w:val="22"/>
        </w:rPr>
        <w:t>Arbowet art. 8/instructieplicht vraekt aantoonbare instructie; voor decommissioning met wisselende crews moet een competentieprogramma met bewijsvoering bestaan.</w:t>
      </w:r>
    </w:p>
    <w:p>
      <w:pPr>
        <w:spacing w:after="120"/>
      </w:pPr>
      <w:r>
        <w:rPr>
          <w:rFonts w:ascii="Calibri" w:hAnsi="Calibri"/>
          <w:b/>
          <w:sz w:val="22"/>
        </w:rPr>
        <w:t xml:space="preserve">Voorgestelde plaatsing:  </w:t>
      </w:r>
      <w:r>
        <w:rPr>
          <w:rFonts w:ascii="Calibri" w:hAnsi="Calibri"/>
          <w:sz w:val="22"/>
        </w:rPr>
        <w:t>Nieuwe paragraaf — Training and Competence.</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All personnel performing or supervising mercury-related work shall complete mercury awareness training covering hazards, health effects, measurement bands, RPE use and fit testing, decontamination and EMVI, prior to first assignment, with refresher every 2 years and after significant procedure changes. Competency is recorded in the personal file.</w:t>
            </w:r>
          </w:p>
        </w:tc>
      </w:tr>
    </w:tbl>
    <w:p>
      <w:pPr>
        <w:spacing w:after="40"/>
      </w:pPr>
    </w:p>
    <w:p>
      <w:pPr>
        <w:spacing w:after="120"/>
      </w:pPr>
      <w:r>
        <w:rPr>
          <w:rFonts w:ascii="Calibri" w:hAnsi="Calibri"/>
          <w:b/>
          <w:sz w:val="22"/>
        </w:rPr>
        <w:t xml:space="preserve">Onderbouwing:  </w:t>
      </w:r>
      <w:r>
        <w:rPr>
          <w:rFonts w:ascii="Calibri" w:hAnsi="Calibri"/>
          <w:sz w:val="22"/>
        </w:rPr>
        <w:t>Sluit R-08 aan; aantoonbare instructie bij inspectie.</w:t>
      </w:r>
    </w:p>
    <w:p>
      <w:pPr>
        <w:spacing w:after="120"/>
      </w:pPr>
      <w:r>
        <w:rPr>
          <w:rFonts w:ascii="Calibri" w:hAnsi="Calibri"/>
          <w:b w:val="0"/>
          <w:i w:val="0"/>
          <w:sz w:val="22"/>
        </w:rPr>
        <w:t>Status voor de redacteur: Opnemen in eerstvolgende herzieningsronde.</w:t>
      </w:r>
    </w:p>
    <w:p>
      <w:pPr>
        <w:pStyle w:val="Heading2"/>
      </w:pPr>
      <w:r>
        <w:t>T-15 — Sectie 8 — Suspected Material: Verwerkerserkenning en afvaldocumentatie</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T-15</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8 — Suspected Material</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Verwerkerserkenning en afvaldocumentatie</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‘Approved waste management routes’ zonder erkenningseis en zonder afvalstroomdocumentatie.</w:t>
      </w:r>
    </w:p>
    <w:p>
      <w:pPr>
        <w:spacing w:after="120"/>
      </w:pPr>
      <w:r>
        <w:rPr>
          <w:rFonts w:ascii="Calibri" w:hAnsi="Calibri"/>
          <w:b/>
          <w:sz w:val="22"/>
        </w:rPr>
        <w:t xml:space="preserve">Analyse:  </w:t>
      </w:r>
      <w:r>
        <w:rPr>
          <w:rFonts w:ascii="Calibri" w:hAnsi="Calibri"/>
          <w:sz w:val="22"/>
        </w:rPr>
        <w:t>Bal/Wet milieubeheer vereisen overdracht van gevaarlijk afval aan erkende afnemers met begeleidingsbrief; zonder bewijs last is de keten niet aantoonbaar en loopt Koole aansprakelijkheidsrisico.</w:t>
      </w:r>
    </w:p>
    <w:p>
      <w:pPr>
        <w:spacing w:after="120"/>
      </w:pPr>
      <w:r>
        <w:rPr>
          <w:rFonts w:ascii="Calibri" w:hAnsi="Calibri"/>
          <w:b/>
          <w:sz w:val="22"/>
        </w:rPr>
        <w:t xml:space="preserve">Voorgestelde plaatsing:  </w:t>
      </w:r>
      <w:r>
        <w:rPr>
          <w:rFonts w:ascii="Calibri" w:hAnsi="Calibri"/>
          <w:sz w:val="22"/>
        </w:rPr>
        <w:t>Uitbreiding Sectie 8.</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Mercury-contaminated waste above the Eural 3% threshold shall only be transferred to licensed waste processors; licences shall be verified by QHSE before first shipment. Each shipment is accompanied by a waste transfer note (begeleidingsbrief) with Eural code 06 04 20*, retained in the project waste log.</w:t>
            </w:r>
          </w:p>
        </w:tc>
      </w:tr>
    </w:tbl>
    <w:p>
      <w:pPr>
        <w:spacing w:after="40"/>
      </w:pPr>
    </w:p>
    <w:p>
      <w:pPr>
        <w:spacing w:after="120"/>
      </w:pPr>
      <w:r>
        <w:rPr>
          <w:rFonts w:ascii="Calibri" w:hAnsi="Calibri"/>
          <w:b/>
          <w:sz w:val="22"/>
        </w:rPr>
        <w:t xml:space="preserve">Onderbouwing:  </w:t>
      </w:r>
      <w:r>
        <w:rPr>
          <w:rFonts w:ascii="Calibri" w:hAnsi="Calibri"/>
          <w:sz w:val="22"/>
        </w:rPr>
        <w:t>Sluit R-10; maakt de afvalketen auditbaar.</w:t>
      </w:r>
    </w:p>
    <w:p>
      <w:pPr>
        <w:spacing w:after="120"/>
      </w:pPr>
      <w:r>
        <w:rPr>
          <w:rFonts w:ascii="Calibri" w:hAnsi="Calibri"/>
          <w:b w:val="0"/>
          <w:i w:val="0"/>
          <w:sz w:val="22"/>
        </w:rPr>
        <w:t>Status voor de redacteur: Opnemen in eerstvolgende herzieningsronde.</w:t>
      </w:r>
    </w:p>
    <w:p>
      <w:pPr>
        <w:pStyle w:val="Heading2"/>
      </w:pPr>
      <w:r>
        <w:t>T-16 — Sectie 8 — Suspected Material: Etikettering verpakkingen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T-16</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8 — Suspected Material</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Etikettering verpakkingen</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Verpakkingsinstructies zijn goed (blindflensen, pondliner-skip) maar etikettering wordt impliciet aan Logistics gelaten.</w:t>
      </w:r>
    </w:p>
    <w:p>
      <w:pPr>
        <w:spacing w:after="120"/>
      </w:pPr>
      <w:r>
        <w:rPr>
          <w:rFonts w:ascii="Calibri" w:hAnsi="Calibri"/>
          <w:b/>
          <w:sz w:val="22"/>
        </w:rPr>
        <w:t xml:space="preserve">Analyse:  </w:t>
      </w:r>
      <w:r>
        <w:rPr>
          <w:rFonts w:ascii="Calibri" w:hAnsi="Calibri"/>
          <w:sz w:val="22"/>
        </w:rPr>
        <w:t>CLP-transport- en opslagetikettering (GEVAAR-pictogrammen, UN-nummer, inhoud) moet ook bij tijdelijke opslag offshore zichtbaar zijn; nu is de verantwoordelijkheid onbepaald.</w:t>
      </w:r>
    </w:p>
    <w:p>
      <w:pPr>
        <w:spacing w:after="120"/>
      </w:pPr>
      <w:r>
        <w:rPr>
          <w:rFonts w:ascii="Calibri" w:hAnsi="Calibri"/>
          <w:b/>
          <w:sz w:val="22"/>
        </w:rPr>
        <w:t xml:space="preserve">Voorgestelde plaatsing:  </w:t>
      </w:r>
      <w:r>
        <w:rPr>
          <w:rFonts w:ascii="Calibri" w:hAnsi="Calibri"/>
          <w:sz w:val="22"/>
        </w:rPr>
        <w:t>Uitbreiding verpakkingParagraaf.</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All packages containing mercury-contaminated material shall be labelled with content description, Eural code, hazard pictograms (GHS05/GHS07/GHS09 as applicable) and UN number where applicable, by the packing supervisor, prior to storage or shipment.</w:t>
            </w:r>
          </w:p>
        </w:tc>
      </w:tr>
    </w:tbl>
    <w:p>
      <w:pPr>
        <w:spacing w:after="40"/>
      </w:pPr>
    </w:p>
    <w:p>
      <w:pPr>
        <w:spacing w:after="120"/>
      </w:pPr>
      <w:r>
        <w:rPr>
          <w:rFonts w:ascii="Calibri" w:hAnsi="Calibri"/>
          <w:b/>
          <w:sz w:val="22"/>
        </w:rPr>
        <w:t xml:space="preserve">Onderbouwing:  </w:t>
      </w:r>
      <w:r>
        <w:rPr>
          <w:rFonts w:ascii="Calibri" w:hAnsi="Calibri"/>
          <w:sz w:val="22"/>
        </w:rPr>
        <w:t>Vult R-04-etaketteringscomponent; voorkomt ongemarkeerde pakketten in de keten.</w:t>
      </w:r>
    </w:p>
    <w:p>
      <w:pPr>
        <w:spacing w:after="120"/>
      </w:pPr>
      <w:r>
        <w:rPr>
          <w:rFonts w:ascii="Calibri" w:hAnsi="Calibri"/>
          <w:b w:val="0"/>
          <w:i w:val="0"/>
          <w:sz w:val="22"/>
        </w:rPr>
        <w:t>Status voor de redacteur: Opnemen in eerstvolgende herzieningsronde.</w:t>
      </w:r>
    </w:p>
    <w:p>
      <w:pPr>
        <w:pStyle w:val="Heading2"/>
      </w:pPr>
      <w:r>
        <w:t>T-17 — Sectie 9 — References: Referentielijst aanvullen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T-17</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9 — References</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Referentielijst aanvullen</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Referentielijst mist Arboregeling (bron grenswaarde), CLP/REACH-verwijzing en AI-bladen.</w:t>
      </w:r>
    </w:p>
    <w:p>
      <w:pPr>
        <w:spacing w:after="120"/>
      </w:pPr>
      <w:r>
        <w:rPr>
          <w:rFonts w:ascii="Calibri" w:hAnsi="Calibri"/>
          <w:b/>
          <w:sz w:val="22"/>
        </w:rPr>
        <w:t xml:space="preserve">Analyse:  </w:t>
      </w:r>
      <w:r>
        <w:rPr>
          <w:rFonts w:ascii="Calibri" w:hAnsi="Calibri"/>
          <w:sz w:val="22"/>
        </w:rPr>
        <w:t>Elke in de procedure genoemde eis moet herleidbaar zijn; de grenswaarde zonder bronvermelding is bij herziening niet onderhoudbaar.</w:t>
      </w:r>
    </w:p>
    <w:p>
      <w:pPr>
        <w:spacing w:after="120"/>
      </w:pPr>
      <w:r>
        <w:rPr>
          <w:rFonts w:ascii="Calibri" w:hAnsi="Calibri"/>
          <w:b/>
          <w:sz w:val="22"/>
        </w:rPr>
        <w:t xml:space="preserve">Voorgestelde plaatsing:  </w:t>
      </w:r>
      <w:r>
        <w:rPr>
          <w:rFonts w:ascii="Calibri" w:hAnsi="Calibri"/>
          <w:sz w:val="22"/>
        </w:rPr>
        <w:t>Aanvulling referentielijst.</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Add: Arbeidsomstandighedenregeling afdeling 4.4 (wettelijke grenswaarden); CLP (EG) 1272/2008 incl. Annex VI entry 080-001-00-0; REACH (EG) 1907/2006 art. 31; Arbo-Informatiebladen 31, 18, 64; NEN-EN 689/482.</w:t>
            </w:r>
          </w:p>
        </w:tc>
      </w:tr>
    </w:tbl>
    <w:p>
      <w:pPr>
        <w:spacing w:after="40"/>
      </w:pPr>
    </w:p>
    <w:p>
      <w:pPr>
        <w:spacing w:after="120"/>
      </w:pPr>
      <w:r>
        <w:rPr>
          <w:rFonts w:ascii="Calibri" w:hAnsi="Calibri"/>
          <w:b/>
          <w:sz w:val="22"/>
        </w:rPr>
        <w:t xml:space="preserve">Onderbouwing:  </w:t>
      </w:r>
      <w:r>
        <w:rPr>
          <w:rFonts w:ascii="Calibri" w:hAnsi="Calibri"/>
          <w:sz w:val="22"/>
        </w:rPr>
        <w:t>Documentonderhoudbaarheid en inspectie-robuustheid.</w:t>
      </w:r>
    </w:p>
    <w:p>
      <w:pPr>
        <w:spacing w:after="120"/>
      </w:pPr>
      <w:r>
        <w:rPr>
          <w:rFonts w:ascii="Calibri" w:hAnsi="Calibri"/>
          <w:b w:val="0"/>
          <w:i w:val="0"/>
          <w:sz w:val="22"/>
        </w:rPr>
        <w:t>Status voor de redacteur: Opnemen in eerstvolgende herzieningsronde.</w:t>
      </w:r>
    </w:p>
    <w:p>
      <w:pPr>
        <w:pStyle w:val="Heading2"/>
      </w:pPr>
      <w:r>
        <w:t>T-18 — Sectie 9 — References: Mijnbouwwet toelichten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T-18</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9 — References</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Mijnbouwwet toelichten</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P3</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De Mijnbouwwet staat in de tabel maar wordt niet inhoudelijk toegepast.</w:t>
      </w:r>
    </w:p>
    <w:p>
      <w:pPr>
        <w:spacing w:after="120"/>
      </w:pPr>
      <w:r>
        <w:rPr>
          <w:rFonts w:ascii="Calibri" w:hAnsi="Calibri"/>
          <w:b/>
          <w:sz w:val="22"/>
        </w:rPr>
        <w:t xml:space="preserve">Analyse:  </w:t>
      </w:r>
      <w:r>
        <w:rPr>
          <w:rFonts w:ascii="Calibri" w:hAnsi="Calibri"/>
          <w:sz w:val="22"/>
        </w:rPr>
        <w:t>Voor het NL-continentale plat is Stoom de toezichthouder en gelden mijnbouw-arbo-eisen bovenop/naast het algemene regime; dit bepaalt welke inspectie de procedure kan verwachten.</w:t>
      </w:r>
    </w:p>
    <w:p>
      <w:pPr>
        <w:spacing w:after="120"/>
      </w:pPr>
      <w:r>
        <w:rPr>
          <w:rFonts w:ascii="Calibri" w:hAnsi="Calibri"/>
          <w:b/>
          <w:sz w:val="22"/>
        </w:rPr>
        <w:t xml:space="preserve">Voorgestelde plaatsing:  </w:t>
      </w:r>
      <w:r>
        <w:rPr>
          <w:rFonts w:ascii="Calibri" w:hAnsi="Calibri"/>
          <w:sz w:val="22"/>
        </w:rPr>
        <w:t>Toelichting bij referentietabel.</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Note under references: For installations on the Netherlands continental shelf, the Dutch Mining Act applies; the State Supervision of Mines (Stoom) is the competent authority for offshore working conditions enforcement, alongside the provisions of the Working Conditions Act.</w:t>
            </w:r>
          </w:p>
        </w:tc>
      </w:tr>
    </w:tbl>
    <w:p>
      <w:pPr>
        <w:spacing w:after="40"/>
      </w:pPr>
    </w:p>
    <w:p>
      <w:pPr>
        <w:spacing w:after="120"/>
      </w:pPr>
      <w:r>
        <w:rPr>
          <w:rFonts w:ascii="Calibri" w:hAnsi="Calibri"/>
          <w:b/>
          <w:sz w:val="22"/>
        </w:rPr>
        <w:t xml:space="preserve">Onderbouwing:  </w:t>
      </w:r>
      <w:r>
        <w:rPr>
          <w:rFonts w:ascii="Calibri" w:hAnsi="Calibri"/>
          <w:sz w:val="22"/>
        </w:rPr>
        <w:t>Sluit R-07; helder toezichtskader voor gebruiker.</w:t>
      </w:r>
    </w:p>
    <w:p>
      <w:pPr>
        <w:spacing w:after="120"/>
      </w:pPr>
      <w:r>
        <w:rPr>
          <w:rFonts w:ascii="Calibri" w:hAnsi="Calibri"/>
          <w:b w:val="0"/>
          <w:i w:val="0"/>
          <w:sz w:val="22"/>
        </w:rPr>
        <w:t>Status voor de redacteur: Opnemen in eerstvolgende herzieningsronde.</w:t>
      </w:r>
    </w:p>
    <w:p>
      <w:pPr>
        <w:pStyle w:val="Heading2"/>
      </w:pPr>
      <w:r>
        <w:t>T-19 — Annex I — Flowchart: Registratiestap toevoegen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T-19</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Annex I — Flowchart</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Registratiestap toevoegen</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P1</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De flowchart loopt van detectie naar classificatie en afvoer; registratie van blootstelling ontbreekt.</w:t>
      </w:r>
    </w:p>
    <w:p>
      <w:pPr>
        <w:spacing w:after="120"/>
      </w:pPr>
      <w:r>
        <w:rPr>
          <w:rFonts w:ascii="Calibri" w:hAnsi="Calibri"/>
          <w:b/>
          <w:sz w:val="22"/>
        </w:rPr>
        <w:t xml:space="preserve">Analyse:  </w:t>
      </w:r>
      <w:r>
        <w:rPr>
          <w:rFonts w:ascii="Calibri" w:hAnsi="Calibri"/>
          <w:sz w:val="22"/>
        </w:rPr>
        <w:t>Zonder registratiestap in het primaire beslisproces blijft het register (T-09) een dode letter; flowcharts zijn wat de werkvloer daadwerkelijk volgt.</w:t>
      </w:r>
    </w:p>
    <w:p>
      <w:pPr>
        <w:spacing w:after="120"/>
      </w:pPr>
      <w:r>
        <w:rPr>
          <w:rFonts w:ascii="Calibri" w:hAnsi="Calibri"/>
          <w:b/>
          <w:sz w:val="22"/>
        </w:rPr>
        <w:t xml:space="preserve">Voorgestelde plaatsing:  </w:t>
      </w:r>
      <w:r>
        <w:rPr>
          <w:rFonts w:ascii="Calibri" w:hAnsi="Calibri"/>
          <w:sz w:val="22"/>
        </w:rPr>
        <w:t>Aanpassing flowchart.</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Insert decision node after classification: ‘Record task, persons and measurement outcome in exposure register (QHSE)’ before the waste/transport branch; add register icon to the legend.</w:t>
            </w:r>
          </w:p>
        </w:tc>
      </w:tr>
    </w:tbl>
    <w:p>
      <w:pPr>
        <w:spacing w:after="40"/>
      </w:pPr>
    </w:p>
    <w:p>
      <w:pPr>
        <w:spacing w:after="120"/>
      </w:pPr>
      <w:r>
        <w:rPr>
          <w:rFonts w:ascii="Calibri" w:hAnsi="Calibri"/>
          <w:b/>
          <w:sz w:val="22"/>
        </w:rPr>
        <w:t xml:space="preserve">Onderbouwing:  </w:t>
      </w:r>
      <w:r>
        <w:rPr>
          <w:rFonts w:ascii="Calibri" w:hAnsi="Calibri"/>
          <w:sz w:val="22"/>
        </w:rPr>
        <w:t>Verankert R-02/T-09 op werkvloerniveau.</w:t>
      </w:r>
    </w:p>
    <w:p>
      <w:pPr>
        <w:spacing w:after="120"/>
      </w:pPr>
      <w:r>
        <w:rPr>
          <w:rFonts w:ascii="Calibri" w:hAnsi="Calibri"/>
          <w:b w:val="0"/>
          <w:i w:val="0"/>
          <w:sz w:val="22"/>
        </w:rPr>
        <w:t>Status voor de redacteur: SPOED — Rev 2 vóór projectuitvoering.</w:t>
      </w:r>
    </w:p>
    <w:p>
      <w:pPr>
        <w:pStyle w:val="Heading2"/>
      </w:pPr>
      <w:r>
        <w:t>T-20 — Annex II — RPE-banden: Fit-test verwijzing en bewijs</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T-20</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Annex II — RPE-banden</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Fit-test verwijzing en bewijs</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Bandindeling bevat filterbeperkingen maar geen fit-test vereiste of bewijsregistratie.</w:t>
      </w:r>
    </w:p>
    <w:p>
      <w:pPr>
        <w:spacing w:after="120"/>
      </w:pPr>
      <w:r>
        <w:rPr>
          <w:rFonts w:ascii="Calibri" w:hAnsi="Calibri"/>
          <w:b/>
          <w:sz w:val="22"/>
        </w:rPr>
        <w:t xml:space="preserve">Analyse:  </w:t>
      </w:r>
      <w:r>
        <w:rPr>
          <w:rFonts w:ascii="Calibri" w:hAnsi="Calibri"/>
          <w:sz w:val="22"/>
        </w:rPr>
        <w:t>Zie T-11: zonder fit-test zijn de vermelde beschermingsfactoren ongeldig; het band-schema moet dit uitdrukkelijk stellen.</w:t>
      </w:r>
    </w:p>
    <w:p>
      <w:pPr>
        <w:spacing w:after="120"/>
      </w:pPr>
      <w:r>
        <w:rPr>
          <w:rFonts w:ascii="Calibri" w:hAnsi="Calibri"/>
          <w:b/>
          <w:sz w:val="22"/>
        </w:rPr>
        <w:t xml:space="preserve">Voorgestelde plaatsing:  </w:t>
      </w:r>
      <w:r>
        <w:rPr>
          <w:rFonts w:ascii="Calibri" w:hAnsi="Calibri"/>
          <w:sz w:val="22"/>
        </w:rPr>
        <w:t>Koptekst Annex II.</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Prepend: ‘Assigned protection factors apply only to users with a valid fit test for the specific mask model (see §7). Fit test records are held in the personal competency file.’</w:t>
            </w:r>
          </w:p>
        </w:tc>
      </w:tr>
    </w:tbl>
    <w:p>
      <w:pPr>
        <w:spacing w:after="40"/>
      </w:pPr>
    </w:p>
    <w:p>
      <w:pPr>
        <w:spacing w:after="120"/>
      </w:pPr>
      <w:r>
        <w:rPr>
          <w:rFonts w:ascii="Calibri" w:hAnsi="Calibri"/>
          <w:b/>
          <w:sz w:val="22"/>
        </w:rPr>
        <w:t xml:space="preserve">Onderbouwing:  </w:t>
      </w:r>
      <w:r>
        <w:rPr>
          <w:rFonts w:ascii="Calibri" w:hAnsi="Calibri"/>
          <w:sz w:val="22"/>
        </w:rPr>
        <w:t>Consistentie tussen Annex II en hooftekst; sluit R-05.</w:t>
      </w:r>
    </w:p>
    <w:p>
      <w:pPr>
        <w:spacing w:after="120"/>
      </w:pPr>
      <w:r>
        <w:rPr>
          <w:rFonts w:ascii="Calibri" w:hAnsi="Calibri"/>
          <w:b w:val="0"/>
          <w:i w:val="0"/>
          <w:sz w:val="22"/>
        </w:rPr>
        <w:t>Status voor de redacteur: Opnemen in eerstvolgende herzieningsronde.</w:t>
      </w:r>
    </w:p>
    <w:p>
      <w:pPr>
        <w:pStyle w:val="Heading2"/>
      </w:pPr>
      <w:r>
        <w:t>T-21 — Annex III — Transport: IBC-passage herschrijven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T-21</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Annex III — Transport</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IBC-passage herschrijven</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P1</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Annex III adviseert ‘Offshore/IBC tanks (ADR)’ voor vloeistoffen — voor vloeibaar kwik (UN 2809) is IBC-vervoer verboden.</w:t>
      </w:r>
    </w:p>
    <w:p>
      <w:pPr>
        <w:spacing w:after="120"/>
      </w:pPr>
      <w:r>
        <w:rPr>
          <w:rFonts w:ascii="Calibri" w:hAnsi="Calibri"/>
          <w:b/>
          <w:sz w:val="22"/>
        </w:rPr>
        <w:t xml:space="preserve">Analyse:  </w:t>
      </w:r>
      <w:r>
        <w:rPr>
          <w:rFonts w:ascii="Calibri" w:hAnsi="Calibri"/>
          <w:sz w:val="22"/>
        </w:rPr>
        <w:t>ADR deel 3 tabel A sluit IBC’s, bulk en large packagines uitdrukkelijk uit voor UN 2809. De huidige passage kan leiden tot een onwettig en gevaarlijk vervoersvoorstel; dit is de ernstigste tekortkoming van het document.</w:t>
      </w:r>
    </w:p>
    <w:p>
      <w:pPr>
        <w:spacing w:after="120"/>
      </w:pPr>
      <w:r>
        <w:rPr>
          <w:rFonts w:ascii="Calibri" w:hAnsi="Calibri"/>
          <w:b/>
          <w:sz w:val="22"/>
        </w:rPr>
        <w:t xml:space="preserve">Voorgestelde plaatsing:  </w:t>
      </w:r>
      <w:r>
        <w:rPr>
          <w:rFonts w:ascii="Calibri" w:hAnsi="Calibri"/>
          <w:sz w:val="22"/>
        </w:rPr>
        <w:t>Vervanging IBC-passage.</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Liquid mercury (UN 2809, class 8, PG III) shall never be transported in IBCs, bulk or large packagings — this is prohibited under ADR. Approved transport: UN-certified combination packagings (steel drum with absorbent and liner) per ADR packing instruction P001, labelled 8/6.1, with dangerous goods declaration and mercury/LSA statement card. IBCs may be used only for mercury-contaminated liquids other than elemental mercury (e.g. wash water), to be stated explicitly on the packaging.</w:t>
            </w:r>
          </w:p>
        </w:tc>
      </w:tr>
    </w:tbl>
    <w:p>
      <w:pPr>
        <w:spacing w:after="40"/>
      </w:pPr>
    </w:p>
    <w:p>
      <w:pPr>
        <w:spacing w:after="120"/>
      </w:pPr>
      <w:r>
        <w:rPr>
          <w:rFonts w:ascii="Calibri" w:hAnsi="Calibri"/>
          <w:b/>
          <w:sz w:val="22"/>
        </w:rPr>
        <w:t xml:space="preserve">Onderbouwing:  </w:t>
      </w:r>
      <w:r>
        <w:rPr>
          <w:rFonts w:ascii="Calibri" w:hAnsi="Calibri"/>
          <w:sz w:val="22"/>
        </w:rPr>
        <w:t>Vult R-03: verwijdert de onjuiste instructie en nuanceert het toegestane IBC-gebruik.</w:t>
      </w:r>
    </w:p>
    <w:p>
      <w:pPr>
        <w:spacing w:after="120"/>
      </w:pPr>
      <w:r>
        <w:rPr>
          <w:rFonts w:ascii="Calibri" w:hAnsi="Calibri"/>
          <w:b w:val="0"/>
          <w:i w:val="0"/>
          <w:sz w:val="22"/>
        </w:rPr>
        <w:t>Status voor de redacteur: SPOED — Rev 2 vóór projectuitvoering.</w:t>
      </w:r>
    </w:p>
    <w:p>
      <w:pPr>
        <w:pStyle w:val="Heading2"/>
      </w:pPr>
      <w:r>
        <w:t>T-22 — Annex III — Transport: Transportdocumentatie</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T-22</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Annex III — Transport</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Transportdocumentatie</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Documentatie-eisen (vervoersdocument, verpakkingstype-aanduiding) zijn beperkt beschreven.</w:t>
      </w:r>
    </w:p>
    <w:p>
      <w:pPr>
        <w:spacing w:after="120"/>
      </w:pPr>
      <w:r>
        <w:rPr>
          <w:rFonts w:ascii="Calibri" w:hAnsi="Calibri"/>
          <w:b/>
          <w:sz w:val="22"/>
        </w:rPr>
        <w:t xml:space="preserve">Analyse:  </w:t>
      </w:r>
      <w:r>
        <w:rPr>
          <w:rFonts w:ascii="Calibri" w:hAnsi="Calibri"/>
          <w:sz w:val="22"/>
        </w:rPr>
        <w:t>ADR/IMDG vereisen volledige vervoersdocumentatie; offshore speelt ook zeetransport (IMDG) — nu onvoldoende gespecificeerd.</w:t>
      </w:r>
    </w:p>
    <w:p>
      <w:pPr>
        <w:spacing w:after="120"/>
      </w:pPr>
      <w:r>
        <w:rPr>
          <w:rFonts w:ascii="Calibri" w:hAnsi="Calibri"/>
          <w:b/>
          <w:sz w:val="22"/>
        </w:rPr>
        <w:t xml:space="preserve">Voorgestelde plaatsing:  </w:t>
      </w:r>
      <w:r>
        <w:rPr>
          <w:rFonts w:ascii="Calibri" w:hAnsi="Calibri"/>
          <w:sz w:val="22"/>
        </w:rPr>
        <w:t>Uitbreiding transportparagraaf.</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Each shipment includes: dangerous goods note (UN 2809 or applicable waste code), packing type and count, net quantity, consignor/consignee, emergency contact, and — for sea transport — IMDG-compliant documentation; the LSA/Mercury/Benzene statement card accompanies all loads.</w:t>
            </w:r>
          </w:p>
        </w:tc>
      </w:tr>
    </w:tbl>
    <w:p>
      <w:pPr>
        <w:spacing w:after="40"/>
      </w:pPr>
    </w:p>
    <w:p>
      <w:pPr>
        <w:spacing w:after="120"/>
      </w:pPr>
      <w:r>
        <w:rPr>
          <w:rFonts w:ascii="Calibri" w:hAnsi="Calibri"/>
          <w:b/>
          <w:sz w:val="22"/>
        </w:rPr>
        <w:t xml:space="preserve">Onderbouwing:  </w:t>
      </w:r>
      <w:r>
        <w:rPr>
          <w:rFonts w:ascii="Calibri" w:hAnsi="Calibri"/>
          <w:sz w:val="22"/>
        </w:rPr>
        <w:t>Compleet documentspoor voor multimodaal transport.</w:t>
      </w:r>
    </w:p>
    <w:p>
      <w:pPr>
        <w:spacing w:after="120"/>
      </w:pPr>
      <w:r>
        <w:rPr>
          <w:rFonts w:ascii="Calibri" w:hAnsi="Calibri"/>
          <w:b w:val="0"/>
          <w:i w:val="0"/>
          <w:sz w:val="22"/>
        </w:rPr>
        <w:t>Status voor de redacteur: Opnemen in eerstvolgende herzieningsronde.</w:t>
      </w:r>
    </w:p>
    <w:p>
      <w:pPr>
        <w:pStyle w:val="Heading2"/>
      </w:pPr>
      <w:r>
        <w:t>T-23 — Algemeen: SDS-raadpleging</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T-23</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Algemeen</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SDS-raadpleging</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De procedure bevat geen verwijzing naar raadpleging van veiligheidsinformatiebladen.</w:t>
      </w:r>
    </w:p>
    <w:p>
      <w:pPr>
        <w:spacing w:after="120"/>
      </w:pPr>
      <w:r>
        <w:rPr>
          <w:rFonts w:ascii="Calibri" w:hAnsi="Calibri"/>
          <w:b/>
          <w:sz w:val="22"/>
        </w:rPr>
        <w:t xml:space="preserve">Analyse:  </w:t>
      </w:r>
      <w:r>
        <w:rPr>
          <w:rFonts w:ascii="Calibri" w:hAnsi="Calibri"/>
          <w:sz w:val="22"/>
        </w:rPr>
        <w:t>REACH art. 31 vereist beschikbaarheid en raadpleegbaarheid; voor kwik en kwikhoudende producten moet SDS-gebruik procedureel verankerd zijn.</w:t>
      </w:r>
    </w:p>
    <w:p>
      <w:pPr>
        <w:spacing w:after="120"/>
      </w:pPr>
      <w:r>
        <w:rPr>
          <w:rFonts w:ascii="Calibri" w:hAnsi="Calibri"/>
          <w:b/>
          <w:sz w:val="22"/>
        </w:rPr>
        <w:t xml:space="preserve">Voorgestelde plaatsing:  </w:t>
      </w:r>
      <w:r>
        <w:rPr>
          <w:rFonts w:ascii="Calibri" w:hAnsi="Calibri"/>
          <w:sz w:val="22"/>
        </w:rPr>
        <w:t>Nieuwe zin in Sectie 4/7.</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Safety data sheets for mercury and all mercury-containing products used on site shall be obtained, reviewed by QHSE and accessible at the worksite and in the site HSE file before first use.</w:t>
            </w:r>
          </w:p>
        </w:tc>
      </w:tr>
    </w:tbl>
    <w:p>
      <w:pPr>
        <w:spacing w:after="40"/>
      </w:pPr>
    </w:p>
    <w:p>
      <w:pPr>
        <w:spacing w:after="120"/>
      </w:pPr>
      <w:r>
        <w:rPr>
          <w:rFonts w:ascii="Calibri" w:hAnsi="Calibri"/>
          <w:b/>
          <w:sz w:val="22"/>
        </w:rPr>
        <w:t xml:space="preserve">Onderbouwing:  </w:t>
      </w:r>
      <w:r>
        <w:rPr>
          <w:rFonts w:ascii="Calibri" w:hAnsi="Calibri"/>
          <w:sz w:val="22"/>
        </w:rPr>
        <w:t>REACH-conformiteit en praktische beschikbaarheid.</w:t>
      </w:r>
    </w:p>
    <w:p>
      <w:pPr>
        <w:spacing w:after="120"/>
      </w:pPr>
      <w:r>
        <w:rPr>
          <w:rFonts w:ascii="Calibri" w:hAnsi="Calibri"/>
          <w:b w:val="0"/>
          <w:i w:val="0"/>
          <w:sz w:val="22"/>
        </w:rPr>
        <w:t>Status voor de redacteur: Opnemen in eerstvolgende herzieningsronde.</w:t>
      </w:r>
    </w:p>
    <w:p>
      <w:pPr>
        <w:pStyle w:val="Heading2"/>
      </w:pPr>
      <w:r>
        <w:t>T-24 — Algemeen — documentbeheer: Revisielog en notatie</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T-24</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Algemeen — documentbeheer</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Revisielog en notatie</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P3</w:t>
            </w:r>
          </w:p>
        </w:tc>
      </w:tr>
      <w:tr>
        <w:tc>
          <w:tcPr>
            <w:tcW w:type="dxa" w:w="4759"/>
          </w:tcPr>
          <w:p>
            <w:r/>
            <w:r>
              <w:rPr>
                <w:rFonts w:ascii="Calibri" w:hAnsi="Calibri"/>
                <w:b w:val="0"/>
                <w:color w:val="1F2937"/>
                <w:sz w:val="19"/>
              </w:rPr>
              <w:t>Koppeling audit</w:t>
            </w:r>
          </w:p>
        </w:tc>
        <w:tc>
          <w:tcPr>
            <w:tcW w:type="dxa" w:w="4759"/>
          </w:tcPr>
          <w:p>
            <w:r/>
            <w:r>
              <w:rPr>
                <w:rFonts w:ascii="Calibri" w:hAnsi="Calibri"/>
                <w:b w:val="0"/>
                <w:color w:val="1F2937"/>
                <w:sz w:val="19"/>
              </w:rPr>
              <w:t>Zie analyse en rationale</w:t>
            </w:r>
          </w:p>
        </w:tc>
      </w:tr>
    </w:tbl>
    <w:p>
      <w:pPr>
        <w:spacing w:after="40"/>
      </w:pPr>
    </w:p>
    <w:p>
      <w:pPr>
        <w:spacing w:after="120"/>
      </w:pPr>
      <w:r>
        <w:rPr>
          <w:rFonts w:ascii="Calibri" w:hAnsi="Calibri"/>
          <w:b/>
          <w:sz w:val="22"/>
        </w:rPr>
        <w:t xml:space="preserve">Huidige situatie:  </w:t>
      </w:r>
      <w:r>
        <w:rPr>
          <w:rFonts w:ascii="Calibri" w:hAnsi="Calibri"/>
          <w:sz w:val="22"/>
        </w:rPr>
        <w:t>Revisiestatus Rev A/Rev 1 en voettekstnotatie (12/05/2026 vs May 2026) zijn inconsistent; de revision log bevat geen wijzigingsbeschrijving.</w:t>
      </w:r>
    </w:p>
    <w:p>
      <w:pPr>
        <w:spacing w:after="120"/>
      </w:pPr>
      <w:r>
        <w:rPr>
          <w:rFonts w:ascii="Calibri" w:hAnsi="Calibri"/>
          <w:b/>
          <w:sz w:val="22"/>
        </w:rPr>
        <w:t xml:space="preserve">Analyse:  </w:t>
      </w:r>
      <w:r>
        <w:rPr>
          <w:rFonts w:ascii="Calibri" w:hAnsi="Calibri"/>
          <w:sz w:val="22"/>
        </w:rPr>
        <w:t>Documentbeheer-technisch zwak: bij een ‘Issued for Implementation’-procedure moet elke revisie herleidbaar zijn wat er wijzigde (ISO 9001-logica).</w:t>
      </w:r>
    </w:p>
    <w:p>
      <w:pPr>
        <w:spacing w:after="120"/>
      </w:pPr>
      <w:r>
        <w:rPr>
          <w:rFonts w:ascii="Calibri" w:hAnsi="Calibri"/>
          <w:b/>
          <w:sz w:val="22"/>
        </w:rPr>
        <w:t xml:space="preserve">Voorgestelde plaatsing:  </w:t>
      </w:r>
      <w:r>
        <w:rPr>
          <w:rFonts w:ascii="Calibri" w:hAnsi="Calibri"/>
          <w:sz w:val="22"/>
        </w:rPr>
        <w:t>Uitbreiding revision log.</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Complete the revision log: Rev A — Issued for Comments (02-03-2026, initial issue); Rev 1 — Issued for Implementation (12-05-2026), description of change: incorporation of review comments (to be summarised per section). Unify date notation (DD-MM-YYYY) across cover, footers and headers.</w:t>
            </w:r>
          </w:p>
        </w:tc>
      </w:tr>
    </w:tbl>
    <w:p>
      <w:pPr>
        <w:spacing w:after="40"/>
      </w:pPr>
    </w:p>
    <w:p>
      <w:pPr>
        <w:spacing w:after="120"/>
      </w:pPr>
      <w:r>
        <w:rPr>
          <w:rFonts w:ascii="Calibri" w:hAnsi="Calibri"/>
          <w:b/>
          <w:sz w:val="22"/>
        </w:rPr>
        <w:t xml:space="preserve">Onderbouwing:  </w:t>
      </w:r>
      <w:r>
        <w:rPr>
          <w:rFonts w:ascii="Calibri" w:hAnsi="Calibri"/>
          <w:sz w:val="22"/>
        </w:rPr>
        <w:t>Professioneel documentbeheer; voorkomt versieverwarring in de keten.</w:t>
      </w:r>
    </w:p>
    <w:p>
      <w:pPr>
        <w:spacing w:after="120"/>
      </w:pPr>
      <w:r>
        <w:rPr>
          <w:rFonts w:ascii="Calibri" w:hAnsi="Calibri"/>
          <w:b w:val="0"/>
          <w:i w:val="0"/>
          <w:sz w:val="22"/>
        </w:rPr>
        <w:t>Status voor de redacteur: Opnemen in eerstvolgende herzieningsronde.</w:t>
      </w:r>
    </w:p>
    <w:p>
      <w:pPr>
        <w:pStyle w:val="Heading1"/>
      </w:pPr>
      <w:r>
        <w:t>3. Implementatievolgorde</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Volgorde</w:t>
            </w:r>
          </w:p>
        </w:tc>
        <w:tc>
          <w:tcPr>
            <w:tcW w:type="dxa" w:w="2379"/>
            <w:shd w:val="clear" w:color="auto" w:fill="003366"/>
          </w:tcPr>
          <w:p>
            <w:r/>
            <w:r>
              <w:rPr>
                <w:rFonts w:ascii="Calibri" w:hAnsi="Calibri"/>
                <w:b/>
                <w:color w:val="FFFFFF"/>
                <w:sz w:val="19"/>
              </w:rPr>
              <w:t>Voorstellen</w:t>
            </w:r>
          </w:p>
        </w:tc>
        <w:tc>
          <w:tcPr>
            <w:tcW w:type="dxa" w:w="2379"/>
            <w:shd w:val="clear" w:color="auto" w:fill="003366"/>
          </w:tcPr>
          <w:p>
            <w:r/>
            <w:r>
              <w:rPr>
                <w:rFonts w:ascii="Calibri" w:hAnsi="Calibri"/>
                <w:b/>
                <w:color w:val="FFFFFF"/>
                <w:sz w:val="19"/>
              </w:rPr>
              <w:t>Revisie</w:t>
            </w:r>
          </w:p>
        </w:tc>
        <w:tc>
          <w:tcPr>
            <w:tcW w:type="dxa" w:w="2379"/>
            <w:shd w:val="clear" w:color="auto" w:fill="003366"/>
          </w:tcPr>
          <w:p>
            <w:r/>
            <w:r>
              <w:rPr>
                <w:rFonts w:ascii="Calibri" w:hAnsi="Calibri"/>
                <w:b/>
                <w:color w:val="FFFFFF"/>
                <w:sz w:val="19"/>
              </w:rPr>
              <w:t>Rationale</w:t>
            </w:r>
          </w:p>
        </w:tc>
      </w:tr>
      <w:tr>
        <w:tc>
          <w:tcPr>
            <w:tcW w:type="dxa" w:w="2379"/>
          </w:tcPr>
          <w:p>
            <w:r/>
            <w:r>
              <w:rPr>
                <w:rFonts w:ascii="Calibri" w:hAnsi="Calibri"/>
                <w:b w:val="0"/>
                <w:color w:val="1F2937"/>
                <w:sz w:val="19"/>
              </w:rPr>
              <w:t>1</w:t>
            </w:r>
          </w:p>
        </w:tc>
        <w:tc>
          <w:tcPr>
            <w:tcW w:type="dxa" w:w="2379"/>
          </w:tcPr>
          <w:p>
            <w:r/>
            <w:r>
              <w:rPr>
                <w:rFonts w:ascii="Calibri" w:hAnsi="Calibri"/>
                <w:b w:val="0"/>
                <w:color w:val="1F2937"/>
                <w:sz w:val="19"/>
              </w:rPr>
              <w:t>T-03, T-05, T-06, T-09, T-10, T-19, T-21</w:t>
            </w:r>
          </w:p>
        </w:tc>
        <w:tc>
          <w:tcPr>
            <w:tcW w:type="dxa" w:w="2379"/>
          </w:tcPr>
          <w:p>
            <w:r/>
            <w:r>
              <w:rPr>
                <w:rFonts w:ascii="Calibri" w:hAnsi="Calibri"/>
                <w:b w:val="0"/>
                <w:color w:val="1F2937"/>
                <w:sz w:val="19"/>
              </w:rPr>
              <w:t>Rev 2 (spoed)</w:t>
            </w:r>
          </w:p>
        </w:tc>
        <w:tc>
          <w:tcPr>
            <w:tcW w:type="dxa" w:w="2379"/>
          </w:tcPr>
          <w:p>
            <w:r/>
            <w:r>
              <w:rPr>
                <w:rFonts w:ascii="Calibri" w:hAnsi="Calibri"/>
                <w:b w:val="0"/>
                <w:color w:val="1F2937"/>
                <w:sz w:val="19"/>
              </w:rPr>
              <w:t>CMR-regime + ADR — wettelijk verplicht (R-01/R-02/R-03)</w:t>
            </w:r>
          </w:p>
        </w:tc>
      </w:tr>
      <w:tr>
        <w:tc>
          <w:tcPr>
            <w:tcW w:type="dxa" w:w="2379"/>
          </w:tcPr>
          <w:p>
            <w:r/>
            <w:r>
              <w:rPr>
                <w:rFonts w:ascii="Calibri" w:hAnsi="Calibri"/>
                <w:b w:val="0"/>
                <w:color w:val="1F2937"/>
                <w:sz w:val="19"/>
              </w:rPr>
              <w:t>2</w:t>
            </w:r>
          </w:p>
        </w:tc>
        <w:tc>
          <w:tcPr>
            <w:tcW w:type="dxa" w:w="2379"/>
          </w:tcPr>
          <w:p>
            <w:r/>
            <w:r>
              <w:rPr>
                <w:rFonts w:ascii="Calibri" w:hAnsi="Calibri"/>
                <w:b w:val="0"/>
                <w:color w:val="1F2937"/>
                <w:sz w:val="19"/>
              </w:rPr>
              <w:t>T-01, T-04, T-07, T-08, T-11, T-12, T-13, T-16, T-23</w:t>
            </w:r>
          </w:p>
        </w:tc>
        <w:tc>
          <w:tcPr>
            <w:tcW w:type="dxa" w:w="2379"/>
          </w:tcPr>
          <w:p>
            <w:r/>
            <w:r>
              <w:rPr>
                <w:rFonts w:ascii="Calibri" w:hAnsi="Calibri"/>
                <w:b w:val="0"/>
                <w:color w:val="1F2937"/>
                <w:sz w:val="19"/>
              </w:rPr>
              <w:t>Rev 3</w:t>
            </w:r>
          </w:p>
        </w:tc>
        <w:tc>
          <w:tcPr>
            <w:tcW w:type="dxa" w:w="2379"/>
          </w:tcPr>
          <w:p>
            <w:r/>
            <w:r>
              <w:rPr>
                <w:rFonts w:ascii="Calibri" w:hAnsi="Calibri"/>
                <w:b w:val="0"/>
                <w:color w:val="1F2937"/>
                <w:sz w:val="19"/>
              </w:rPr>
              <w:t>Governance, CLP, RPE en EMVI</w:t>
            </w:r>
          </w:p>
        </w:tc>
      </w:tr>
      <w:tr>
        <w:tc>
          <w:tcPr>
            <w:tcW w:type="dxa" w:w="2379"/>
          </w:tcPr>
          <w:p>
            <w:r/>
            <w:r>
              <w:rPr>
                <w:rFonts w:ascii="Calibri" w:hAnsi="Calibri"/>
                <w:b w:val="0"/>
                <w:color w:val="1F2937"/>
                <w:sz w:val="19"/>
              </w:rPr>
              <w:t>3</w:t>
            </w:r>
          </w:p>
        </w:tc>
        <w:tc>
          <w:tcPr>
            <w:tcW w:type="dxa" w:w="2379"/>
          </w:tcPr>
          <w:p>
            <w:r/>
            <w:r>
              <w:rPr>
                <w:rFonts w:ascii="Calibri" w:hAnsi="Calibri"/>
                <w:b w:val="0"/>
                <w:color w:val="1F2937"/>
                <w:sz w:val="19"/>
              </w:rPr>
              <w:t>T-02, T-14, T-15, T-17, T-18, T-20, T-22</w:t>
            </w:r>
          </w:p>
        </w:tc>
        <w:tc>
          <w:tcPr>
            <w:tcW w:type="dxa" w:w="2379"/>
          </w:tcPr>
          <w:p>
            <w:r/>
            <w:r>
              <w:rPr>
                <w:rFonts w:ascii="Calibri" w:hAnsi="Calibri"/>
                <w:b w:val="0"/>
                <w:color w:val="1F2937"/>
                <w:sz w:val="19"/>
              </w:rPr>
              <w:t>Rev 3</w:t>
            </w:r>
          </w:p>
        </w:tc>
        <w:tc>
          <w:tcPr>
            <w:tcW w:type="dxa" w:w="2379"/>
          </w:tcPr>
          <w:p>
            <w:r/>
            <w:r>
              <w:rPr>
                <w:rFonts w:ascii="Calibri" w:hAnsi="Calibri"/>
                <w:b w:val="0"/>
                <w:color w:val="1F2937"/>
                <w:sz w:val="19"/>
              </w:rPr>
              <w:t>Ondersteunende verbeteringen</w:t>
            </w:r>
          </w:p>
        </w:tc>
      </w:tr>
      <w:tr>
        <w:tc>
          <w:tcPr>
            <w:tcW w:type="dxa" w:w="2379"/>
          </w:tcPr>
          <w:p>
            <w:r/>
            <w:r>
              <w:rPr>
                <w:rFonts w:ascii="Calibri" w:hAnsi="Calibri"/>
                <w:b w:val="0"/>
                <w:color w:val="1F2937"/>
                <w:sz w:val="19"/>
              </w:rPr>
              <w:t>4</w:t>
            </w:r>
          </w:p>
        </w:tc>
        <w:tc>
          <w:tcPr>
            <w:tcW w:type="dxa" w:w="2379"/>
          </w:tcPr>
          <w:p>
            <w:r/>
            <w:r>
              <w:rPr>
                <w:rFonts w:ascii="Calibri" w:hAnsi="Calibri"/>
                <w:b w:val="0"/>
                <w:color w:val="1F2937"/>
                <w:sz w:val="19"/>
              </w:rPr>
              <w:t>T-24</w:t>
            </w:r>
          </w:p>
        </w:tc>
        <w:tc>
          <w:tcPr>
            <w:tcW w:type="dxa" w:w="2379"/>
          </w:tcPr>
          <w:p>
            <w:r/>
            <w:r>
              <w:rPr>
                <w:rFonts w:ascii="Calibri" w:hAnsi="Calibri"/>
                <w:b w:val="0"/>
                <w:color w:val="1F2937"/>
                <w:sz w:val="19"/>
              </w:rPr>
              <w:t>Rev 3</w:t>
            </w:r>
          </w:p>
        </w:tc>
        <w:tc>
          <w:tcPr>
            <w:tcW w:type="dxa" w:w="2379"/>
          </w:tcPr>
          <w:p>
            <w:r/>
            <w:r>
              <w:rPr>
                <w:rFonts w:ascii="Calibri" w:hAnsi="Calibri"/>
                <w:b w:val="0"/>
                <w:color w:val="1F2937"/>
                <w:sz w:val="19"/>
              </w:rPr>
              <w:t>Documentbeheer</w:t>
            </w:r>
          </w:p>
        </w:tc>
      </w:tr>
    </w:tbl>
    <w:p>
      <w:pPr>
        <w:spacing w:after="40"/>
      </w:pPr>
    </w:p>
    <w:p>
      <w:pPr>
        <w:pStyle w:val="Heading1"/>
      </w:pPr>
      <w:r>
        <w:t>4. Cross-Reference Checklist na Implementatie</w:t>
      </w:r>
    </w:p>
    <w:p>
      <w:pPr>
        <w:pStyle w:val="ListNumber"/>
        <w:spacing w:after="60"/>
      </w:pPr>
      <w:r>
        <w:t>Controleer dat elke R-bevinding uit de audit afgedekt is door minimaal één T-voorstel.</w:t>
      </w:r>
    </w:p>
    <w:p>
      <w:pPr>
        <w:pStyle w:val="ListNumber"/>
        <w:spacing w:after="60"/>
      </w:pPr>
      <w:r>
        <w:t>Controleer dat sectienummers en verwijzingen in de herziene tekst consistent zijn (o.a. nieuwe paragrafen 6A/6B).</w:t>
      </w:r>
    </w:p>
    <w:p>
      <w:pPr>
        <w:pStyle w:val="ListNumber"/>
        <w:spacing w:after="60"/>
      </w:pPr>
      <w:r>
        <w:t>Controleer dat Annex I-flowchart de registratiestap bevat en Annex II de fit-test-verwijzing.</w:t>
      </w:r>
    </w:p>
    <w:p>
      <w:pPr>
        <w:pStyle w:val="ListNumber"/>
        <w:spacing w:after="60"/>
      </w:pPr>
      <w:r>
        <w:t>Controleer dat de referentielijst alle nieuw toegevoegde bronnen bevat.</w:t>
      </w:r>
    </w:p>
    <w:p>
      <w:pPr>
        <w:pStyle w:val="ListNumber"/>
        <w:spacing w:after="60"/>
      </w:pPr>
      <w:r>
        <w:t>Voer een consistente datumnotatie door (DD-MM-YYYY).</w:t>
      </w:r>
    </w:p>
    <w:p>
      <w:pPr>
        <w:pStyle w:val="ListNumber"/>
        <w:spacing w:after="60"/>
      </w:pPr>
      <w:r>
        <w:t>Laat de herziene procedure opnieuw toetsen tegen de Conformiteitsmatrix_Kwik_v1.0.xlsx.</w:t>
      </w:r>
    </w:p>
    <w:p>
      <w:pPr>
        <w:spacing w:after="80"/>
      </w:pPr>
      <w:r>
        <w:rPr>
          <w:rFonts w:ascii="Calibri" w:hAnsi="Calibri"/>
          <w:b w:val="0"/>
          <w:i/>
          <w:sz w:val="19"/>
        </w:rPr>
        <w:t>Kwik Tekstueel Verbeteradvies v3.0 — JvG Consultancy — 24-08-2026 — Vertrouwelijk.</w:t>
      </w:r>
    </w:p>
    <w:sectPr w:rsidR="00FC693F" w:rsidRPr="0006063C" w:rsidSect="00034616">
      <w:headerReference w:type="default" r:id="rId9"/>
      <w:footerReference w:type="default" r:id="rId10"/>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03366"/>
        <w:sz w:val="16"/>
      </w:rPr>
      <w:t>JvG Consultancy — Tekstueel Verbeteradvies v3.0 — 24-08-2026 — Vertrouwelijk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5231"/>
          <wp:docPr id="1" name="Picture 1"/>
          <wp:cNvGraphicFramePr>
            <a:graphicFrameLocks noChangeAspect="1"/>
          </wp:cNvGraphicFramePr>
          <a:graphic>
            <a:graphicData uri="http://schemas.openxmlformats.org/drawingml/2006/picture">
              <pic:pic>
                <pic:nvPicPr>
                  <pic:cNvPr id="0" name="jvg-logo-small-upgrade.png"/>
                  <pic:cNvPicPr/>
                </pic:nvPicPr>
                <pic:blipFill>
                  <a:blip r:embed="rId1"/>
                  <a:stretch>
                    <a:fillRect/>
                  </a:stretch>
                </pic:blipFill>
                <pic:spPr>
                  <a:xfrm>
                    <a:off x="0" y="0"/>
                    <a:ext cx="720000" cy="645231"/>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