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KENNISDOSSIER</w:t>
      </w:r>
    </w:p>
    <w:p>
      <w:pPr>
        <w:spacing w:after="40"/>
        <w:jc w:val="center"/>
      </w:pPr>
      <w:r>
        <w:rPr>
          <w:rFonts w:ascii="Calibri" w:hAnsi="Calibri"/>
          <w:b/>
          <w:i w:val="0"/>
          <w:color w:val="003366"/>
          <w:sz w:val="32"/>
        </w:rPr>
        <w:t>Kwik (Mercury) — Veilige Omgang</w:t>
      </w:r>
    </w:p>
    <w:p>
      <w:pPr>
        <w:spacing w:after="320"/>
        <w:jc w:val="center"/>
      </w:pPr>
      <w:r>
        <w:rPr>
          <w:rFonts w:ascii="Calibri" w:hAnsi="Calibri"/>
          <w:b w:val="0"/>
          <w:i w:val="0"/>
          <w:sz w:val="24"/>
        </w:rPr>
        <w:t>Audit Project: Koole 003.057 / Wintershall Decommissioning</w:t>
      </w:r>
    </w:p>
    <w:p>
      <w:pPr>
        <w:spacing w:after="80"/>
        <w:jc w:val="center"/>
      </w:pPr>
      <w:r>
        <w:rPr>
          <w:rFonts w:ascii="Calibri" w:hAnsi="Calibri"/>
          <w:b w:val="0"/>
          <w:i w:val="0"/>
          <w:sz w:val="20"/>
        </w:rPr>
        <w:t>Gebaseerd op MSD 003.057 "Safe Handling of Mercury" Rev 1 (12-05-2026)</w:t>
      </w:r>
    </w:p>
    <w:p>
      <w:pPr>
        <w:spacing w:after="80"/>
        <w:jc w:val="center"/>
      </w:pPr>
      <w:r>
        <w:rPr>
          <w:rFonts w:ascii="Calibri" w:hAnsi="Calibri"/>
          <w:b w:val="0"/>
          <w:i w:val="0"/>
          <w:sz w:val="20"/>
        </w:rPr>
        <w:t>Documentreferentie: JvG-KD-KWK-2026-002</w:t>
      </w:r>
    </w:p>
    <w:p>
      <w:pPr>
        <w:spacing w:after="400"/>
        <w:jc w:val="center"/>
      </w:pPr>
      <w:r>
        <w:rPr>
          <w:rFonts w:ascii="Calibri" w:hAnsi="Calibri"/>
          <w:b w:val="0"/>
          <w:i/>
          <w:sz w:val="20"/>
        </w:rPr>
        <w:t>Status: Definitief — Vertrouwelijk</w:t>
      </w:r>
    </w:p>
    <w:p>
      <w:pPr>
        <w:pStyle w:val="Heading1"/>
      </w:pPr>
      <w:r>
        <w:t>1. Management Samenvatting</w:t>
      </w:r>
    </w:p>
    <w:p>
      <w:pPr>
        <w:spacing w:after="120"/>
      </w:pPr>
      <w:r>
        <w:rPr>
          <w:rFonts w:ascii="Calibri" w:hAnsi="Calibri"/>
          <w:b w:val="0"/>
          <w:i w:val="0"/>
          <w:sz w:val="22"/>
        </w:rPr>
        <w:t>Dit kennisdossier is samengesteld ter ondersteuning van de compliance audit van de Koole-procedure MSD 003.057 “Safe Handling of Mercury” (Rev 1, 12-05-2026) in het kader van het Wintershall-decommissioningproject (small piece removal, offshore Noordzee). Het dossier bundelt de inhoudelijke achtergrond die nodig is om de procedure op het juiste diepteniveau te toetsen: de fysisch-chemische eigenschappen van kwik, de toxicologie, het volledige wettelijke kader en de verplichte processtappen.</w:t>
      </w:r>
    </w:p>
    <w:p>
      <w:pPr>
        <w:spacing w:after="120"/>
      </w:pPr>
      <w:r>
        <w:rPr>
          <w:rFonts w:ascii="Calibri" w:hAnsi="Calibri"/>
          <w:b w:val="0"/>
          <w:i w:val="0"/>
          <w:sz w:val="22"/>
        </w:rPr>
        <w:t>De belangrijkste conclusie vooraf is dat kwikdamp een van de meest verraderlijke arborisico’s vormt in de offshore olie- en gassector: de damp is kleurloos, reukloos en zwaarder dan lucht, en hoopt zich op in lage en slecht geventileerde ruimten — precies de locaties waar decommissioningwerk wordt uitgevoerd. Kwik is bovendien als reprotoxische stof (Repr. 1B, H360D) onderworpen aan het strenge CMR-regime van het Arbobesluit, met specifieke verplichtingen voor medische surveillance en blootstellingsregistratie die bij reguliere gevaarlijke stoffen niet gelden.</w:t>
      </w:r>
    </w:p>
    <w:p>
      <w:pPr>
        <w:spacing w:after="120"/>
      </w:pPr>
      <w:r>
        <w:rPr>
          <w:rFonts w:ascii="Calibri" w:hAnsi="Calibri"/>
          <w:b w:val="0"/>
          <w:i w:val="0"/>
          <w:sz w:val="22"/>
        </w:rPr>
        <w:t>Koole-procedure 003.057 is technisch volwassen (correcte grenswaarde, concrete meetstrategie, gedetailleerde RPE-bandindeling), maar de audit toonde twee wettelijk verplichte hiaten met hoge ernst: ontbrekende medische surveillance (Arbobesluit art. 4.10a/4.10b) en ontbrekend CMR-blootstellingsregister (art. 4.15). Daarnaast bevat Annex III een transportpassage (IBC tanks, ADR) die mogelijk in strijd is met het ADR-verbod op IBC-transport van vloeibaar kwik (UN 2809).</w:t>
      </w:r>
    </w:p>
    <w:p>
      <w:pPr>
        <w:pStyle w:val="Heading1"/>
      </w:pPr>
      <w:r>
        <w:t>2. Kwik: Eigenschappen en Gevaren</w:t>
      </w:r>
    </w:p>
    <w:p>
      <w:pPr>
        <w:pStyle w:val="Heading2"/>
      </w:pPr>
      <w:r>
        <w:t>2.1 Wat is kwik?</w:t>
      </w:r>
    </w:p>
    <w:p>
      <w:pPr>
        <w:spacing w:after="120"/>
      </w:pPr>
      <w:r>
        <w:rPr>
          <w:rFonts w:ascii="Calibri" w:hAnsi="Calibri"/>
          <w:b w:val="0"/>
          <w:i w:val="0"/>
          <w:sz w:val="22"/>
        </w:rPr>
        <w:t>Kwik (Hg, van hydrargyrum, “zilver water”; CAS 7439-97-6) is het enige metaal dat bij kamertemperatuur vloeibaar is. Het komt voor in drie hoofdvormen: metallisch kwik (Hg⁰), anorganische kwikverbindingen (Hg⁺, Hg²⁺ en zouten zoals kalomel Hg₂Cl₂ en sublimaat HgCl₂) en organische kwikverbindingen (met name methylkwik [CH₃-Hg]⁺, gevormd door bacteriële activiteit in water en bodem). Voor offshore-operaties is metallisch kwik en de daarvan afkomstige damp de dominante vorm: elementair kwik verdampt bij kamertemperatuur en de verdamping neemt significant toe bij temperatuursstijging.</w:t>
      </w:r>
    </w:p>
    <w:p>
      <w:pPr>
        <w:pStyle w:val="ListBullet"/>
        <w:spacing w:after="60"/>
      </w:pPr>
      <w:r>
        <w:t>Metallisch kwik (Hg⁰): zilverkleurige vloeistof; hoge oppervlaktespanning vormt druppels; soortelijk gewicht ≈ 13,6 kg/liter; onoplosbaar in water, oplosbaar in zuren.</w:t>
      </w:r>
    </w:p>
    <w:p>
      <w:pPr>
        <w:pStyle w:val="ListBullet"/>
        <w:spacing w:after="60"/>
      </w:pPr>
      <w:r>
        <w:t>Kwikdamp: kleurloos, reukloos, giftig en zwaarder dan lucht — accumulatie in lage punten, besloten ruimten en slecht geventileerde locaties.</w:t>
      </w:r>
    </w:p>
    <w:p>
      <w:pPr>
        <w:pStyle w:val="ListBullet"/>
        <w:spacing w:after="60"/>
      </w:pPr>
      <w:r>
        <w:t>Anorganische verbindingen: ontstaan door oxidatie van Hg⁰; sommige zouten zijn historisch gebruikt in medische toepassingen en batterijen.</w:t>
      </w:r>
    </w:p>
    <w:p>
      <w:pPr>
        <w:pStyle w:val="ListBullet"/>
        <w:spacing w:after="60"/>
      </w:pPr>
      <w:r>
        <w:t>Organische verbindingen (methylkwik): bioaccumulatie in de voedselketen, vooral vis en zee-organismen; voor arbeidshygiëne offshore minder relevant dan Hg⁰, wel voor het milieudossier (OSPAR).</w:t>
      </w:r>
    </w:p>
    <w:p>
      <w:pPr>
        <w:pStyle w:val="Heading2"/>
      </w:pPr>
      <w:r>
        <w:t>2.2 Kwik in offshore olie- en gasinstallaties</w:t>
      </w:r>
    </w:p>
    <w:p>
      <w:pPr>
        <w:spacing w:after="120"/>
      </w:pPr>
      <w:r>
        <w:rPr>
          <w:rFonts w:ascii="Calibri" w:hAnsi="Calibri"/>
          <w:b w:val="0"/>
          <w:i w:val="0"/>
          <w:sz w:val="22"/>
        </w:rPr>
        <w:t>Aardgas en aardolie uit sommige reservoirs bevatten natuurlijke kwiksporen. Door decennia van productie slaat kwik neer in leidingsystemen en apparatuur. Typische accumulatiepunten zijn: lage punten van systemen (low points), vaten en separators, flenzen en kleppen, manometers en instrumentatie, gasbehandelings- en droogsystemen, en slib en afzettingen in tanks. Bij opening van systemen tijdens decommissioning kan vrij kwik als druppels of als damp vrijkomen. Vanwege het hoge soortelijk gewicht is kwik moeilijk te verwijderen door spoelen met water: druppels blijven achter in lage punten en worden bij verstoring opnieuw bron van dampvorming. Corrosielagen kunnen kwik verbergen — een visueel schoon systeem is daarmee nog niet kwikvrij.</w:t>
      </w:r>
    </w:p>
    <w:p>
      <w:pPr>
        <w:pStyle w:val="Heading2"/>
      </w:pPr>
      <w:r>
        <w:t>2.3 Gezondheidseffecten</w:t>
      </w:r>
    </w:p>
    <w:p>
      <w:pPr>
        <w:spacing w:after="120"/>
      </w:pPr>
      <w:r>
        <w:rPr>
          <w:rFonts w:ascii="Calibri" w:hAnsi="Calibri"/>
          <w:b w:val="0"/>
          <w:i w:val="0"/>
          <w:sz w:val="22"/>
        </w:rPr>
        <w:t>Opname gebeurt voor circa 80% via inademing van kwikdamp. Opname via de spijsvertering en intacte huid is beperkt, maar kwik kan het lichaam binnenkomen via open wonden en beschadigde huid; opname via de ogen is gering. Kwikdamp is lipofiel en passeert de bloed-hersenbarrière en de placenta.</w:t>
      </w:r>
    </w:p>
    <w:p>
      <w:pPr>
        <w:pStyle w:val="ListBullet"/>
        <w:spacing w:after="60"/>
      </w:pPr>
      <w:r>
        <w:t>Kortdurende blootstelling: metaalachtige smaak, irritatie van de luchtwegen, misselijkheid, koorts (metalen rookkoorts), vermoeidheid, hoofdpijn, trillingen van oogleden, lippen of vingers, psychologische en gedragsveranderingen (erethisme).</w:t>
      </w:r>
    </w:p>
    <w:p>
      <w:pPr>
        <w:pStyle w:val="ListBullet"/>
        <w:spacing w:after="60"/>
      </w:pPr>
      <w:r>
        <w:t>Langetermijn- en herhaalde blootstelling: schade aan het centraal zenuwstelsel (tremor, geheugen- en concentratieverlies, persoonlijkheidsverandering), hersenen en nieren (proximale tubulusschade, proteïnurie).</w:t>
      </w:r>
    </w:p>
    <w:p>
      <w:pPr>
        <w:pStyle w:val="ListBullet"/>
        <w:spacing w:after="60"/>
      </w:pPr>
      <w:r>
        <w:t>Reproductietoxiciteit: Repr. 1B (H360D) — kans op schade aan het ongeboren kind; dit activeert het CMR-regime van het Arbobesluit.</w:t>
      </w:r>
    </w:p>
    <w:p>
      <w:pPr>
        <w:pStyle w:val="ListBullet"/>
        <w:spacing w:after="60"/>
      </w:pPr>
      <w:r>
        <w:t>Zware vergiftiging is zeldzaam en treedt vooral op bij verhitting van kwik in besloten of slecht geventileerde ruimten; matige vergiftiging hangt samen met langdurige dampblootstelling. Effecten zijn vaak reversibel, maar zeer hoge blootstelling kan blijvende schade veroorzaken.</w:t>
      </w:r>
    </w:p>
    <w:p>
      <w:pPr>
        <w:pStyle w:val="Heading2"/>
      </w:pPr>
      <w:r>
        <w:t>2.4 Biologische monitoring</w:t>
      </w:r>
    </w:p>
    <w:p>
      <w:pPr>
        <w:spacing w:after="120"/>
      </w:pPr>
      <w:r>
        <w:rPr>
          <w:rFonts w:ascii="Calibri" w:hAnsi="Calibri"/>
          <w:b w:val="0"/>
          <w:i w:val="0"/>
          <w:sz w:val="22"/>
        </w:rPr>
        <w:t>Kwik in urine is de gevestigde biomarker voor blootstelling aan elementair kwik en anorganische verbindingen (ACGIH-BEI: 20 µg/g creatinine pre-shift; vergelijkbare Nederlandse praktijkreferentie). Voor de audit is relevant dat het Arbobesluit voor reprotoxische stoffen de werkgever verplicht arbeidsgezondheidskundig onderzoek aan te bieden (art. 4.10a); biologische monitoring is daarbij een bewezen instrument, in overleg met de bedrijfsarts.</w:t>
      </w:r>
    </w:p>
    <w:p>
      <w:pPr>
        <w:pStyle w:val="Heading1"/>
      </w:pPr>
      <w:r>
        <w:t>3. Wettelijk Kader</w:t>
      </w:r>
    </w:p>
    <w:p>
      <w:pPr>
        <w:pStyle w:val="Heading2"/>
      </w:pPr>
      <w:r>
        <w:t>3.1 Primaire wetgeving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Instrument</w:t>
            </w:r>
          </w:p>
        </w:tc>
        <w:tc>
          <w:tcPr>
            <w:tcW w:type="dxa" w:w="4759"/>
            <w:shd w:val="clear" w:color="auto" w:fill="003366"/>
          </w:tcPr>
          <w:p>
            <w:r/>
            <w:r>
              <w:rPr>
                <w:rFonts w:ascii="Calibri" w:hAnsi="Calibri"/>
                <w:b/>
                <w:color w:val="FFFFFF"/>
                <w:sz w:val="19"/>
              </w:rPr>
              <w:t>Relevantie voor kwik / offshore decommissioning</w:t>
            </w:r>
          </w:p>
        </w:tc>
      </w:tr>
      <w:tr>
        <w:tc>
          <w:tcPr>
            <w:tcW w:type="dxa" w:w="4759"/>
          </w:tcPr>
          <w:p>
            <w:r/>
            <w:r>
              <w:rPr>
                <w:rFonts w:ascii="Calibri" w:hAnsi="Calibri"/>
                <w:b w:val="0"/>
                <w:color w:val="1F2937"/>
                <w:sz w:val="19"/>
              </w:rPr>
              <w:t>Arbeidsomstandighedenwet (2025)</w:t>
            </w:r>
          </w:p>
        </w:tc>
        <w:tc>
          <w:tcPr>
            <w:tcW w:type="dxa" w:w="4759"/>
          </w:tcPr>
          <w:p>
            <w:r/>
            <w:r>
              <w:rPr>
                <w:rFonts w:ascii="Calibri" w:hAnsi="Calibri"/>
                <w:b w:val="0"/>
                <w:color w:val="1F2937"/>
                <w:sz w:val="19"/>
              </w:rPr>
              <w:t>Algemene zorgplicht (art. 3), RI&amp;E-plicht (art. 5), instructieplicht (art. 8); basis voor het hele toetskader.</w:t>
            </w:r>
          </w:p>
        </w:tc>
      </w:tr>
      <w:tr>
        <w:tc>
          <w:tcPr>
            <w:tcW w:type="dxa" w:w="4759"/>
          </w:tcPr>
          <w:p>
            <w:r/>
            <w:r>
              <w:rPr>
                <w:rFonts w:ascii="Calibri" w:hAnsi="Calibri"/>
                <w:b w:val="0"/>
                <w:color w:val="1F2937"/>
                <w:sz w:val="19"/>
              </w:rPr>
              <w:t>Arbobesluit Hoofdstuk 4 (gevaarlijke stoffen)</w:t>
            </w:r>
          </w:p>
        </w:tc>
        <w:tc>
          <w:tcPr>
            <w:tcW w:type="dxa" w:w="4759"/>
          </w:tcPr>
          <w:p>
            <w:r/>
            <w:r>
              <w:rPr>
                <w:rFonts w:ascii="Calibri" w:hAnsi="Calibri"/>
                <w:b w:val="0"/>
                <w:color w:val="1F2937"/>
                <w:sz w:val="19"/>
              </w:rPr>
              <w:t>Art. 4.1 RI&amp;E gevaarlijke stoffen; art. 4.2 maatregelenhiërarchie; art. 4.3 voorlichting; art. 4.5 PBM; art. 4.10 metingen; art. 4.10a/b medische surveillance (CMR); art. 4.13 RI&amp;E CMR; art. 4.15 blootstellingsregister (CMR); art. 4.21 abnormale blootstelling.</w:t>
            </w:r>
          </w:p>
        </w:tc>
      </w:tr>
      <w:tr>
        <w:tc>
          <w:tcPr>
            <w:tcW w:type="dxa" w:w="4759"/>
          </w:tcPr>
          <w:p>
            <w:r/>
            <w:r>
              <w:rPr>
                <w:rFonts w:ascii="Calibri" w:hAnsi="Calibri"/>
                <w:b w:val="0"/>
                <w:color w:val="1F2937"/>
                <w:sz w:val="19"/>
              </w:rPr>
              <w:t>Arbeidsomstandighedenregeling afd. 4.4</w:t>
            </w:r>
          </w:p>
        </w:tc>
        <w:tc>
          <w:tcPr>
            <w:tcW w:type="dxa" w:w="4759"/>
          </w:tcPr>
          <w:p>
            <w:r/>
            <w:r>
              <w:rPr>
                <w:rFonts w:ascii="Calibri" w:hAnsi="Calibri"/>
                <w:b w:val="0"/>
                <w:color w:val="1F2937"/>
                <w:sz w:val="19"/>
              </w:rPr>
              <w:t>Wettelijke grenswaarden: TGG-8u kwikdamp 0,02 mg/m³; geen STEL vastgesteld.</w:t>
            </w:r>
          </w:p>
        </w:tc>
      </w:tr>
      <w:tr>
        <w:tc>
          <w:tcPr>
            <w:tcW w:type="dxa" w:w="4759"/>
          </w:tcPr>
          <w:p>
            <w:r/>
            <w:r>
              <w:rPr>
                <w:rFonts w:ascii="Calibri" w:hAnsi="Calibri"/>
                <w:b w:val="0"/>
                <w:color w:val="1F2937"/>
                <w:sz w:val="19"/>
              </w:rPr>
              <w:t>EU-Kwikverordening (EU) 2017/852</w:t>
            </w:r>
          </w:p>
        </w:tc>
        <w:tc>
          <w:tcPr>
            <w:tcW w:type="dxa" w:w="4759"/>
          </w:tcPr>
          <w:p>
            <w:r/>
            <w:r>
              <w:rPr>
                <w:rFonts w:ascii="Calibri" w:hAnsi="Calibri"/>
                <w:b w:val="0"/>
                <w:color w:val="1F2937"/>
                <w:sz w:val="19"/>
              </w:rPr>
              <w:t>Uitfaseringsregime, opslag- en afvalvereisten voor kwik; relevant voor tijdelijke opslag en overdracht aan erkende ontvangers.</w:t>
            </w:r>
          </w:p>
        </w:tc>
      </w:tr>
      <w:tr>
        <w:tc>
          <w:tcPr>
            <w:tcW w:type="dxa" w:w="4759"/>
          </w:tcPr>
          <w:p>
            <w:r/>
            <w:r>
              <w:rPr>
                <w:rFonts w:ascii="Calibri" w:hAnsi="Calibri"/>
                <w:b w:val="0"/>
                <w:color w:val="1F2937"/>
                <w:sz w:val="19"/>
              </w:rPr>
              <w:t>Besluit kwik en kwikhoudende producten</w:t>
            </w:r>
          </w:p>
        </w:tc>
        <w:tc>
          <w:tcPr>
            <w:tcW w:type="dxa" w:w="4759"/>
          </w:tcPr>
          <w:p>
            <w:r/>
            <w:r>
              <w:rPr>
                <w:rFonts w:ascii="Calibri" w:hAnsi="Calibri"/>
                <w:b w:val="0"/>
                <w:color w:val="1F2937"/>
                <w:sz w:val="19"/>
              </w:rPr>
              <w:t>Nationale implementatie van verbod, opslag en afvoer van kwik en kwikhoudende producten.</w:t>
            </w:r>
          </w:p>
        </w:tc>
      </w:tr>
      <w:tr>
        <w:tc>
          <w:tcPr>
            <w:tcW w:type="dxa" w:w="4759"/>
          </w:tcPr>
          <w:p>
            <w:r/>
            <w:r>
              <w:rPr>
                <w:rFonts w:ascii="Calibri" w:hAnsi="Calibri"/>
                <w:b w:val="0"/>
                <w:color w:val="1F2937"/>
                <w:sz w:val="19"/>
              </w:rPr>
              <w:t>REACH (EG) 1907/2006 / CLP (EG) 1272/2008</w:t>
            </w:r>
          </w:p>
        </w:tc>
        <w:tc>
          <w:tcPr>
            <w:tcW w:type="dxa" w:w="4759"/>
          </w:tcPr>
          <w:p>
            <w:r/>
            <w:r>
              <w:rPr>
                <w:rFonts w:ascii="Calibri" w:hAnsi="Calibri"/>
                <w:b w:val="0"/>
                <w:color w:val="1F2937"/>
                <w:sz w:val="19"/>
              </w:rPr>
              <w:t>SDS-plicht (art. 31 REACH); geharmoniseerde classificatie kwik: Repr. 1B H360D, STOT RE 1 H372, Aquatic Acute 1 H400, Aquatic Chronic 1 H410 (index 080-001-00-0).</w:t>
            </w:r>
          </w:p>
        </w:tc>
      </w:tr>
      <w:tr>
        <w:tc>
          <w:tcPr>
            <w:tcW w:type="dxa" w:w="4759"/>
          </w:tcPr>
          <w:p>
            <w:r/>
            <w:r>
              <w:rPr>
                <w:rFonts w:ascii="Calibri" w:hAnsi="Calibri"/>
                <w:b w:val="0"/>
                <w:color w:val="1F2937"/>
                <w:sz w:val="19"/>
              </w:rPr>
              <w:t>Besluit activiteiten leefomgeving (Bal) / Wet milieubeheer</w:t>
            </w:r>
          </w:p>
        </w:tc>
        <w:tc>
          <w:tcPr>
            <w:tcW w:type="dxa" w:w="4759"/>
          </w:tcPr>
          <w:p>
            <w:r/>
            <w:r>
              <w:rPr>
                <w:rFonts w:ascii="Calibri" w:hAnsi="Calibri"/>
                <w:b w:val="0"/>
                <w:color w:val="1F2937"/>
                <w:sz w:val="19"/>
              </w:rPr>
              <w:t>Afvalstroomregime: Eural-code 06 04 20* (kwikhoudend afval &gt;3% massaconcentratie), begeleidingsbrief, erkende verwerker.</w:t>
            </w:r>
          </w:p>
        </w:tc>
      </w:tr>
      <w:tr>
        <w:tc>
          <w:tcPr>
            <w:tcW w:type="dxa" w:w="4759"/>
          </w:tcPr>
          <w:p>
            <w:r/>
            <w:r>
              <w:rPr>
                <w:rFonts w:ascii="Calibri" w:hAnsi="Calibri"/>
                <w:b w:val="0"/>
                <w:color w:val="1F2937"/>
                <w:sz w:val="19"/>
              </w:rPr>
              <w:t>ADR / IMDG</w:t>
            </w:r>
          </w:p>
        </w:tc>
        <w:tc>
          <w:tcPr>
            <w:tcW w:type="dxa" w:w="4759"/>
          </w:tcPr>
          <w:p>
            <w:r/>
            <w:r>
              <w:rPr>
                <w:rFonts w:ascii="Calibri" w:hAnsi="Calibri"/>
                <w:b w:val="0"/>
                <w:color w:val="1F2937"/>
                <w:sz w:val="19"/>
              </w:rPr>
              <w:t>Vervoer vloeibaar kwik: UN 2809, klasse 8, PG III, labels 8+6.1, tunnelcode (E); vervoer in IBC’s, bulk en large packagings VERBODEN (ADR tabel A).</w:t>
            </w:r>
          </w:p>
        </w:tc>
      </w:tr>
      <w:tr>
        <w:tc>
          <w:tcPr>
            <w:tcW w:type="dxa" w:w="4759"/>
          </w:tcPr>
          <w:p>
            <w:r/>
            <w:r>
              <w:rPr>
                <w:rFonts w:ascii="Calibri" w:hAnsi="Calibri"/>
                <w:b w:val="0"/>
                <w:color w:val="1F2937"/>
                <w:sz w:val="19"/>
              </w:rPr>
              <w:t>Mijnbouwwet / Staatstoezicht op de Mijnen</w:t>
            </w:r>
          </w:p>
        </w:tc>
        <w:tc>
          <w:tcPr>
            <w:tcW w:type="dxa" w:w="4759"/>
          </w:tcPr>
          <w:p>
            <w:r/>
            <w:r>
              <w:rPr>
                <w:rFonts w:ascii="Calibri" w:hAnsi="Calibri"/>
                <w:b w:val="0"/>
                <w:color w:val="1F2937"/>
                <w:sz w:val="19"/>
              </w:rPr>
              <w:t>Toezicht op mijnbouwinstallaties op het Nederlandse continentale plat; arbeidsomstandighedenvereisten voor offshore-installaties.</w:t>
            </w:r>
          </w:p>
        </w:tc>
      </w:tr>
      <w:tr>
        <w:tc>
          <w:tcPr>
            <w:tcW w:type="dxa" w:w="4759"/>
          </w:tcPr>
          <w:p>
            <w:r/>
            <w:r>
              <w:rPr>
                <w:rFonts w:ascii="Calibri" w:hAnsi="Calibri"/>
                <w:b w:val="0"/>
                <w:color w:val="1F2937"/>
                <w:sz w:val="19"/>
              </w:rPr>
              <w:t>OSPAR / MARPOL</w:t>
            </w:r>
          </w:p>
        </w:tc>
        <w:tc>
          <w:tcPr>
            <w:tcW w:type="dxa" w:w="4759"/>
          </w:tcPr>
          <w:p>
            <w:r/>
            <w:r>
              <w:rPr>
                <w:rFonts w:ascii="Calibri" w:hAnsi="Calibri"/>
                <w:b w:val="0"/>
                <w:color w:val="1F2937"/>
                <w:sz w:val="19"/>
              </w:rPr>
              <w:t>Milieuverplichtingen Noordzee: voorkomen van lozing van kwikhoudend afval en water.</w:t>
            </w:r>
          </w:p>
        </w:tc>
      </w:tr>
    </w:tbl>
    <w:p>
      <w:pPr>
        <w:spacing w:after="40"/>
      </w:pPr>
    </w:p>
    <w:p>
      <w:pPr>
        <w:pStyle w:val="Heading2"/>
      </w:pPr>
      <w:r>
        <w:t>3.2 Grenswaarden en classificatie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Parameter</w:t>
            </w:r>
          </w:p>
        </w:tc>
        <w:tc>
          <w:tcPr>
            <w:tcW w:type="dxa" w:w="3173"/>
            <w:shd w:val="clear" w:color="auto" w:fill="003366"/>
          </w:tcPr>
          <w:p>
            <w:r/>
            <w:r>
              <w:rPr>
                <w:rFonts w:ascii="Calibri" w:hAnsi="Calibri"/>
                <w:b/>
                <w:color w:val="FFFFFF"/>
                <w:sz w:val="19"/>
              </w:rPr>
              <w:t>Waarde</w:t>
            </w:r>
          </w:p>
        </w:tc>
        <w:tc>
          <w:tcPr>
            <w:tcW w:type="dxa" w:w="3173"/>
            <w:shd w:val="clear" w:color="auto" w:fill="003366"/>
          </w:tcPr>
          <w:p>
            <w:r/>
            <w:r>
              <w:rPr>
                <w:rFonts w:ascii="Calibri" w:hAnsi="Calibri"/>
                <w:b/>
                <w:color w:val="FFFFFF"/>
                <w:sz w:val="19"/>
              </w:rPr>
              <w:t>Bron</w:t>
            </w:r>
          </w:p>
        </w:tc>
      </w:tr>
      <w:tr>
        <w:tc>
          <w:tcPr>
            <w:tcW w:type="dxa" w:w="3173"/>
          </w:tcPr>
          <w:p>
            <w:r/>
            <w:r>
              <w:rPr>
                <w:rFonts w:ascii="Calibri" w:hAnsi="Calibri"/>
                <w:b w:val="0"/>
                <w:color w:val="1F2937"/>
                <w:sz w:val="19"/>
              </w:rPr>
              <w:t>TGG-8u kwikdamp (NL)</w:t>
            </w:r>
          </w:p>
        </w:tc>
        <w:tc>
          <w:tcPr>
            <w:tcW w:type="dxa" w:w="3173"/>
          </w:tcPr>
          <w:p>
            <w:r/>
            <w:r>
              <w:rPr>
                <w:rFonts w:ascii="Calibri" w:hAnsi="Calibri"/>
                <w:b w:val="0"/>
                <w:color w:val="1F2937"/>
                <w:sz w:val="19"/>
              </w:rPr>
              <w:t>0,02 mg/m³ (≈ 0,0024 ppm)</w:t>
            </w:r>
          </w:p>
        </w:tc>
        <w:tc>
          <w:tcPr>
            <w:tcW w:type="dxa" w:w="3173"/>
          </w:tcPr>
          <w:p>
            <w:r/>
            <w:r>
              <w:rPr>
                <w:rFonts w:ascii="Calibri" w:hAnsi="Calibri"/>
                <w:b w:val="0"/>
                <w:color w:val="1F2937"/>
                <w:sz w:val="19"/>
              </w:rPr>
              <w:t>Arboregeling / SER-lijst</w:t>
            </w:r>
          </w:p>
        </w:tc>
      </w:tr>
      <w:tr>
        <w:tc>
          <w:tcPr>
            <w:tcW w:type="dxa" w:w="3173"/>
          </w:tcPr>
          <w:p>
            <w:r/>
            <w:r>
              <w:rPr>
                <w:rFonts w:ascii="Calibri" w:hAnsi="Calibri"/>
                <w:b w:val="0"/>
                <w:color w:val="1F2937"/>
                <w:sz w:val="19"/>
              </w:rPr>
              <w:t>STEL kwikdamp</w:t>
            </w:r>
          </w:p>
        </w:tc>
        <w:tc>
          <w:tcPr>
            <w:tcW w:type="dxa" w:w="3173"/>
          </w:tcPr>
          <w:p>
            <w:r/>
            <w:r>
              <w:rPr>
                <w:rFonts w:ascii="Calibri" w:hAnsi="Calibri"/>
                <w:b w:val="0"/>
                <w:color w:val="1F2937"/>
                <w:sz w:val="19"/>
              </w:rPr>
              <w:t>Bestaat niet in Nederland</w:t>
            </w:r>
          </w:p>
        </w:tc>
        <w:tc>
          <w:tcPr>
            <w:tcW w:type="dxa" w:w="3173"/>
          </w:tcPr>
          <w:p>
            <w:r/>
            <w:r>
              <w:rPr>
                <w:rFonts w:ascii="Calibri" w:hAnsi="Calibri"/>
                <w:b w:val="0"/>
                <w:color w:val="1F2937"/>
                <w:sz w:val="19"/>
              </w:rPr>
              <w:t>Arboregeling / SER-lijst</w:t>
            </w:r>
          </w:p>
        </w:tc>
      </w:tr>
      <w:tr>
        <w:tc>
          <w:tcPr>
            <w:tcW w:type="dxa" w:w="3173"/>
          </w:tcPr>
          <w:p>
            <w:r/>
            <w:r>
              <w:rPr>
                <w:rFonts w:ascii="Calibri" w:hAnsi="Calibri"/>
                <w:b w:val="0"/>
                <w:color w:val="1F2937"/>
                <w:sz w:val="19"/>
              </w:rPr>
              <w:t>CLP-classificatie elementair kwik</w:t>
            </w:r>
          </w:p>
        </w:tc>
        <w:tc>
          <w:tcPr>
            <w:tcW w:type="dxa" w:w="3173"/>
          </w:tcPr>
          <w:p>
            <w:r/>
            <w:r>
              <w:rPr>
                <w:rFonts w:ascii="Calibri" w:hAnsi="Calibri"/>
                <w:b w:val="0"/>
                <w:color w:val="1F2937"/>
                <w:sz w:val="19"/>
              </w:rPr>
              <w:t>Repr. 1B (H360D); STOT RE 1 (H372); Aquatic Acute 1 (H400); Aquatic Chronic 1 (H410)</w:t>
            </w:r>
          </w:p>
        </w:tc>
        <w:tc>
          <w:tcPr>
            <w:tcW w:type="dxa" w:w="3173"/>
          </w:tcPr>
          <w:p>
            <w:r/>
            <w:r>
              <w:rPr>
                <w:rFonts w:ascii="Calibri" w:hAnsi="Calibri"/>
                <w:b w:val="0"/>
                <w:color w:val="1F2937"/>
                <w:sz w:val="19"/>
              </w:rPr>
              <w:t>ECHA CLP Bijlage VI, index 080-001-00-0, CAS 7439-97-6</w:t>
            </w:r>
          </w:p>
        </w:tc>
      </w:tr>
      <w:tr>
        <w:tc>
          <w:tcPr>
            <w:tcW w:type="dxa" w:w="3173"/>
          </w:tcPr>
          <w:p>
            <w:r/>
            <w:r>
              <w:rPr>
                <w:rFonts w:ascii="Calibri" w:hAnsi="Calibri"/>
                <w:b w:val="0"/>
                <w:color w:val="1F2937"/>
                <w:sz w:val="19"/>
              </w:rPr>
              <w:t>ADR vloeibaar kwik</w:t>
            </w:r>
          </w:p>
        </w:tc>
        <w:tc>
          <w:tcPr>
            <w:tcW w:type="dxa" w:w="3173"/>
          </w:tcPr>
          <w:p>
            <w:r/>
            <w:r>
              <w:rPr>
                <w:rFonts w:ascii="Calibri" w:hAnsi="Calibri"/>
                <w:b w:val="0"/>
                <w:color w:val="1F2937"/>
                <w:sz w:val="19"/>
              </w:rPr>
              <w:t>UN 2809, klasse 8, PG III, tunnelcode (E); IBC/bulk/large packaging verboden</w:t>
            </w:r>
          </w:p>
        </w:tc>
        <w:tc>
          <w:tcPr>
            <w:tcW w:type="dxa" w:w="3173"/>
          </w:tcPr>
          <w:p>
            <w:r/>
            <w:r>
              <w:rPr>
                <w:rFonts w:ascii="Calibri" w:hAnsi="Calibri"/>
                <w:b w:val="0"/>
                <w:color w:val="1F2937"/>
                <w:sz w:val="19"/>
              </w:rPr>
              <w:t>ADR deel 3, tabel A</w:t>
            </w:r>
          </w:p>
        </w:tc>
      </w:tr>
      <w:tr>
        <w:tc>
          <w:tcPr>
            <w:tcW w:type="dxa" w:w="3173"/>
          </w:tcPr>
          <w:p>
            <w:r/>
            <w:r>
              <w:rPr>
                <w:rFonts w:ascii="Calibri" w:hAnsi="Calibri"/>
                <w:b w:val="0"/>
                <w:color w:val="1F2937"/>
                <w:sz w:val="19"/>
              </w:rPr>
              <w:t>Eural-kwalificatie kwikafval</w:t>
            </w:r>
          </w:p>
        </w:tc>
        <w:tc>
          <w:tcPr>
            <w:tcW w:type="dxa" w:w="3173"/>
          </w:tcPr>
          <w:p>
            <w:r/>
            <w:r>
              <w:rPr>
                <w:rFonts w:ascii="Calibri" w:hAnsi="Calibri"/>
                <w:b w:val="0"/>
                <w:color w:val="1F2937"/>
                <w:sz w:val="19"/>
              </w:rPr>
              <w:t>&gt;3% massaconcentratie kwik</w:t>
            </w:r>
          </w:p>
        </w:tc>
        <w:tc>
          <w:tcPr>
            <w:tcW w:type="dxa" w:w="3173"/>
          </w:tcPr>
          <w:p>
            <w:r/>
            <w:r>
              <w:rPr>
                <w:rFonts w:ascii="Calibri" w:hAnsi="Calibri"/>
                <w:b w:val="0"/>
                <w:color w:val="1F2937"/>
                <w:sz w:val="19"/>
              </w:rPr>
              <w:t>Europese afvalstoffenlijst / Eural 06 04 20*</w:t>
            </w:r>
          </w:p>
        </w:tc>
      </w:tr>
    </w:tbl>
    <w:p>
      <w:pPr>
        <w:spacing w:after="40"/>
      </w:pPr>
    </w:p>
    <w:p>
      <w:pPr>
        <w:pStyle w:val="Heading2"/>
      </w:pPr>
      <w:r>
        <w:t>3.3 Arbo-Informatiebladen en normen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Referentie</w:t>
            </w:r>
          </w:p>
        </w:tc>
        <w:tc>
          <w:tcPr>
            <w:tcW w:type="dxa" w:w="4759"/>
            <w:shd w:val="clear" w:color="auto" w:fill="003366"/>
          </w:tcPr>
          <w:p>
            <w:r/>
            <w:r>
              <w:rPr>
                <w:rFonts w:ascii="Calibri" w:hAnsi="Calibri"/>
                <w:b/>
                <w:color w:val="FFFFFF"/>
                <w:sz w:val="19"/>
              </w:rPr>
              <w:t>Inhoud</w:t>
            </w:r>
          </w:p>
        </w:tc>
      </w:tr>
      <w:tr>
        <w:tc>
          <w:tcPr>
            <w:tcW w:type="dxa" w:w="4759"/>
          </w:tcPr>
          <w:p>
            <w:r/>
            <w:r>
              <w:rPr>
                <w:rFonts w:ascii="Calibri" w:hAnsi="Calibri"/>
                <w:b w:val="0"/>
                <w:color w:val="1F2937"/>
                <w:sz w:val="19"/>
              </w:rPr>
              <w:t>AI-blad 31 — Gevaarlijke stoffen</w:t>
            </w:r>
          </w:p>
        </w:tc>
        <w:tc>
          <w:tcPr>
            <w:tcW w:type="dxa" w:w="4759"/>
          </w:tcPr>
          <w:p>
            <w:r/>
            <w:r>
              <w:rPr>
                <w:rFonts w:ascii="Calibri" w:hAnsi="Calibri"/>
                <w:b w:val="0"/>
                <w:color w:val="1F2937"/>
                <w:sz w:val="19"/>
              </w:rPr>
              <w:t>Basiskader inventarisatie, maatregelenhiërarchie, PBM-beleid.</w:t>
            </w:r>
          </w:p>
        </w:tc>
      </w:tr>
      <w:tr>
        <w:tc>
          <w:tcPr>
            <w:tcW w:type="dxa" w:w="4759"/>
          </w:tcPr>
          <w:p>
            <w:r/>
            <w:r>
              <w:rPr>
                <w:rFonts w:ascii="Calibri" w:hAnsi="Calibri"/>
                <w:b w:val="0"/>
                <w:color w:val="1F2937"/>
                <w:sz w:val="19"/>
              </w:rPr>
              <w:t>AI-blad 18 — Persoonlijke beschermingsmiddelen</w:t>
            </w:r>
          </w:p>
        </w:tc>
        <w:tc>
          <w:tcPr>
            <w:tcW w:type="dxa" w:w="4759"/>
          </w:tcPr>
          <w:p>
            <w:r/>
            <w:r>
              <w:rPr>
                <w:rFonts w:ascii="Calibri" w:hAnsi="Calibri"/>
                <w:b w:val="0"/>
                <w:color w:val="1F2937"/>
                <w:sz w:val="19"/>
              </w:rPr>
              <w:t>Selectie, gebruik en fit-testing van ademhalingsbescherming (RPE).</w:t>
            </w:r>
          </w:p>
        </w:tc>
      </w:tr>
      <w:tr>
        <w:tc>
          <w:tcPr>
            <w:tcW w:type="dxa" w:w="4759"/>
          </w:tcPr>
          <w:p>
            <w:r/>
            <w:r>
              <w:rPr>
                <w:rFonts w:ascii="Calibri" w:hAnsi="Calibri"/>
                <w:b w:val="0"/>
                <w:color w:val="1F2937"/>
                <w:sz w:val="19"/>
              </w:rPr>
              <w:t>AI-blad 64 — Laboratoria</w:t>
            </w:r>
          </w:p>
        </w:tc>
        <w:tc>
          <w:tcPr>
            <w:tcW w:type="dxa" w:w="4759"/>
          </w:tcPr>
          <w:p>
            <w:r/>
            <w:r>
              <w:rPr>
                <w:rFonts w:ascii="Calibri" w:hAnsi="Calibri"/>
                <w:b w:val="0"/>
                <w:color w:val="1F2937"/>
                <w:sz w:val="19"/>
              </w:rPr>
              <w:t>Kwikhygiëne bij analytisch werk; referentiekader voor laboratoriumafhandeling van monsters.</w:t>
            </w:r>
          </w:p>
        </w:tc>
      </w:tr>
      <w:tr>
        <w:tc>
          <w:tcPr>
            <w:tcW w:type="dxa" w:w="4759"/>
          </w:tcPr>
          <w:p>
            <w:r/>
            <w:r>
              <w:rPr>
                <w:rFonts w:ascii="Calibri" w:hAnsi="Calibri"/>
                <w:b w:val="0"/>
                <w:color w:val="1F2937"/>
                <w:sz w:val="19"/>
              </w:rPr>
              <w:t>NOGEPA-richtlijnen (o.a. Standard 86)</w:t>
            </w:r>
          </w:p>
        </w:tc>
        <w:tc>
          <w:tcPr>
            <w:tcW w:type="dxa" w:w="4759"/>
          </w:tcPr>
          <w:p>
            <w:r/>
            <w:r>
              <w:rPr>
                <w:rFonts w:ascii="Calibri" w:hAnsi="Calibri"/>
                <w:b w:val="0"/>
                <w:color w:val="1F2937"/>
                <w:sz w:val="19"/>
              </w:rPr>
              <w:t>Branchekader offshore olie &amp; gas Nederland; best practice voor kwikmanagement offshore.</w:t>
            </w:r>
          </w:p>
        </w:tc>
      </w:tr>
      <w:tr>
        <w:tc>
          <w:tcPr>
            <w:tcW w:type="dxa" w:w="4759"/>
          </w:tcPr>
          <w:p>
            <w:r/>
            <w:r>
              <w:rPr>
                <w:rFonts w:ascii="Calibri" w:hAnsi="Calibri"/>
                <w:b w:val="0"/>
                <w:color w:val="1F2937"/>
                <w:sz w:val="19"/>
              </w:rPr>
              <w:t>NEN-EN 689 / NEN-EN 482</w:t>
            </w:r>
          </w:p>
        </w:tc>
        <w:tc>
          <w:tcPr>
            <w:tcW w:type="dxa" w:w="4759"/>
          </w:tcPr>
          <w:p>
            <w:r/>
            <w:r>
              <w:rPr>
                <w:rFonts w:ascii="Calibri" w:hAnsi="Calibri"/>
                <w:b w:val="0"/>
                <w:color w:val="1F2937"/>
                <w:sz w:val="19"/>
              </w:rPr>
              <w:t>Meetstrategie en meetprocedures werkplekblootstelling (zijdelings van toepassing op dampmetingen).</w:t>
            </w:r>
          </w:p>
        </w:tc>
      </w:tr>
    </w:tbl>
    <w:p>
      <w:pPr>
        <w:spacing w:after="40"/>
      </w:pPr>
    </w:p>
    <w:p>
      <w:pPr>
        <w:pStyle w:val="Heading2"/>
      </w:pPr>
      <w:r>
        <w:t>3.4 Verplichte processtappen voor CMR-stoffen (kwikdamp)</w:t>
      </w:r>
    </w:p>
    <w:p>
      <w:pPr>
        <w:pStyle w:val="ListNumber"/>
        <w:spacing w:after="60"/>
      </w:pPr>
      <w:r>
        <w:t>Risicoinventarisatie en -evaluatie met specifieke kwikcomponent: bronnen, blootstellingsroutes, aard/mate/duur (Arbobesluit art. 4.1, 4.13).</w:t>
      </w:r>
    </w:p>
    <w:p>
      <w:pPr>
        <w:pStyle w:val="ListNumber"/>
        <w:spacing w:after="60"/>
      </w:pPr>
      <w:r>
        <w:t>Maatregelen volgens de hiërarchie: bronmaatregelen, collectieve maatregelen, individuele maatregelen, persoonlijke beschermingsmiddelen (art. 4.2).</w:t>
      </w:r>
    </w:p>
    <w:p>
      <w:pPr>
        <w:pStyle w:val="ListNumber"/>
        <w:spacing w:after="60"/>
      </w:pPr>
      <w:r>
        <w:t>Meetstrategie: baseline- en taakmetingen kwikdamp met geschikt instrument (bv. Jerome J405), gekoppeld aan de TGG-8u (art. 4.10).</w:t>
      </w:r>
    </w:p>
    <w:p>
      <w:pPr>
        <w:pStyle w:val="ListNumber"/>
        <w:spacing w:after="60"/>
      </w:pPr>
      <w:r>
        <w:t>Voorlichting en instructie aan alle blootgestelde werknemers en subcontractors (Arbowet art. 8; Arbobesluit art. 4.3).</w:t>
      </w:r>
    </w:p>
    <w:p>
      <w:pPr>
        <w:pStyle w:val="ListNumber"/>
        <w:spacing w:after="60"/>
      </w:pPr>
      <w:r>
        <w:t>PBM/RPE-regime met filterbeperkingen, gebruiksduur en — bij tight-fitting maskers — fit-test (AI-blad 18).</w:t>
      </w:r>
    </w:p>
    <w:p>
      <w:pPr>
        <w:pStyle w:val="ListNumber"/>
        <w:spacing w:after="60"/>
      </w:pPr>
      <w:r>
        <w:t>Aanbieden arbeidsgezondheidskundig onderzoek vóór aanvang, tussentijds en na beëindiging van de blootstelling (art. 4.10a/4.10b, CMR-regime).</w:t>
      </w:r>
    </w:p>
    <w:p>
      <w:pPr>
        <w:pStyle w:val="ListNumber"/>
        <w:spacing w:after="60"/>
      </w:pPr>
      <w:r>
        <w:t>Blootstellingsregister: lijst van (mogelijk) blootgestelde werknemers met ondergane blootelling, inzage- en afschriftrecht (art. 4.15).</w:t>
      </w:r>
    </w:p>
    <w:p>
      <w:pPr>
        <w:pStyle w:val="ListNumber"/>
        <w:spacing w:after="60"/>
      </w:pPr>
      <w:r>
        <w:t>Bewaren van blootstellings- en meetgegevens (CMR-regime: langdurige bewaartermijn; bij verwijdering van de stof 40 jaar).</w:t>
      </w:r>
    </w:p>
    <w:p>
      <w:pPr>
        <w:pStyle w:val="ListNumber"/>
        <w:spacing w:after="60"/>
      </w:pPr>
      <w:r>
        <w:t>EMVI/calamiteitenprotocol bij abnormale blootstelling: onmiddellijke informering van werknemers, onderzoek, OR/PVT (art. 4.21).</w:t>
      </w:r>
    </w:p>
    <w:p>
      <w:pPr>
        <w:pStyle w:val="ListNumber"/>
        <w:spacing w:after="60"/>
      </w:pPr>
      <w:r>
        <w:t>Afvalstroomregime: Eural-classificatie, gescheiden inzameling, begeleidingsbrief, overdracht aan erkende verwerker (Bal/Wet milieubeheer).</w:t>
      </w:r>
    </w:p>
    <w:p>
      <w:pPr>
        <w:pStyle w:val="ListNumber"/>
        <w:spacing w:after="60"/>
      </w:pPr>
      <w:r>
        <w:t>Transportdocumentatie en -verpakking conform ADR/IMDG; geen IBC’s voor UN 2809.</w:t>
      </w:r>
    </w:p>
    <w:p>
      <w:pPr>
        <w:pStyle w:val="Heading1"/>
      </w:pPr>
      <w:r>
        <w:t>4. Toetsing Koole-procedure 003.057</w:t>
      </w:r>
    </w:p>
    <w:p>
      <w:pPr>
        <w:pStyle w:val="Heading2"/>
      </w:pPr>
      <w:r>
        <w:t>4.1 Document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Titel</w:t>
            </w:r>
          </w:p>
        </w:tc>
        <w:tc>
          <w:tcPr>
            <w:tcW w:type="dxa" w:w="4759"/>
          </w:tcPr>
          <w:p>
            <w:r/>
            <w:r>
              <w:rPr>
                <w:rFonts w:ascii="Calibri" w:hAnsi="Calibri"/>
                <w:b w:val="0"/>
                <w:color w:val="1F2937"/>
                <w:sz w:val="19"/>
              </w:rPr>
              <w:t>003.057 Safe Handling of Mercury</w:t>
            </w:r>
          </w:p>
        </w:tc>
      </w:tr>
      <w:tr>
        <w:tc>
          <w:tcPr>
            <w:tcW w:type="dxa" w:w="4759"/>
          </w:tcPr>
          <w:p>
            <w:r/>
            <w:r>
              <w:rPr>
                <w:rFonts w:ascii="Calibri" w:hAnsi="Calibri"/>
                <w:b w:val="0"/>
                <w:color w:val="1F2937"/>
                <w:sz w:val="19"/>
              </w:rPr>
              <w:t>Revisie</w:t>
            </w:r>
          </w:p>
        </w:tc>
        <w:tc>
          <w:tcPr>
            <w:tcW w:type="dxa" w:w="4759"/>
          </w:tcPr>
          <w:p>
            <w:r/>
            <w:r>
              <w:rPr>
                <w:rFonts w:ascii="Calibri" w:hAnsi="Calibri"/>
                <w:b w:val="0"/>
                <w:color w:val="1F2937"/>
                <w:sz w:val="19"/>
              </w:rPr>
              <w:t>Rev 1 (12-05-2026); Rev A (02-03-2026) Issued for Comments</w:t>
            </w:r>
          </w:p>
        </w:tc>
      </w:tr>
      <w:tr>
        <w:tc>
          <w:tcPr>
            <w:tcW w:type="dxa" w:w="4759"/>
          </w:tcPr>
          <w:p>
            <w:r/>
            <w:r>
              <w:rPr>
                <w:rFonts w:ascii="Calibri" w:hAnsi="Calibri"/>
                <w:b w:val="0"/>
                <w:color w:val="1F2937"/>
                <w:sz w:val="19"/>
              </w:rPr>
              <w:t>Goedkeuring</w:t>
            </w:r>
          </w:p>
        </w:tc>
        <w:tc>
          <w:tcPr>
            <w:tcW w:type="dxa" w:w="4759"/>
          </w:tcPr>
          <w:p>
            <w:r/>
            <w:r>
              <w:rPr>
                <w:rFonts w:ascii="Calibri" w:hAnsi="Calibri"/>
                <w:b w:val="0"/>
                <w:color w:val="1F2937"/>
                <w:sz w:val="19"/>
              </w:rPr>
              <w:t>Prepared: R. Versluis / Checked: D. Wijngaard / Approved: W. van Lingen</w:t>
            </w:r>
          </w:p>
        </w:tc>
      </w:tr>
      <w:tr>
        <w:tc>
          <w:tcPr>
            <w:tcW w:type="dxa" w:w="4759"/>
          </w:tcPr>
          <w:p>
            <w:r/>
            <w:r>
              <w:rPr>
                <w:rFonts w:ascii="Calibri" w:hAnsi="Calibri"/>
                <w:b w:val="0"/>
                <w:color w:val="1F2937"/>
                <w:sz w:val="19"/>
              </w:rPr>
              <w:t>Omvang</w:t>
            </w:r>
          </w:p>
        </w:tc>
        <w:tc>
          <w:tcPr>
            <w:tcW w:type="dxa" w:w="4759"/>
          </w:tcPr>
          <w:p>
            <w:r/>
            <w:r>
              <w:rPr>
                <w:rFonts w:ascii="Calibri" w:hAnsi="Calibri"/>
                <w:b w:val="0"/>
                <w:color w:val="1F2937"/>
                <w:sz w:val="19"/>
              </w:rPr>
              <w:t>22 pagina’s incl. Annex I (flowchart), Annex II (RPE-banden), Annex III (verpakking/transport)</w:t>
            </w:r>
          </w:p>
        </w:tc>
      </w:tr>
      <w:tr>
        <w:tc>
          <w:tcPr>
            <w:tcW w:type="dxa" w:w="4759"/>
          </w:tcPr>
          <w:p>
            <w:r/>
            <w:r>
              <w:rPr>
                <w:rFonts w:ascii="Calibri" w:hAnsi="Calibri"/>
                <w:b w:val="0"/>
                <w:color w:val="1F2937"/>
                <w:sz w:val="19"/>
              </w:rPr>
              <w:t>Revisiestatus</w:t>
            </w:r>
          </w:p>
        </w:tc>
        <w:tc>
          <w:tcPr>
            <w:tcW w:type="dxa" w:w="4759"/>
          </w:tcPr>
          <w:p>
            <w:r/>
            <w:r>
              <w:rPr>
                <w:rFonts w:ascii="Calibri" w:hAnsi="Calibri"/>
                <w:b w:val="0"/>
                <w:color w:val="1F2937"/>
                <w:sz w:val="19"/>
              </w:rPr>
              <w:t>Issued for Implementation</w:t>
            </w:r>
          </w:p>
        </w:tc>
      </w:tr>
    </w:tbl>
    <w:p>
      <w:pPr>
        <w:spacing w:after="40"/>
      </w:pPr>
    </w:p>
    <w:p>
      <w:pPr>
        <w:pStyle w:val="Heading2"/>
      </w:pPr>
      <w:r>
        <w:t>4.2 Kritieke tekortkomingen (samenvatting)</w:t>
      </w:r>
    </w:p>
    <w:p>
      <w:pPr>
        <w:pStyle w:val="ListBullet"/>
        <w:spacing w:after="60"/>
      </w:pPr>
      <w:r>
        <w:t>Medische surveillance/biologische monitoring ontbreekt volledig (art. 4.10a/4.10b) — R-01, HOOG.</w:t>
      </w:r>
    </w:p>
    <w:p>
      <w:pPr>
        <w:pStyle w:val="ListBullet"/>
        <w:spacing w:after="60"/>
      </w:pPr>
      <w:r>
        <w:t>Geen CMR-blootstellingsregister van blootgestelde werknemers (art. 4.15) — R-02, HOOG.</w:t>
      </w:r>
    </w:p>
    <w:p>
      <w:pPr>
        <w:pStyle w:val="ListBullet"/>
        <w:spacing w:after="60"/>
      </w:pPr>
      <w:r>
        <w:t>Annex III-transportpassage (IBC tanks, ADR) mogelijk in strijd met het IBC-verbod voor UN 2809 — R-03, HOOG (verificatie vereist).</w:t>
      </w:r>
    </w:p>
    <w:p>
      <w:pPr>
        <w:pStyle w:val="ListBullet"/>
        <w:spacing w:after="60"/>
      </w:pPr>
      <w:r>
        <w:t>Geen CLP-hazardinformatie (H360D/H372/H400/H410) en etiketteisen (R-04, MIDDEN).</w:t>
      </w:r>
    </w:p>
    <w:p>
      <w:pPr>
        <w:pStyle w:val="ListBullet"/>
        <w:spacing w:after="60"/>
      </w:pPr>
      <w:r>
        <w:t>Geen fit-test-eis voor tight-fitting RPE (R-05, MIDDEN); EMVI beperkt tot spill-opschoning (R-09, MIDDEN).</w:t>
      </w:r>
    </w:p>
    <w:p>
      <w:pPr>
        <w:pStyle w:val="ListBullet"/>
        <w:spacing w:after="60"/>
      </w:pPr>
      <w:r>
        <w:t>RI&amp;E/TRA-koppeling niet verankerd (R-06, MIDDEN); training niet uitgewerkt (R-08, MIDDEN).</w:t>
      </w:r>
    </w:p>
    <w:p>
      <w:pPr>
        <w:pStyle w:val="ListBullet"/>
        <w:spacing w:after="60"/>
      </w:pPr>
      <w:r>
        <w:t>Mijnbouwwet wel in referentietabel maar niet uitgewerkt (R-07, LAAG); Jerome J405 niet Ex-rated voor ATEX-zones (R-11, LAAG); verwerkersverificatie ontbreekt (R-10, LAAG).</w:t>
      </w:r>
    </w:p>
    <w:p>
      <w:pPr>
        <w:pStyle w:val="Heading2"/>
      </w:pPr>
      <w:r>
        <w:t>4.3 Sterke punten</w:t>
      </w:r>
    </w:p>
    <w:p>
      <w:pPr>
        <w:pStyle w:val="ListBullet"/>
        <w:spacing w:after="60"/>
      </w:pPr>
      <w:r>
        <w:t>Grenswaarde 0,02 mg/m³ en afwezigheid van een STEL correct verwoord.</w:t>
      </w:r>
    </w:p>
    <w:p>
      <w:pPr>
        <w:pStyle w:val="ListBullet"/>
        <w:spacing w:after="60"/>
      </w:pPr>
      <w:r>
        <w:t>Meetstrategie met frequenties per activiteit; extra metingen bij temperatuursstijging (&gt;5°C), hot work en scopewijziging.</w:t>
      </w:r>
    </w:p>
    <w:p>
      <w:pPr>
        <w:pStyle w:val="ListBullet"/>
        <w:spacing w:after="60"/>
      </w:pPr>
      <w:r>
        <w:t>RPE-bandindeling (Annex II) inclusief filterbeperkingen (max. 2 werkdagen) en rotatie-/pauzeschema’s.</w:t>
      </w:r>
    </w:p>
    <w:p>
      <w:pPr>
        <w:pStyle w:val="ListBullet"/>
        <w:spacing w:after="60"/>
      </w:pPr>
      <w:r>
        <w:t>Volledige maatregelenhiërarchie: bron → collectief → individueel → PBM.</w:t>
      </w:r>
    </w:p>
    <w:p>
      <w:pPr>
        <w:pStyle w:val="ListBullet"/>
        <w:spacing w:after="60"/>
      </w:pPr>
      <w:r>
        <w:t>Herbesmettingsbewustzijn: corrosielagen; “schoon is niet kwikvrij”.</w:t>
      </w:r>
    </w:p>
    <w:p>
      <w:pPr>
        <w:pStyle w:val="ListBullet"/>
        <w:spacing w:after="60"/>
      </w:pPr>
      <w:r>
        <w:t>Eural 3%-drempel correct toegepast; verpakkingsinstructies (blindflensen, pondliner-skip) boven branchestandaard; LSA/Mercury/Benzene Statement Card voor transport.</w:t>
      </w:r>
    </w:p>
    <w:p>
      <w:pPr>
        <w:pStyle w:val="Heading1"/>
      </w:pPr>
      <w:r>
        <w:t>5. Meetstrategie en Instrumentatie</w:t>
      </w:r>
    </w:p>
    <w:p>
      <w:pPr>
        <w:pStyle w:val="Heading2"/>
      </w:pPr>
      <w:r>
        <w:t>5.1 Direct aflezbare instrumenten</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Instrument</w:t>
            </w:r>
          </w:p>
        </w:tc>
        <w:tc>
          <w:tcPr>
            <w:tcW w:type="dxa" w:w="2379"/>
            <w:shd w:val="clear" w:color="auto" w:fill="003366"/>
          </w:tcPr>
          <w:p>
            <w:r/>
            <w:r>
              <w:rPr>
                <w:rFonts w:ascii="Calibri" w:hAnsi="Calibri"/>
                <w:b/>
                <w:color w:val="FFFFFF"/>
                <w:sz w:val="19"/>
              </w:rPr>
              <w:t>Principe</w:t>
            </w:r>
          </w:p>
        </w:tc>
        <w:tc>
          <w:tcPr>
            <w:tcW w:type="dxa" w:w="2379"/>
            <w:shd w:val="clear" w:color="auto" w:fill="003366"/>
          </w:tcPr>
          <w:p>
            <w:r/>
            <w:r>
              <w:rPr>
                <w:rFonts w:ascii="Calibri" w:hAnsi="Calibri"/>
                <w:b/>
                <w:color w:val="FFFFFF"/>
                <w:sz w:val="19"/>
              </w:rPr>
              <w:t>Bereik</w:t>
            </w:r>
          </w:p>
        </w:tc>
        <w:tc>
          <w:tcPr>
            <w:tcW w:type="dxa" w:w="2379"/>
            <w:shd w:val="clear" w:color="auto" w:fill="003366"/>
          </w:tcPr>
          <w:p>
            <w:r/>
            <w:r>
              <w:rPr>
                <w:rFonts w:ascii="Calibri" w:hAnsi="Calibri"/>
                <w:b/>
                <w:color w:val="FFFFFF"/>
                <w:sz w:val="19"/>
              </w:rPr>
              <w:t>Overwegingen</w:t>
            </w:r>
          </w:p>
        </w:tc>
      </w:tr>
      <w:tr>
        <w:tc>
          <w:tcPr>
            <w:tcW w:type="dxa" w:w="2379"/>
          </w:tcPr>
          <w:p>
            <w:r/>
            <w:r>
              <w:rPr>
                <w:rFonts w:ascii="Calibri" w:hAnsi="Calibri"/>
                <w:b w:val="0"/>
                <w:color w:val="1F2937"/>
                <w:sz w:val="19"/>
              </w:rPr>
              <w:t>Jerome J405</w:t>
            </w:r>
          </w:p>
        </w:tc>
        <w:tc>
          <w:tcPr>
            <w:tcW w:type="dxa" w:w="2379"/>
          </w:tcPr>
          <w:p>
            <w:r/>
            <w:r>
              <w:rPr>
                <w:rFonts w:ascii="Calibri" w:hAnsi="Calibri"/>
                <w:b w:val="0"/>
                <w:color w:val="1F2937"/>
                <w:sz w:val="19"/>
              </w:rPr>
              <w:t>Gold film / atomic absorption</w:t>
            </w:r>
          </w:p>
        </w:tc>
        <w:tc>
          <w:tcPr>
            <w:tcW w:type="dxa" w:w="2379"/>
          </w:tcPr>
          <w:p>
            <w:r/>
            <w:r>
              <w:rPr>
                <w:rFonts w:ascii="Calibri" w:hAnsi="Calibri"/>
                <w:b w:val="0"/>
                <w:color w:val="1F2937"/>
                <w:sz w:val="19"/>
              </w:rPr>
              <w:t>0,5 – 999 µg/m³</w:t>
            </w:r>
          </w:p>
        </w:tc>
        <w:tc>
          <w:tcPr>
            <w:tcW w:type="dxa" w:w="2379"/>
          </w:tcPr>
          <w:p>
            <w:r/>
            <w:r>
              <w:rPr>
                <w:rFonts w:ascii="Calibri" w:hAnsi="Calibri"/>
                <w:b w:val="0"/>
                <w:color w:val="1F2937"/>
                <w:sz w:val="19"/>
              </w:rPr>
              <w:t>Industrie-standaard voor kwikdamp; niet Ex-gecertificeerd — in ATEX-zones Ex-geschikt alternatief of hot work permit vereist.</w:t>
            </w:r>
          </w:p>
        </w:tc>
      </w:tr>
      <w:tr>
        <w:tc>
          <w:tcPr>
            <w:tcW w:type="dxa" w:w="2379"/>
          </w:tcPr>
          <w:p>
            <w:r/>
            <w:r>
              <w:rPr>
                <w:rFonts w:ascii="Calibri" w:hAnsi="Calibri"/>
                <w:b w:val="0"/>
                <w:color w:val="1F2937"/>
                <w:sz w:val="19"/>
              </w:rPr>
              <w:t>Draagbare kalibratiebron</w:t>
            </w:r>
          </w:p>
        </w:tc>
        <w:tc>
          <w:tcPr>
            <w:tcW w:type="dxa" w:w="2379"/>
          </w:tcPr>
          <w:p>
            <w:r/>
            <w:r>
              <w:rPr>
                <w:rFonts w:ascii="Calibri" w:hAnsi="Calibri"/>
                <w:b w:val="0"/>
                <w:color w:val="1F2937"/>
                <w:sz w:val="19"/>
              </w:rPr>
              <w:t>Known Hg concentration</w:t>
            </w:r>
          </w:p>
        </w:tc>
        <w:tc>
          <w:tcPr>
            <w:tcW w:type="dxa" w:w="2379"/>
          </w:tcPr>
          <w:p>
            <w:r/>
            <w:r>
              <w:rPr>
                <w:rFonts w:ascii="Calibri" w:hAnsi="Calibri"/>
                <w:b w:val="0"/>
                <w:color w:val="1F2937"/>
                <w:sz w:val="19"/>
              </w:rPr>
              <w:t>Conform fabrikant</w:t>
            </w:r>
          </w:p>
        </w:tc>
        <w:tc>
          <w:tcPr>
            <w:tcW w:type="dxa" w:w="2379"/>
          </w:tcPr>
          <w:p>
            <w:r/>
            <w:r>
              <w:rPr>
                <w:rFonts w:ascii="Calibri" w:hAnsi="Calibri"/>
                <w:b w:val="0"/>
                <w:color w:val="1F2937"/>
                <w:sz w:val="19"/>
              </w:rPr>
              <w:t>Kalibratie/verification vóór elke meetdag vastleggen in meetlog.</w:t>
            </w:r>
          </w:p>
        </w:tc>
      </w:tr>
      <w:tr>
        <w:tc>
          <w:tcPr>
            <w:tcW w:type="dxa" w:w="2379"/>
          </w:tcPr>
          <w:p>
            <w:r/>
            <w:r>
              <w:rPr>
                <w:rFonts w:ascii="Calibri" w:hAnsi="Calibri"/>
                <w:b w:val="0"/>
                <w:color w:val="1F2937"/>
                <w:sz w:val="19"/>
              </w:rPr>
              <w:t>Passieve dosimeters / laboratorium</w:t>
            </w:r>
          </w:p>
        </w:tc>
        <w:tc>
          <w:tcPr>
            <w:tcW w:type="dxa" w:w="2379"/>
          </w:tcPr>
          <w:p>
            <w:r/>
            <w:r>
              <w:rPr>
                <w:rFonts w:ascii="Calibri" w:hAnsi="Calibri"/>
                <w:b w:val="0"/>
                <w:color w:val="1F2937"/>
                <w:sz w:val="19"/>
              </w:rPr>
              <w:t>Adsorptie + analyse</w:t>
            </w:r>
          </w:p>
        </w:tc>
        <w:tc>
          <w:tcPr>
            <w:tcW w:type="dxa" w:w="2379"/>
          </w:tcPr>
          <w:p>
            <w:r/>
            <w:r>
              <w:rPr>
                <w:rFonts w:ascii="Calibri" w:hAnsi="Calibri"/>
                <w:b w:val="0"/>
                <w:color w:val="1F2937"/>
                <w:sz w:val="19"/>
              </w:rPr>
              <w:t>TWA-bepaling</w:t>
            </w:r>
          </w:p>
        </w:tc>
        <w:tc>
          <w:tcPr>
            <w:tcW w:type="dxa" w:w="2379"/>
          </w:tcPr>
          <w:p>
            <w:r/>
            <w:r>
              <w:rPr>
                <w:rFonts w:ascii="Calibri" w:hAnsi="Calibri"/>
                <w:b w:val="0"/>
                <w:color w:val="1F2937"/>
                <w:sz w:val="19"/>
              </w:rPr>
              <w:t>Geschikt voor 8-uurs TWA-verificatie; accredited laboratory (bv. SGS/NRG).</w:t>
            </w:r>
          </w:p>
        </w:tc>
      </w:tr>
    </w:tbl>
    <w:p>
      <w:pPr>
        <w:spacing w:after="40"/>
      </w:pPr>
    </w:p>
    <w:p>
      <w:pPr>
        <w:pStyle w:val="Heading2"/>
      </w:pPr>
      <w:r>
        <w:t>5.2 Meetfrequenties (best practice offshore)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Moment</w:t>
            </w:r>
          </w:p>
        </w:tc>
        <w:tc>
          <w:tcPr>
            <w:tcW w:type="dxa" w:w="3173"/>
            <w:shd w:val="clear" w:color="auto" w:fill="003366"/>
          </w:tcPr>
          <w:p>
            <w:r/>
            <w:r>
              <w:rPr>
                <w:rFonts w:ascii="Calibri" w:hAnsi="Calibri"/>
                <w:b/>
                <w:color w:val="FFFFFF"/>
                <w:sz w:val="19"/>
              </w:rPr>
              <w:t>Metings</w:t>
            </w:r>
          </w:p>
        </w:tc>
        <w:tc>
          <w:tcPr>
            <w:tcW w:type="dxa" w:w="3173"/>
            <w:shd w:val="clear" w:color="auto" w:fill="003366"/>
          </w:tcPr>
          <w:p>
            <w:r/>
            <w:r>
              <w:rPr>
                <w:rFonts w:ascii="Calibri" w:hAnsi="Calibri"/>
                <w:b/>
                <w:color w:val="FFFFFF"/>
                <w:sz w:val="19"/>
              </w:rPr>
              <w:t>Actie</w:t>
            </w:r>
          </w:p>
        </w:tc>
      </w:tr>
      <w:tr>
        <w:tc>
          <w:tcPr>
            <w:tcW w:type="dxa" w:w="3173"/>
          </w:tcPr>
          <w:p>
            <w:r/>
            <w:r>
              <w:rPr>
                <w:rFonts w:ascii="Calibri" w:hAnsi="Calibri"/>
                <w:b w:val="0"/>
                <w:color w:val="1F2937"/>
                <w:sz w:val="19"/>
              </w:rPr>
              <w:t>Vóór opening systeem</w:t>
            </w:r>
          </w:p>
        </w:tc>
        <w:tc>
          <w:tcPr>
            <w:tcW w:type="dxa" w:w="3173"/>
          </w:tcPr>
          <w:p>
            <w:r/>
            <w:r>
              <w:rPr>
                <w:rFonts w:ascii="Calibri" w:hAnsi="Calibri"/>
                <w:b w:val="0"/>
                <w:color w:val="1F2937"/>
                <w:sz w:val="19"/>
              </w:rPr>
              <w:t>Baseline in en rond het werkgebied</w:t>
            </w:r>
          </w:p>
        </w:tc>
        <w:tc>
          <w:tcPr>
            <w:tcW w:type="dxa" w:w="3173"/>
          </w:tcPr>
          <w:p>
            <w:r/>
            <w:r>
              <w:rPr>
                <w:rFonts w:ascii="Calibri" w:hAnsi="Calibri"/>
                <w:b w:val="0"/>
                <w:color w:val="1F2937"/>
                <w:sz w:val="19"/>
              </w:rPr>
              <w:t>Bepalen RPE-band en zone-indeling</w:t>
            </w:r>
          </w:p>
        </w:tc>
      </w:tr>
      <w:tr>
        <w:tc>
          <w:tcPr>
            <w:tcW w:type="dxa" w:w="3173"/>
          </w:tcPr>
          <w:p>
            <w:r/>
            <w:r>
              <w:rPr>
                <w:rFonts w:ascii="Calibri" w:hAnsi="Calibri"/>
                <w:b w:val="0"/>
                <w:color w:val="1F2937"/>
                <w:sz w:val="19"/>
              </w:rPr>
              <w:t>Tijdens werk (periodiek)</w:t>
            </w:r>
          </w:p>
        </w:tc>
        <w:tc>
          <w:tcPr>
            <w:tcW w:type="dxa" w:w="3173"/>
          </w:tcPr>
          <w:p>
            <w:r/>
            <w:r>
              <w:rPr>
                <w:rFonts w:ascii="Calibri" w:hAnsi="Calibri"/>
                <w:b w:val="0"/>
                <w:color w:val="1F2937"/>
                <w:sz w:val="19"/>
              </w:rPr>
              <w:t>Taakmetingen per shiftpatroon conform procedure-frequentie</w:t>
            </w:r>
          </w:p>
        </w:tc>
        <w:tc>
          <w:tcPr>
            <w:tcW w:type="dxa" w:w="3173"/>
          </w:tcPr>
          <w:p>
            <w:r/>
            <w:r>
              <w:rPr>
                <w:rFonts w:ascii="Calibri" w:hAnsi="Calibri"/>
                <w:b w:val="0"/>
                <w:color w:val="1F2937"/>
                <w:sz w:val="19"/>
              </w:rPr>
              <w:t>Bij &gt;50% van TGG: maatregelen opschalen</w:t>
            </w:r>
          </w:p>
        </w:tc>
      </w:tr>
      <w:tr>
        <w:tc>
          <w:tcPr>
            <w:tcW w:type="dxa" w:w="3173"/>
          </w:tcPr>
          <w:p>
            <w:r/>
            <w:r>
              <w:rPr>
                <w:rFonts w:ascii="Calibri" w:hAnsi="Calibri"/>
                <w:b w:val="0"/>
                <w:color w:val="1F2937"/>
                <w:sz w:val="19"/>
              </w:rPr>
              <w:t>Bij temperatuurstijging &gt;5°C / hot work</w:t>
            </w:r>
          </w:p>
        </w:tc>
        <w:tc>
          <w:tcPr>
            <w:tcW w:type="dxa" w:w="3173"/>
          </w:tcPr>
          <w:p>
            <w:r/>
            <w:r>
              <w:rPr>
                <w:rFonts w:ascii="Calibri" w:hAnsi="Calibri"/>
                <w:b w:val="0"/>
                <w:color w:val="1F2937"/>
                <w:sz w:val="19"/>
              </w:rPr>
              <w:t>Extra meting</w:t>
            </w:r>
          </w:p>
        </w:tc>
        <w:tc>
          <w:tcPr>
            <w:tcW w:type="dxa" w:w="3173"/>
          </w:tcPr>
          <w:p>
            <w:r/>
            <w:r>
              <w:rPr>
                <w:rFonts w:ascii="Calibri" w:hAnsi="Calibri"/>
                <w:b w:val="0"/>
                <w:color w:val="1F2937"/>
                <w:sz w:val="19"/>
              </w:rPr>
              <w:t>RPE-band verhogen indien nodig</w:t>
            </w:r>
          </w:p>
        </w:tc>
      </w:tr>
      <w:tr>
        <w:tc>
          <w:tcPr>
            <w:tcW w:type="dxa" w:w="3173"/>
          </w:tcPr>
          <w:p>
            <w:r/>
            <w:r>
              <w:rPr>
                <w:rFonts w:ascii="Calibri" w:hAnsi="Calibri"/>
                <w:b w:val="0"/>
                <w:color w:val="1F2937"/>
                <w:sz w:val="19"/>
              </w:rPr>
              <w:t>Na afloop / decomtaminatie</w:t>
            </w:r>
          </w:p>
        </w:tc>
        <w:tc>
          <w:tcPr>
            <w:tcW w:type="dxa" w:w="3173"/>
          </w:tcPr>
          <w:p>
            <w:r/>
            <w:r>
              <w:rPr>
                <w:rFonts w:ascii="Calibri" w:hAnsi="Calibri"/>
                <w:b w:val="0"/>
                <w:color w:val="1F2937"/>
                <w:sz w:val="19"/>
              </w:rPr>
              <w:t>Slotmeting werkgebied en materialen</w:t>
            </w:r>
          </w:p>
        </w:tc>
        <w:tc>
          <w:tcPr>
            <w:tcW w:type="dxa" w:w="3173"/>
          </w:tcPr>
          <w:p>
            <w:r/>
            <w:r>
              <w:rPr>
                <w:rFonts w:ascii="Calibri" w:hAnsi="Calibri"/>
                <w:b w:val="0"/>
                <w:color w:val="1F2937"/>
                <w:sz w:val="19"/>
              </w:rPr>
              <w:t>Vrijgave en afvoerclassificatie</w:t>
            </w:r>
          </w:p>
        </w:tc>
      </w:tr>
      <w:tr>
        <w:tc>
          <w:tcPr>
            <w:tcW w:type="dxa" w:w="3173"/>
          </w:tcPr>
          <w:p>
            <w:r/>
            <w:r>
              <w:rPr>
                <w:rFonts w:ascii="Calibri" w:hAnsi="Calibri"/>
                <w:b w:val="0"/>
                <w:color w:val="1F2937"/>
                <w:sz w:val="19"/>
              </w:rPr>
              <w:t>Calamiteit / spill</w:t>
            </w:r>
          </w:p>
        </w:tc>
        <w:tc>
          <w:tcPr>
            <w:tcW w:type="dxa" w:w="3173"/>
          </w:tcPr>
          <w:p>
            <w:r/>
            <w:r>
              <w:rPr>
                <w:rFonts w:ascii="Calibri" w:hAnsi="Calibri"/>
                <w:b w:val="0"/>
                <w:color w:val="1F2937"/>
                <w:sz w:val="19"/>
              </w:rPr>
              <w:t>Directe meting + gebiedsafbakening</w:t>
            </w:r>
          </w:p>
        </w:tc>
        <w:tc>
          <w:tcPr>
            <w:tcW w:type="dxa" w:w="3173"/>
          </w:tcPr>
          <w:p>
            <w:r/>
            <w:r>
              <w:rPr>
                <w:rFonts w:ascii="Calibri" w:hAnsi="Calibri"/>
                <w:b w:val="0"/>
                <w:color w:val="1F2937"/>
                <w:sz w:val="19"/>
              </w:rPr>
              <w:t>EMVI-protocol en registratie</w:t>
            </w:r>
          </w:p>
        </w:tc>
      </w:tr>
    </w:tbl>
    <w:p>
      <w:pPr>
        <w:spacing w:after="40"/>
      </w:pPr>
    </w:p>
    <w:p>
      <w:pPr>
        <w:pStyle w:val="Heading1"/>
      </w:pPr>
      <w:r>
        <w:t>6. Referenties</w:t>
      </w:r>
    </w:p>
    <w:p>
      <w:pPr>
        <w:pStyle w:val="ListNumber"/>
        <w:spacing w:after="60"/>
      </w:pPr>
      <w:r>
        <w:t>Koole MSD 003.057 Safe Handling of Mercury, Rev 1 (12-05-2026) — brondocument audit.</w:t>
      </w:r>
    </w:p>
    <w:p>
      <w:pPr>
        <w:pStyle w:val="ListNumber"/>
        <w:spacing w:after="60"/>
      </w:pPr>
      <w:r>
        <w:t>Arbeidsomstandighedenwet; Arbobesluit Hoofdstuk 4; Arbeidsomstandighedenregeling afd. 4.4 (grenswaarden).</w:t>
      </w:r>
    </w:p>
    <w:p>
      <w:pPr>
        <w:pStyle w:val="ListNumber"/>
        <w:spacing w:after="60"/>
      </w:pPr>
      <w:r>
        <w:t>Verordening (EU) 2017/852 betreffende kwik; Besluit kwik en kwikhoudende producten.</w:t>
      </w:r>
    </w:p>
    <w:p>
      <w:pPr>
        <w:pStyle w:val="ListNumber"/>
        <w:spacing w:after="60"/>
      </w:pPr>
      <w:r>
        <w:t>REACH (EG) 1907/2006; CLP (EG) 1272/2008 incl. Bijlage VI (index 080-001-00-0).</w:t>
      </w:r>
    </w:p>
    <w:p>
      <w:pPr>
        <w:pStyle w:val="ListNumber"/>
        <w:spacing w:after="60"/>
      </w:pPr>
      <w:r>
        <w:t>ADR deel 3 tabel A (UN 2809); IMDG; Wet milieubeheer / Eural; Besluit activiteiten leefomgeving.</w:t>
      </w:r>
    </w:p>
    <w:p>
      <w:pPr>
        <w:pStyle w:val="ListNumber"/>
        <w:spacing w:after="60"/>
      </w:pPr>
      <w:r>
        <w:t>AI-bladen 31, 18, 64; NOGEPA-richtlijnen (Standard 86); NEN-EN 689/482.</w:t>
      </w:r>
    </w:p>
    <w:p>
      <w:pPr>
        <w:pStyle w:val="ListNumber"/>
        <w:spacing w:after="60"/>
      </w:pPr>
      <w:r>
        <w:t>JvG Compliance Audit Rapport Koole 003.057 v2.0 (24-08-2026); Golden Standard Audit Kwik 003.057 v2.0.</w:t>
      </w:r>
    </w:p>
    <w:p>
      <w:pPr>
        <w:spacing w:after="80"/>
      </w:pPr>
      <w:r>
        <w:rPr>
          <w:rFonts w:ascii="Calibri" w:hAnsi="Calibri"/>
          <w:b w:val="0"/>
          <w:i/>
          <w:sz w:val="19"/>
        </w:rPr>
        <w:t>Dit kennisdossier is een auditondersteunend document van JvG Consultancy en geen zelfstandig juridisch advies. Voor bindende uitleg van wetsartikelen wordt verwezen naar de officiële bronpublicaties.</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Kwik Kennisdossier v1.0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