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i w:val="0"/>
          <w:color w:val="003366"/>
          <w:sz w:val="28"/>
        </w:rPr>
        <w:t>JvG Consultancy</w:t>
      </w:r>
    </w:p>
    <w:p>
      <w:pPr>
        <w:spacing w:after="480" w:before="0"/>
        <w:jc w:val="center"/>
      </w:pPr>
      <w:r>
        <w:rPr>
          <w:rFonts w:ascii="Calibri" w:hAnsi="Calibri" w:eastAsia="Calibri"/>
          <w:b w:val="0"/>
          <w:i/>
          <w:color w:val="1F2937"/>
          <w:sz w:val="20"/>
        </w:rPr>
        <w:t>Safety • Governance • Advisory</w:t>
      </w:r>
    </w:p>
    <w:p>
      <w:pPr>
        <w:jc w:val="center"/>
      </w:pPr>
      <w:r>
        <w:drawing>
          <wp:inline xmlns:a="http://schemas.openxmlformats.org/drawingml/2006/main" xmlns:pic="http://schemas.openxmlformats.org/drawingml/2006/picture">
            <wp:extent cx="1620000" cy="1454400"/>
            <wp:docPr id="1" name="Picture 1"/>
            <wp:cNvGraphicFramePr>
              <a:graphicFrameLocks noChangeAspect="1"/>
            </wp:cNvGraphicFramePr>
            <a:graphic>
              <a:graphicData uri="http://schemas.openxmlformats.org/drawingml/2006/picture">
                <pic:pic>
                  <pic:nvPicPr>
                    <pic:cNvPr id="0" name="jvg-logo.png"/>
                    <pic:cNvPicPr/>
                  </pic:nvPicPr>
                  <pic:blipFill>
                    <a:blip r:embed="rId11"/>
                    <a:stretch>
                      <a:fillRect/>
                    </a:stretch>
                  </pic:blipFill>
                  <pic:spPr>
                    <a:xfrm>
                      <a:off x="0" y="0"/>
                      <a:ext cx="1620000" cy="1454400"/>
                    </a:xfrm>
                    <a:prstGeom prst="rect"/>
                  </pic:spPr>
                </pic:pic>
              </a:graphicData>
            </a:graphic>
          </wp:inline>
        </w:drawing>
      </w:r>
    </w:p>
    <w:p>
      <w:pPr>
        <w:spacing w:after="120" w:before="400"/>
        <w:jc w:val="center"/>
      </w:pPr>
      <w:r>
        <w:rPr>
          <w:rFonts w:ascii="Calibri" w:hAnsi="Calibri" w:eastAsia="Calibri"/>
          <w:b/>
          <w:i w:val="0"/>
          <w:color w:val="00A8E8"/>
          <w:sz w:val="24"/>
        </w:rPr>
        <w:t>PROCEDURE</w:t>
      </w:r>
    </w:p>
    <w:p>
      <w:pPr>
        <w:spacing w:after="80" w:before="0"/>
        <w:jc w:val="center"/>
      </w:pPr>
      <w:r>
        <w:rPr>
          <w:rFonts w:ascii="Calibri" w:hAnsi="Calibri" w:eastAsia="Calibri"/>
          <w:b/>
          <w:i w:val="0"/>
          <w:color w:val="003366"/>
          <w:sz w:val="52"/>
        </w:rPr>
        <w:t>Safe Handling of Mercury</w:t>
      </w:r>
    </w:p>
    <w:p>
      <w:pPr>
        <w:spacing w:after="400" w:before="0"/>
        <w:jc w:val="center"/>
      </w:pPr>
      <w:r>
        <w:rPr>
          <w:rFonts w:ascii="Calibri" w:hAnsi="Calibri" w:eastAsia="Calibri"/>
          <w:b w:val="0"/>
          <w:i w:val="0"/>
          <w:color w:val="1F2937"/>
          <w:sz w:val="28"/>
        </w:rPr>
        <w:t>Offshore Decommissioning — Small Piece Removal</w:t>
      </w:r>
    </w:p>
    <w:tbl>
      <w:tblPr>
        <w:tblStyle w:val="TableGrid"/>
        <w:tblW w:type="auto" w:w="0"/>
        <w:jc w:val="center"/>
        <w:tblLook w:firstColumn="1" w:firstRow="1" w:lastColumn="0" w:lastRow="0" w:noHBand="0" w:noVBand="1" w:val="04A0"/>
      </w:tblPr>
      <w:tblGrid>
        <w:gridCol w:w="4759"/>
        <w:gridCol w:w="4759"/>
      </w:tblGrid>
      <w:tr>
        <w:tc>
          <w:tcPr>
            <w:tcW w:type="dxa" w:w="2835"/>
            <w:shd w:val="clear" w:fill="003366"/>
          </w:tcPr>
          <w:p>
            <w:r/>
            <w:r>
              <w:rPr>
                <w:rFonts w:ascii="Calibri" w:hAnsi="Calibri" w:eastAsia="Calibri"/>
                <w:b/>
                <w:i w:val="0"/>
                <w:color w:val="FFFFFF"/>
                <w:sz w:val="20"/>
              </w:rPr>
              <w:t>Gegeven</w:t>
            </w:r>
          </w:p>
        </w:tc>
        <w:tc>
          <w:tcPr>
            <w:tcW w:type="dxa" w:w="6520"/>
            <w:shd w:val="clear" w:fill="003366"/>
          </w:tcPr>
          <w:p>
            <w:r/>
            <w:r>
              <w:rPr>
                <w:rFonts w:ascii="Calibri" w:hAnsi="Calibri" w:eastAsia="Calibri"/>
                <w:b/>
                <w:i w:val="0"/>
                <w:color w:val="FFFFFF"/>
                <w:sz w:val="20"/>
              </w:rPr>
              <w:t>Waarde</w:t>
            </w:r>
          </w:p>
        </w:tc>
      </w:tr>
      <w:tr>
        <w:tc>
          <w:tcPr>
            <w:tcW w:type="dxa" w:w="2835"/>
          </w:tcPr>
          <w:p>
            <w:r/>
            <w:r>
              <w:rPr>
                <w:rFonts w:ascii="Calibri" w:hAnsi="Calibri" w:eastAsia="Calibri"/>
                <w:b w:val="0"/>
                <w:i w:val="0"/>
                <w:color w:val="000000"/>
                <w:sz w:val="20"/>
              </w:rPr>
              <w:t>Project</w:t>
            </w:r>
          </w:p>
        </w:tc>
        <w:tc>
          <w:tcPr>
            <w:tcW w:type="dxa" w:w="6520"/>
          </w:tcPr>
          <w:p>
            <w:r/>
            <w:r>
              <w:rPr>
                <w:rFonts w:ascii="Calibri" w:hAnsi="Calibri" w:eastAsia="Calibri"/>
                <w:b w:val="0"/>
                <w:i w:val="0"/>
                <w:color w:val="000000"/>
                <w:sz w:val="20"/>
              </w:rPr>
              <w:t>2026-audit-koole-mercury-003057</w:t>
            </w:r>
          </w:p>
        </w:tc>
      </w:tr>
      <w:tr>
        <w:tc>
          <w:tcPr>
            <w:tcW w:type="dxa" w:w="2835"/>
            <w:shd w:val="clear" w:fill="F8F9FA"/>
          </w:tcPr>
          <w:p>
            <w:r/>
            <w:r>
              <w:rPr>
                <w:rFonts w:ascii="Calibri" w:hAnsi="Calibri" w:eastAsia="Calibri"/>
                <w:b w:val="0"/>
                <w:i w:val="0"/>
                <w:color w:val="000000"/>
                <w:sz w:val="20"/>
              </w:rPr>
              <w:t>Opdrachtgever</w:t>
            </w:r>
          </w:p>
        </w:tc>
        <w:tc>
          <w:tcPr>
            <w:tcW w:type="dxa" w:w="6520"/>
            <w:shd w:val="clear" w:fill="F8F9FA"/>
          </w:tcPr>
          <w:p>
            <w:r/>
            <w:r>
              <w:rPr>
                <w:rFonts w:ascii="Calibri" w:hAnsi="Calibri" w:eastAsia="Calibri"/>
                <w:b w:val="0"/>
                <w:i w:val="0"/>
                <w:color w:val="000000"/>
                <w:sz w:val="20"/>
              </w:rPr>
              <w:t>Wintershall (offshore olie &amp; gas, Nederland)</w:t>
            </w:r>
          </w:p>
        </w:tc>
      </w:tr>
      <w:tr>
        <w:tc>
          <w:tcPr>
            <w:tcW w:type="dxa" w:w="2835"/>
          </w:tcPr>
          <w:p>
            <w:r/>
            <w:r>
              <w:rPr>
                <w:rFonts w:ascii="Calibri" w:hAnsi="Calibri" w:eastAsia="Calibri"/>
                <w:b w:val="0"/>
                <w:i w:val="0"/>
                <w:color w:val="000000"/>
                <w:sz w:val="20"/>
              </w:rPr>
              <w:t>Uitvoerende aannemer</w:t>
            </w:r>
          </w:p>
        </w:tc>
        <w:tc>
          <w:tcPr>
            <w:tcW w:type="dxa" w:w="6520"/>
          </w:tcPr>
          <w:p>
            <w:r/>
            <w:r>
              <w:rPr>
                <w:rFonts w:ascii="Calibri" w:hAnsi="Calibri" w:eastAsia="Calibri"/>
                <w:b w:val="0"/>
                <w:i w:val="0"/>
                <w:color w:val="000000"/>
                <w:sz w:val="20"/>
              </w:rPr>
              <w:t>Koole</w:t>
            </w:r>
          </w:p>
        </w:tc>
      </w:tr>
      <w:tr>
        <w:tc>
          <w:tcPr>
            <w:tcW w:type="dxa" w:w="2835"/>
            <w:shd w:val="clear" w:fill="F8F9FA"/>
          </w:tcPr>
          <w:p>
            <w:r/>
            <w:r>
              <w:rPr>
                <w:rFonts w:ascii="Calibri" w:hAnsi="Calibri" w:eastAsia="Calibri"/>
                <w:b w:val="0"/>
                <w:i w:val="0"/>
                <w:color w:val="000000"/>
                <w:sz w:val="20"/>
              </w:rPr>
              <w:t>Activiteit</w:t>
            </w:r>
          </w:p>
        </w:tc>
        <w:tc>
          <w:tcPr>
            <w:tcW w:type="dxa" w:w="6520"/>
            <w:shd w:val="clear" w:fill="F8F9FA"/>
          </w:tcPr>
          <w:p>
            <w:r/>
            <w:r>
              <w:rPr>
                <w:rFonts w:ascii="Calibri" w:hAnsi="Calibri" w:eastAsia="Calibri"/>
                <w:b w:val="0"/>
                <w:i w:val="0"/>
                <w:color w:val="000000"/>
                <w:sz w:val="20"/>
              </w:rPr>
              <w:t>Decommissioning offshore platform — small piece removal</w:t>
            </w:r>
          </w:p>
        </w:tc>
      </w:tr>
      <w:tr>
        <w:tc>
          <w:tcPr>
            <w:tcW w:type="dxa" w:w="2835"/>
          </w:tcPr>
          <w:p>
            <w:r/>
            <w:r>
              <w:rPr>
                <w:rFonts w:ascii="Calibri" w:hAnsi="Calibri" w:eastAsia="Calibri"/>
                <w:b w:val="0"/>
                <w:i w:val="0"/>
                <w:color w:val="000000"/>
                <w:sz w:val="20"/>
              </w:rPr>
              <w:t>Locatie</w:t>
            </w:r>
          </w:p>
        </w:tc>
        <w:tc>
          <w:tcPr>
            <w:tcW w:type="dxa" w:w="6520"/>
          </w:tcPr>
          <w:p>
            <w:r/>
            <w:r>
              <w:rPr>
                <w:rFonts w:ascii="Calibri" w:hAnsi="Calibri" w:eastAsia="Calibri"/>
                <w:b w:val="0"/>
                <w:i w:val="0"/>
                <w:color w:val="000000"/>
                <w:sz w:val="20"/>
              </w:rPr>
              <w:t>Offshore platform, Nederlandse sector Noordzee</w:t>
            </w:r>
          </w:p>
        </w:tc>
      </w:tr>
      <w:tr>
        <w:tc>
          <w:tcPr>
            <w:tcW w:type="dxa" w:w="2835"/>
            <w:shd w:val="clear" w:fill="F8F9FA"/>
          </w:tcPr>
          <w:p>
            <w:r/>
            <w:r>
              <w:rPr>
                <w:rFonts w:ascii="Calibri" w:hAnsi="Calibri" w:eastAsia="Calibri"/>
                <w:b w:val="0"/>
                <w:i w:val="0"/>
                <w:color w:val="000000"/>
                <w:sz w:val="20"/>
              </w:rPr>
              <w:t>Jurisdictie</w:t>
            </w:r>
          </w:p>
        </w:tc>
        <w:tc>
          <w:tcPr>
            <w:tcW w:type="dxa" w:w="6520"/>
            <w:shd w:val="clear" w:fill="F8F9FA"/>
          </w:tcPr>
          <w:p>
            <w:r/>
            <w:r>
              <w:rPr>
                <w:rFonts w:ascii="Calibri" w:hAnsi="Calibri" w:eastAsia="Calibri"/>
                <w:b w:val="0"/>
                <w:i w:val="0"/>
                <w:color w:val="000000"/>
                <w:sz w:val="20"/>
              </w:rPr>
              <w:t>Nederland</w:t>
            </w:r>
          </w:p>
        </w:tc>
      </w:tr>
      <w:tr>
        <w:tc>
          <w:tcPr>
            <w:tcW w:type="dxa" w:w="2835"/>
          </w:tcPr>
          <w:p>
            <w:r/>
            <w:r>
              <w:rPr>
                <w:rFonts w:ascii="Calibri" w:hAnsi="Calibri" w:eastAsia="Calibri"/>
                <w:b w:val="0"/>
                <w:i w:val="0"/>
                <w:color w:val="000000"/>
                <w:sz w:val="20"/>
              </w:rPr>
              <w:t>Referentieprocedure</w:t>
            </w:r>
          </w:p>
        </w:tc>
        <w:tc>
          <w:tcPr>
            <w:tcW w:type="dxa" w:w="6520"/>
          </w:tcPr>
          <w:p>
            <w:r/>
            <w:r>
              <w:rPr>
                <w:rFonts w:ascii="Calibri" w:hAnsi="Calibri" w:eastAsia="Calibri"/>
                <w:b w:val="0"/>
                <w:i w:val="0"/>
                <w:color w:val="000000"/>
                <w:sz w:val="20"/>
              </w:rPr>
              <w:t>Koole procedure 003.057 Safe Handling of Mercury Rev 1</w:t>
            </w:r>
          </w:p>
        </w:tc>
      </w:tr>
      <w:tr>
        <w:tc>
          <w:tcPr>
            <w:tcW w:type="dxa" w:w="2835"/>
            <w:shd w:val="clear" w:fill="F8F9FA"/>
          </w:tcPr>
          <w:p>
            <w:r/>
            <w:r>
              <w:rPr>
                <w:rFonts w:ascii="Calibri" w:hAnsi="Calibri" w:eastAsia="Calibri"/>
                <w:b w:val="0"/>
                <w:i w:val="0"/>
                <w:color w:val="000000"/>
                <w:sz w:val="20"/>
              </w:rPr>
              <w:t>Documentcode</w:t>
            </w:r>
          </w:p>
        </w:tc>
        <w:tc>
          <w:tcPr>
            <w:tcW w:type="dxa" w:w="6520"/>
            <w:shd w:val="clear" w:fill="F8F9FA"/>
          </w:tcPr>
          <w:p>
            <w:r/>
            <w:r>
              <w:rPr>
                <w:rFonts w:ascii="Calibri" w:hAnsi="Calibri" w:eastAsia="Calibri"/>
                <w:b w:val="0"/>
                <w:i w:val="0"/>
                <w:color w:val="000000"/>
                <w:sz w:val="20"/>
              </w:rPr>
              <w:t>JvG-HSEQ-PRO-003057</w:t>
            </w:r>
          </w:p>
        </w:tc>
      </w:tr>
      <w:tr>
        <w:tc>
          <w:tcPr>
            <w:tcW w:type="dxa" w:w="2835"/>
          </w:tcPr>
          <w:p>
            <w:r/>
            <w:r>
              <w:rPr>
                <w:rFonts w:ascii="Calibri" w:hAnsi="Calibri" w:eastAsia="Calibri"/>
                <w:b w:val="0"/>
                <w:i w:val="0"/>
                <w:color w:val="000000"/>
                <w:sz w:val="20"/>
              </w:rPr>
              <w:t>Versie / Status</w:t>
            </w:r>
          </w:p>
        </w:tc>
        <w:tc>
          <w:tcPr>
            <w:tcW w:type="dxa" w:w="6520"/>
          </w:tcPr>
          <w:p>
            <w:r/>
            <w:r>
              <w:rPr>
                <w:rFonts w:ascii="Calibri" w:hAnsi="Calibri" w:eastAsia="Calibri"/>
                <w:b w:val="0"/>
                <w:i w:val="0"/>
                <w:color w:val="000000"/>
                <w:sz w:val="20"/>
              </w:rPr>
              <w:t>1.0 — Final</w:t>
            </w:r>
          </w:p>
        </w:tc>
      </w:tr>
      <w:tr>
        <w:tc>
          <w:tcPr>
            <w:tcW w:type="dxa" w:w="2835"/>
            <w:shd w:val="clear" w:fill="F8F9FA"/>
          </w:tcPr>
          <w:p>
            <w:r/>
            <w:r>
              <w:rPr>
                <w:rFonts w:ascii="Calibri" w:hAnsi="Calibri" w:eastAsia="Calibri"/>
                <w:b w:val="0"/>
                <w:i w:val="0"/>
                <w:color w:val="000000"/>
                <w:sz w:val="20"/>
              </w:rPr>
              <w:t>Datum</w:t>
            </w:r>
          </w:p>
        </w:tc>
        <w:tc>
          <w:tcPr>
            <w:tcW w:type="dxa" w:w="6520"/>
            <w:shd w:val="clear" w:fill="F8F9FA"/>
          </w:tcPr>
          <w:p>
            <w:r/>
            <w:r>
              <w:rPr>
                <w:rFonts w:ascii="Calibri" w:hAnsi="Calibri" w:eastAsia="Calibri"/>
                <w:b w:val="0"/>
                <w:i w:val="0"/>
                <w:color w:val="000000"/>
                <w:sz w:val="20"/>
              </w:rPr>
              <w:t>24 augustus 2026</w:t>
            </w:r>
          </w:p>
        </w:tc>
      </w:tr>
      <w:tr>
        <w:tc>
          <w:tcPr>
            <w:tcW w:type="dxa" w:w="2835"/>
          </w:tcPr>
          <w:p>
            <w:r/>
            <w:r>
              <w:rPr>
                <w:rFonts w:ascii="Calibri" w:hAnsi="Calibri" w:eastAsia="Calibri"/>
                <w:b w:val="0"/>
                <w:i w:val="0"/>
                <w:color w:val="000000"/>
                <w:sz w:val="20"/>
              </w:rPr>
              <w:t>Opsteller</w:t>
            </w:r>
          </w:p>
        </w:tc>
        <w:tc>
          <w:tcPr>
            <w:tcW w:type="dxa" w:w="6520"/>
          </w:tcPr>
          <w:p>
            <w:r/>
            <w:r>
              <w:rPr>
                <w:rFonts w:ascii="Calibri" w:hAnsi="Calibri" w:eastAsia="Calibri"/>
                <w:b w:val="0"/>
                <w:i w:val="0"/>
                <w:color w:val="000000"/>
                <w:sz w:val="20"/>
              </w:rPr>
              <w:t>Technical Writer (HQ_04), JvG Consultancy — HSEQ Divisie</w:t>
            </w:r>
          </w:p>
        </w:tc>
      </w:tr>
      <w:tr>
        <w:tc>
          <w:tcPr>
            <w:tcW w:type="dxa" w:w="2835"/>
            <w:shd w:val="clear" w:fill="F8F9FA"/>
          </w:tcPr>
          <w:p>
            <w:r/>
            <w:r>
              <w:rPr>
                <w:rFonts w:ascii="Calibri" w:hAnsi="Calibri" w:eastAsia="Calibri"/>
                <w:b w:val="0"/>
                <w:i w:val="0"/>
                <w:color w:val="000000"/>
                <w:sz w:val="20"/>
              </w:rPr>
              <w:t>Goedkeuring</w:t>
            </w:r>
          </w:p>
        </w:tc>
        <w:tc>
          <w:tcPr>
            <w:tcW w:type="dxa" w:w="6520"/>
            <w:shd w:val="clear" w:fill="F8F9FA"/>
          </w:tcPr>
          <w:p>
            <w:r/>
            <w:r>
              <w:rPr>
                <w:rFonts w:ascii="Calibri" w:hAnsi="Calibri" w:eastAsia="Calibri"/>
                <w:b w:val="0"/>
                <w:i w:val="0"/>
                <w:color w:val="000000"/>
                <w:sz w:val="20"/>
              </w:rPr>
              <w:t>Kas — Director of Operations, JvG Consultancy</w:t>
            </w:r>
          </w:p>
        </w:tc>
      </w:tr>
    </w:tbl>
    <w:p>
      <w:pPr>
        <w:spacing w:after="40"/>
      </w:pPr>
    </w:p>
    <w:p>
      <w:pPr>
        <w:spacing w:after="160" w:before="200"/>
        <w:jc w:val="center"/>
      </w:pPr>
      <w:r>
        <w:rPr>
          <w:rFonts w:ascii="Calibri" w:hAnsi="Calibri" w:eastAsia="Calibri"/>
          <w:b w:val="0"/>
          <w:i/>
          <w:color w:val="1F2937"/>
          <w:sz w:val="18"/>
        </w:rPr>
        <w:t>Dit document is opgesteld naar aanleiding van de document-gebaseerde HSEQ compliance audit van de Koole-procedure 003.057. Alle feitelijke inhoud is herleidbaar naar de referenties in Bijlage D en het auditdossier 2026-audit-koole-mercury-003057.</w:t>
      </w:r>
    </w:p>
    <w:p>
      <w:r>
        <w:br w:type="page"/>
      </w:r>
    </w:p>
    <w:p>
      <w:pPr>
        <w:spacing w:after="120" w:before="0"/>
        <w:jc w:val="left"/>
      </w:pPr>
      <w:r>
        <w:rPr>
          <w:rFonts w:ascii="Calibri" w:hAnsi="Calibri" w:eastAsia="Calibri"/>
          <w:b/>
          <w:i w:val="0"/>
          <w:color w:val="003366"/>
          <w:sz w:val="28"/>
        </w:rPr>
        <w:t>Inhoudsopgave</w:t>
      </w:r>
    </w:p>
    <w:p>
      <w:fldSimple w:instr="TOC \o &quot;1-2&quot; \h \z \u">
        <w:r>
          <w:t>Inhoudsopgave — druk F9 in Microsoft Word om te verversen.</w:t>
        </w:r>
      </w:fldSimple>
    </w:p>
    <w:p>
      <w:r>
        <w:br w:type="page"/>
      </w:r>
    </w:p>
    <w:p>
      <w:pPr>
        <w:pStyle w:val="Heading1"/>
        <w:keepNext/>
        <w:spacing w:before="280" w:after="160"/>
        <w:pBdr>
          <w:bottom w:val="single" w:sz="12" w:space="2" w:color="003366"/>
        </w:pBdr>
      </w:pPr>
      <w:r>
        <w:rPr>
          <w:rFonts w:ascii="Calibri" w:hAnsi="Calibri" w:eastAsia="Calibri"/>
          <w:b/>
          <w:i w:val="0"/>
          <w:color w:val="003366"/>
          <w:sz w:val="32"/>
        </w:rPr>
        <w:t>1. Doel</w:t>
      </w:r>
    </w:p>
    <w:p>
      <w:pPr>
        <w:spacing w:after="160" w:before="0"/>
        <w:jc w:val="both"/>
      </w:pPr>
      <w:r>
        <w:rPr>
          <w:rFonts w:ascii="Calibri" w:hAnsi="Calibri" w:eastAsia="Calibri"/>
          <w:b w:val="0"/>
          <w:i w:val="0"/>
          <w:color w:val="000000"/>
          <w:sz w:val="22"/>
        </w:rPr>
        <w:t>Deze procedure beschrijft de veilige omgang met kwik en kwikbesmet materiaal tijdens decommissioning-werkzaamheden (small piece removal) op een offshore platform in de Nederlandse sector van de Noordzee. Het doel is drievoudig: bescherming van werknemers tegen blootstelling aan kwikdampen en kwikcontact, beheersing van emissie naar het marine milieu, en aantoonbare conformiteit met de geldende Nederlandse en Europese regelgeving, waaronder het Arbobesluit hoofdstuk 4 [2] en de Europese Kwikverordening (EU) 2017/852 [3].</w:t>
      </w:r>
    </w:p>
    <w:p>
      <w:pPr>
        <w:spacing w:after="160" w:before="0"/>
        <w:jc w:val="both"/>
      </w:pPr>
      <w:r>
        <w:rPr>
          <w:rFonts w:ascii="Calibri" w:hAnsi="Calibri" w:eastAsia="Calibri"/>
          <w:b w:val="0"/>
          <w:i w:val="0"/>
          <w:color w:val="000000"/>
          <w:sz w:val="22"/>
        </w:rPr>
        <w:t>Kwik (elementair, CAS-nummer 7439-97-6) is conform de CLP-verordening geclassificeerd als reprotoxisch (H360D), specifiek doelorgaantoxisch bij herhaalde blootstelling (H372) en zeer giftig voor waterorganismen met langetermijneffecten (H410) [7]. Elementair kwik verdampt al bij omgevingstemperatuur; de risicobeheersing die hierop is gebaseerd vormt de kern van deze procedure. Het document voorziet in de twaalf kritieke elementen uit de toetsingsmatrix van de compliance audit van de Koole-procedure 003.057 Rev 1, waaronder een concrete RI&amp;E-sectie, een gedetailleerd plan van aanpak, expliciete PBM-specificaties en een volledige opslag-, transport- en afvoerprocedure [audit §3.1].</w:t>
      </w:r>
    </w:p>
    <w:p>
      <w:pPr>
        <w:pStyle w:val="Heading1"/>
        <w:keepNext/>
        <w:spacing w:before="280" w:after="160"/>
        <w:pBdr>
          <w:bottom w:val="single" w:sz="12" w:space="2" w:color="003366"/>
        </w:pBdr>
      </w:pPr>
      <w:r>
        <w:rPr>
          <w:rFonts w:ascii="Calibri" w:hAnsi="Calibri" w:eastAsia="Calibri"/>
          <w:b/>
          <w:i w:val="0"/>
          <w:color w:val="003366"/>
          <w:sz w:val="32"/>
        </w:rPr>
        <w:t>2. Toepassingsgebied</w:t>
      </w:r>
    </w:p>
    <w:p>
      <w:pPr>
        <w:pStyle w:val="Heading2"/>
        <w:keepNext/>
        <w:spacing w:before="200" w:after="160"/>
      </w:pPr>
      <w:r>
        <w:rPr>
          <w:rFonts w:ascii="Calibri" w:hAnsi="Calibri" w:eastAsia="Calibri"/>
          <w:b/>
          <w:i w:val="0"/>
          <w:color w:val="003366"/>
          <w:sz w:val="26"/>
        </w:rPr>
        <w:t>2.1 Doelgroep en Organisatie</w:t>
      </w:r>
    </w:p>
    <w:p>
      <w:pPr>
        <w:spacing w:after="160" w:before="0"/>
        <w:jc w:val="both"/>
      </w:pPr>
      <w:r>
        <w:rPr>
          <w:rFonts w:ascii="Calibri" w:hAnsi="Calibri" w:eastAsia="Calibri"/>
          <w:b w:val="0"/>
          <w:i w:val="0"/>
          <w:color w:val="000000"/>
          <w:sz w:val="22"/>
        </w:rPr>
        <w:t>Deze procedure geldt voor alle medewerkers van de uitvoerende aannemer (Koole), opdrachtnemend personeel en onderaannemers die betrokken zijn bij werkzaamheden waarbij kwik of kwikbesmet materiaal kan voorkomen tijdens het decommissioningproject van het offshore platform van opdrachtgever Wintershall [audit §1.1]. Dit omvat persoonscategorieën op het platform, aan boord van supply- en transportschepen, op de overstapfaciliteit aan land en — voor zover de ketenverantwoordelijkheid reikt — bij de erkende verwerker [2][3].</w:t>
      </w:r>
    </w:p>
    <w:p>
      <w:pPr>
        <w:spacing w:after="160" w:before="0"/>
        <w:jc w:val="both"/>
      </w:pPr>
      <w:r>
        <w:rPr>
          <w:rFonts w:ascii="Calibri" w:hAnsi="Calibri" w:eastAsia="Calibri"/>
          <w:b w:val="0"/>
          <w:i w:val="0"/>
          <w:color w:val="000000"/>
          <w:sz w:val="22"/>
        </w:rPr>
        <w:t>Binnen de opdrachtgever-aannemerverhouding blijft Wintershall verantwoordelijk voor de coördinatie van de gezamenlijke werkzaamheden op het platform conform de verplichtingen uit de Arbowet, terwijl de uitvoerende aannemer (Koole) de uitvoering van deze procedure waarborgt en de nodige maatregelen treft voor de bescherming van zijn werknemers [1][2]. Onderaannemers ontvangen voor eerste inzet een instructie over deze procedure en ondertekenen hiervoor een registratieformulier; zonder deze registratie wordt niemand toegelaten tot werkzaamheden met mogelijke kwikblootstelling [3].</w:t>
      </w:r>
    </w:p>
    <w:p>
      <w:pPr>
        <w:pStyle w:val="Heading2"/>
        <w:keepNext/>
        <w:spacing w:before="200" w:after="160"/>
      </w:pPr>
      <w:r>
        <w:rPr>
          <w:rFonts w:ascii="Calibri" w:hAnsi="Calibri" w:eastAsia="Calibri"/>
          <w:b/>
          <w:i w:val="0"/>
          <w:color w:val="003366"/>
          <w:sz w:val="26"/>
        </w:rPr>
        <w:t>2.2 Activiteiten en Locaties</w:t>
      </w:r>
    </w:p>
    <w:p>
      <w:pPr>
        <w:pStyle w:val="ListBullet"/>
        <w:spacing w:after="80"/>
        <w:ind w:left="425"/>
      </w:pPr>
      <w:r>
        <w:rPr>
          <w:rFonts w:ascii="Calibri" w:hAnsi="Calibri" w:eastAsia="Calibri"/>
          <w:b w:val="0"/>
          <w:i w:val="0"/>
          <w:color w:val="000000"/>
          <w:sz w:val="22"/>
        </w:rPr>
        <w:t>Pre-removal survey: identificatie en testing van potentiële kwikbronnen op het platform (paragraaf 4.2).</w:t>
      </w:r>
    </w:p>
    <w:p>
      <w:pPr>
        <w:pStyle w:val="ListBullet"/>
        <w:spacing w:after="80"/>
        <w:ind w:left="425"/>
      </w:pPr>
      <w:r>
        <w:rPr>
          <w:rFonts w:ascii="Calibri" w:hAnsi="Calibri" w:eastAsia="Calibri"/>
          <w:b w:val="0"/>
          <w:i w:val="0"/>
          <w:color w:val="000000"/>
          <w:sz w:val="22"/>
        </w:rPr>
        <w:t>Verwijdering van kleine installatieonderdelen, small piece removal (paragraaf 4.3).</w:t>
      </w:r>
    </w:p>
    <w:p>
      <w:pPr>
        <w:pStyle w:val="ListBullet"/>
        <w:spacing w:after="80"/>
        <w:ind w:left="425"/>
      </w:pPr>
      <w:r>
        <w:rPr>
          <w:rFonts w:ascii="Calibri" w:hAnsi="Calibri" w:eastAsia="Calibri"/>
          <w:b w:val="0"/>
          <w:i w:val="0"/>
          <w:color w:val="000000"/>
          <w:sz w:val="22"/>
        </w:rPr>
        <w:t>Post-removal verificatie en vrijgave van werkzones (paragraaf 4.4).</w:t>
      </w:r>
    </w:p>
    <w:p>
      <w:pPr>
        <w:pStyle w:val="ListBullet"/>
        <w:spacing w:after="80"/>
        <w:ind w:left="425"/>
      </w:pPr>
      <w:r>
        <w:rPr>
          <w:rFonts w:ascii="Calibri" w:hAnsi="Calibri" w:eastAsia="Calibri"/>
          <w:b w:val="0"/>
          <w:i w:val="0"/>
          <w:color w:val="000000"/>
          <w:sz w:val="22"/>
        </w:rPr>
        <w:t>Tijdelijke opslag van kwik en kwikbesmet materiaal offshore (paragraaf 4.5).</w:t>
      </w:r>
    </w:p>
    <w:p>
      <w:pPr>
        <w:pStyle w:val="ListBullet"/>
        <w:spacing w:after="80"/>
        <w:ind w:left="425"/>
      </w:pPr>
      <w:r>
        <w:rPr>
          <w:rFonts w:ascii="Calibri" w:hAnsi="Calibri" w:eastAsia="Calibri"/>
          <w:b w:val="0"/>
          <w:i w:val="0"/>
          <w:color w:val="000000"/>
          <w:sz w:val="22"/>
        </w:rPr>
        <w:t>Transport over water en over land naar de overstapfaciliteit (paragraaf 4.6).</w:t>
      </w:r>
    </w:p>
    <w:p>
      <w:pPr>
        <w:pStyle w:val="ListBullet"/>
        <w:spacing w:after="80"/>
        <w:ind w:left="425"/>
      </w:pPr>
      <w:r>
        <w:rPr>
          <w:rFonts w:ascii="Calibri" w:hAnsi="Calibri" w:eastAsia="Calibri"/>
          <w:b w:val="0"/>
          <w:i w:val="0"/>
          <w:color w:val="000000"/>
          <w:sz w:val="22"/>
        </w:rPr>
        <w:t>Afvoer naar en verwerking door een erkende verwerker (paragraaf 4.7).</w:t>
      </w:r>
    </w:p>
    <w:p>
      <w:pPr>
        <w:spacing w:after="160" w:before="0"/>
        <w:jc w:val="both"/>
      </w:pPr>
      <w:r>
        <w:rPr>
          <w:rFonts w:ascii="Calibri" w:hAnsi="Calibri" w:eastAsia="Calibri"/>
          <w:b w:val="0"/>
          <w:i w:val="0"/>
          <w:color w:val="000000"/>
          <w:sz w:val="22"/>
        </w:rPr>
        <w:t>De werkzaamheden vallen onder de Nederlandse jurisdictie en onder de brancherichtlijnen voor de offshore olie- en gassector (NOGEPA) [15]. Waar de opdrachtgever (Wintershall) aanvullende platformspecifieke eisen stelt die verder gaan dan deze procedure, zijn die eisen bindend. Aanvullend gelden de richtlijnen voor zorgwekkende stoffen van het RIVM (ZZS-richtlijnen) voor zover kwik daaronder valt [14].</w:t>
      </w:r>
    </w:p>
    <w:p>
      <w:pPr>
        <w:pStyle w:val="Heading2"/>
        <w:keepNext/>
        <w:spacing w:before="200" w:after="160"/>
      </w:pPr>
      <w:r>
        <w:rPr>
          <w:rFonts w:ascii="Calibri" w:hAnsi="Calibri" w:eastAsia="Calibri"/>
          <w:b/>
          <w:i w:val="0"/>
          <w:color w:val="003366"/>
          <w:sz w:val="26"/>
        </w:rPr>
        <w:t>2.3 Uitsluitingen</w:t>
      </w:r>
    </w:p>
    <w:p>
      <w:pPr>
        <w:spacing w:after="160" w:before="0"/>
        <w:jc w:val="both"/>
      </w:pPr>
      <w:r>
        <w:rPr>
          <w:rFonts w:ascii="Calibri" w:hAnsi="Calibri" w:eastAsia="Calibri"/>
          <w:b w:val="0"/>
          <w:i w:val="0"/>
          <w:color w:val="000000"/>
          <w:sz w:val="22"/>
        </w:rPr>
        <w:t>Deze procedure bestrijkt geen topside-removal in zijn geheel, seabed-removal of landbased sloopactiviteiten en evenmin beroepsmatige blootstelling in laboratoria en tandheelkundige praktijken. Voor laboratoriumanalyse van monsters uit dit project geldt AI-blad 64 als aanvullend kader [10]; voor tandheelkundige toepassingen is het KNMT-kader buiten scope [16].</w:t>
      </w:r>
    </w:p>
    <w:p>
      <w:pPr>
        <w:pStyle w:val="Heading2"/>
        <w:keepNext/>
        <w:spacing w:before="200" w:after="160"/>
      </w:pPr>
      <w:r>
        <w:rPr>
          <w:rFonts w:ascii="Calibri" w:hAnsi="Calibri" w:eastAsia="Calibri"/>
          <w:b/>
          <w:i w:val="0"/>
          <w:color w:val="003366"/>
          <w:sz w:val="26"/>
        </w:rPr>
        <w:t>2.4 Relatie tot Andere Documenten</w:t>
      </w:r>
    </w:p>
    <w:p>
      <w:pPr>
        <w:spacing w:after="160" w:before="0"/>
        <w:jc w:val="both"/>
      </w:pPr>
      <w:r>
        <w:rPr>
          <w:rFonts w:ascii="Calibri" w:hAnsi="Calibri" w:eastAsia="Calibri"/>
          <w:b w:val="0"/>
          <w:i w:val="0"/>
          <w:color w:val="000000"/>
          <w:sz w:val="22"/>
        </w:rPr>
        <w:t>Deze procedure is onderdeel van een samenhangende documentatiestructuur en wordt gelezen samen met: de RI&amp;E met kwikartikel (Arbobesluit artikel 4.1) [2], het plan van aanpak voor de decommissioningactiviteiten (artikel 4.2) [2], de veiligheidsinformatiebladen van kwik (artikel 4.12; REACH artikel 31) [2][6], de EMVI-kaart van het platform (artikel 4.11) [2], de werkvergunningprocedures van de opdrachtgever en de toetsingsmatrix uit de compliance audit [audit §2.2]. Bij tegenstrijdigheid tussen deze procedure en wettelijke eisen prevaleren de wettelijke eisen; bij tegenstrijdigheid met platformspecifieke regels van de opdrachtgever prevaleren de strengste eis.</w:t>
      </w:r>
    </w:p>
    <w:p>
      <w:pPr>
        <w:spacing w:after="160" w:before="0"/>
        <w:jc w:val="both"/>
      </w:pPr>
      <w:r>
        <w:rPr>
          <w:rFonts w:ascii="Calibri" w:hAnsi="Calibri" w:eastAsia="Calibri"/>
          <w:b w:val="0"/>
          <w:i w:val="0"/>
          <w:color w:val="000000"/>
          <w:sz w:val="22"/>
        </w:rPr>
        <w:t>De compliance audit heeft vastgesteld dat de onderhavige procedure minimaal moet voldoen aan de verplichte elementen uit zeven toetsingskaders: Arbobesluit hoofdstuk 4, de EU-Kwikverordening, de Bal, REACH/CLP en de AI-bladen 31, 18 en 64 [audit §2.2]. Elk element uit die matrix is in dit document verwerkt en in Bijlage D terug te voeren op de desbetreffende wettelijke grondslag.</w:t>
      </w:r>
    </w:p>
    <w:p>
      <w:pPr>
        <w:pStyle w:val="Heading1"/>
        <w:keepNext/>
        <w:spacing w:before="280" w:after="160"/>
        <w:pBdr>
          <w:bottom w:val="single" w:sz="12" w:space="2" w:color="003366"/>
        </w:pBdr>
      </w:pPr>
      <w:r>
        <w:rPr>
          <w:rFonts w:ascii="Calibri" w:hAnsi="Calibri" w:eastAsia="Calibri"/>
          <w:b/>
          <w:i w:val="0"/>
          <w:color w:val="003366"/>
          <w:sz w:val="32"/>
        </w:rPr>
        <w:t>3. Definities &amp; Afkortingen</w:t>
      </w:r>
    </w:p>
    <w:tbl>
      <w:tblPr>
        <w:tblStyle w:val="TableGrid"/>
        <w:tblW w:type="auto" w:w="0"/>
        <w:jc w:val="center"/>
        <w:tblLook w:firstColumn="1" w:firstRow="1" w:lastColumn="0" w:lastRow="0" w:noHBand="0" w:noVBand="1" w:val="04A0"/>
      </w:tblPr>
      <w:tblGrid>
        <w:gridCol w:w="4759"/>
        <w:gridCol w:w="4759"/>
      </w:tblGrid>
      <w:tr>
        <w:tc>
          <w:tcPr>
            <w:tcW w:type="dxa" w:w="2551"/>
            <w:shd w:val="clear" w:fill="003366"/>
          </w:tcPr>
          <w:p>
            <w:r/>
            <w:r>
              <w:rPr>
                <w:rFonts w:ascii="Calibri" w:hAnsi="Calibri" w:eastAsia="Calibri"/>
                <w:b/>
                <w:i w:val="0"/>
                <w:color w:val="FFFFFF"/>
                <w:sz w:val="20"/>
              </w:rPr>
              <w:t>Term / Afkorting</w:t>
            </w:r>
          </w:p>
        </w:tc>
        <w:tc>
          <w:tcPr>
            <w:tcW w:type="dxa" w:w="6803"/>
            <w:shd w:val="clear" w:fill="003366"/>
          </w:tcPr>
          <w:p>
            <w:r/>
            <w:r>
              <w:rPr>
                <w:rFonts w:ascii="Calibri" w:hAnsi="Calibri" w:eastAsia="Calibri"/>
                <w:b/>
                <w:i w:val="0"/>
                <w:color w:val="FFFFFF"/>
                <w:sz w:val="20"/>
              </w:rPr>
              <w:t>Definitie</w:t>
            </w:r>
          </w:p>
        </w:tc>
      </w:tr>
      <w:tr>
        <w:tc>
          <w:tcPr>
            <w:tcW w:type="dxa" w:w="2551"/>
          </w:tcPr>
          <w:p>
            <w:r/>
            <w:r>
              <w:rPr>
                <w:rFonts w:ascii="Calibri" w:hAnsi="Calibri" w:eastAsia="Calibri"/>
                <w:b w:val="0"/>
                <w:i w:val="0"/>
                <w:color w:val="000000"/>
                <w:sz w:val="20"/>
              </w:rPr>
              <w:t>Kwik (elementair)</w:t>
            </w:r>
          </w:p>
        </w:tc>
        <w:tc>
          <w:tcPr>
            <w:tcW w:type="dxa" w:w="6803"/>
          </w:tcPr>
          <w:p>
            <w:r/>
            <w:r>
              <w:rPr>
                <w:rFonts w:ascii="Calibri" w:hAnsi="Calibri" w:eastAsia="Calibri"/>
                <w:b w:val="0"/>
                <w:i w:val="0"/>
                <w:color w:val="000000"/>
                <w:sz w:val="20"/>
              </w:rPr>
              <w:t>Vloeibaar metaal, CAS 7439-97-6; CLP-classificatie H360D, H372, H410 met preventie-zinnen P201, P260, P281, P301+P310+P330, P304+P340+P312, P405, P501 [7]</w:t>
            </w:r>
          </w:p>
        </w:tc>
      </w:tr>
      <w:tr>
        <w:tc>
          <w:tcPr>
            <w:tcW w:type="dxa" w:w="2551"/>
            <w:shd w:val="clear" w:fill="F8F9FA"/>
          </w:tcPr>
          <w:p>
            <w:r/>
            <w:r>
              <w:rPr>
                <w:rFonts w:ascii="Calibri" w:hAnsi="Calibri" w:eastAsia="Calibri"/>
                <w:b w:val="0"/>
                <w:i w:val="0"/>
                <w:color w:val="000000"/>
                <w:sz w:val="20"/>
              </w:rPr>
              <w:t>Arbobesluit H4</w:t>
            </w:r>
          </w:p>
        </w:tc>
        <w:tc>
          <w:tcPr>
            <w:tcW w:type="dxa" w:w="6803"/>
            <w:shd w:val="clear" w:fill="F8F9FA"/>
          </w:tcPr>
          <w:p>
            <w:r/>
            <w:r>
              <w:rPr>
                <w:rFonts w:ascii="Calibri" w:hAnsi="Calibri" w:eastAsia="Calibri"/>
                <w:b w:val="0"/>
                <w:i w:val="0"/>
                <w:color w:val="000000"/>
                <w:sz w:val="20"/>
              </w:rPr>
              <w:t>Hoofdstuk 4 van het Arbeidsomstandighedenbesluit (gevaarlijke stoffen), versie 26-05-2025 [2]</w:t>
            </w:r>
          </w:p>
        </w:tc>
      </w:tr>
      <w:tr>
        <w:tc>
          <w:tcPr>
            <w:tcW w:type="dxa" w:w="2551"/>
          </w:tcPr>
          <w:p>
            <w:r/>
            <w:r>
              <w:rPr>
                <w:rFonts w:ascii="Calibri" w:hAnsi="Calibri" w:eastAsia="Calibri"/>
                <w:b w:val="0"/>
                <w:i w:val="0"/>
                <w:color w:val="000000"/>
                <w:sz w:val="20"/>
              </w:rPr>
              <w:t>RI&amp;E</w:t>
            </w:r>
          </w:p>
        </w:tc>
        <w:tc>
          <w:tcPr>
            <w:tcW w:type="dxa" w:w="6803"/>
          </w:tcPr>
          <w:p>
            <w:r/>
            <w:r>
              <w:rPr>
                <w:rFonts w:ascii="Calibri" w:hAnsi="Calibri" w:eastAsia="Calibri"/>
                <w:b w:val="0"/>
                <w:i w:val="0"/>
                <w:color w:val="000000"/>
                <w:sz w:val="20"/>
              </w:rPr>
              <w:t>Risico-Inventarisatie en -Evaluatie; verplicht conform Arbobesluit artikel 4.1 [2]</w:t>
            </w:r>
          </w:p>
        </w:tc>
      </w:tr>
      <w:tr>
        <w:tc>
          <w:tcPr>
            <w:tcW w:type="dxa" w:w="2551"/>
            <w:shd w:val="clear" w:fill="F8F9FA"/>
          </w:tcPr>
          <w:p>
            <w:r/>
            <w:r>
              <w:rPr>
                <w:rFonts w:ascii="Calibri" w:hAnsi="Calibri" w:eastAsia="Calibri"/>
                <w:b w:val="0"/>
                <w:i w:val="0"/>
                <w:color w:val="000000"/>
                <w:sz w:val="20"/>
              </w:rPr>
              <w:t>PvA</w:t>
            </w:r>
          </w:p>
        </w:tc>
        <w:tc>
          <w:tcPr>
            <w:tcW w:type="dxa" w:w="6803"/>
            <w:shd w:val="clear" w:fill="F8F9FA"/>
          </w:tcPr>
          <w:p>
            <w:r/>
            <w:r>
              <w:rPr>
                <w:rFonts w:ascii="Calibri" w:hAnsi="Calibri" w:eastAsia="Calibri"/>
                <w:b w:val="0"/>
                <w:i w:val="0"/>
                <w:color w:val="000000"/>
                <w:sz w:val="20"/>
              </w:rPr>
              <w:t>Plan van Aanpak; verplicht conform Arbobesluit artikel 4.2 [2]</w:t>
            </w:r>
          </w:p>
        </w:tc>
      </w:tr>
      <w:tr>
        <w:tc>
          <w:tcPr>
            <w:tcW w:type="dxa" w:w="2551"/>
          </w:tcPr>
          <w:p>
            <w:r/>
            <w:r>
              <w:rPr>
                <w:rFonts w:ascii="Calibri" w:hAnsi="Calibri" w:eastAsia="Calibri"/>
                <w:b w:val="0"/>
                <w:i w:val="0"/>
                <w:color w:val="000000"/>
                <w:sz w:val="20"/>
              </w:rPr>
              <w:t>PBM</w:t>
            </w:r>
          </w:p>
        </w:tc>
        <w:tc>
          <w:tcPr>
            <w:tcW w:type="dxa" w:w="6803"/>
          </w:tcPr>
          <w:p>
            <w:r/>
            <w:r>
              <w:rPr>
                <w:rFonts w:ascii="Calibri" w:hAnsi="Calibri" w:eastAsia="Calibri"/>
                <w:b w:val="0"/>
                <w:i w:val="0"/>
                <w:color w:val="000000"/>
                <w:sz w:val="20"/>
              </w:rPr>
              <w:t>Persoonlijke Beschermingsmiddelen; eisen conform Arbobesluit artikel 4.5 en AI-blad 18 [2][9]</w:t>
            </w:r>
          </w:p>
        </w:tc>
      </w:tr>
      <w:tr>
        <w:tc>
          <w:tcPr>
            <w:tcW w:type="dxa" w:w="2551"/>
            <w:shd w:val="clear" w:fill="F8F9FA"/>
          </w:tcPr>
          <w:p>
            <w:r/>
            <w:r>
              <w:rPr>
                <w:rFonts w:ascii="Calibri" w:hAnsi="Calibri" w:eastAsia="Calibri"/>
                <w:b w:val="0"/>
                <w:i w:val="0"/>
                <w:color w:val="000000"/>
                <w:sz w:val="20"/>
              </w:rPr>
              <w:t>TWA (8-uur)</w:t>
            </w:r>
          </w:p>
        </w:tc>
        <w:tc>
          <w:tcPr>
            <w:tcW w:type="dxa" w:w="6803"/>
            <w:shd w:val="clear" w:fill="F8F9FA"/>
          </w:tcPr>
          <w:p>
            <w:r/>
            <w:r>
              <w:rPr>
                <w:rFonts w:ascii="Calibri" w:hAnsi="Calibri" w:eastAsia="Calibri"/>
                <w:b w:val="0"/>
                <w:i w:val="0"/>
                <w:color w:val="000000"/>
                <w:sz w:val="20"/>
              </w:rPr>
              <w:t>Time Weighted Average: gemiddelde blootstelling over acht uur; wettelijke grenswaarde kwik 0,02 mg/m³ [2][11]</w:t>
            </w:r>
          </w:p>
        </w:tc>
      </w:tr>
      <w:tr>
        <w:tc>
          <w:tcPr>
            <w:tcW w:type="dxa" w:w="2551"/>
          </w:tcPr>
          <w:p>
            <w:r/>
            <w:r>
              <w:rPr>
                <w:rFonts w:ascii="Calibri" w:hAnsi="Calibri" w:eastAsia="Calibri"/>
                <w:b w:val="0"/>
                <w:i w:val="0"/>
                <w:color w:val="000000"/>
                <w:sz w:val="20"/>
              </w:rPr>
              <w:t>STEL (15 min)</w:t>
            </w:r>
          </w:p>
        </w:tc>
        <w:tc>
          <w:tcPr>
            <w:tcW w:type="dxa" w:w="6803"/>
          </w:tcPr>
          <w:p>
            <w:r/>
            <w:r>
              <w:rPr>
                <w:rFonts w:ascii="Calibri" w:hAnsi="Calibri" w:eastAsia="Calibri"/>
                <w:b w:val="0"/>
                <w:i w:val="0"/>
                <w:color w:val="000000"/>
                <w:sz w:val="20"/>
              </w:rPr>
              <w:t>Short Term Exposure Limit: piekblootstelling over vijftien minuten; kwik — (geen STEL in NL) [2][11]</w:t>
            </w:r>
          </w:p>
        </w:tc>
      </w:tr>
      <w:tr>
        <w:tc>
          <w:tcPr>
            <w:tcW w:type="dxa" w:w="2551"/>
            <w:shd w:val="clear" w:fill="F8F9FA"/>
          </w:tcPr>
          <w:p>
            <w:r/>
            <w:r>
              <w:rPr>
                <w:rFonts w:ascii="Calibri" w:hAnsi="Calibri" w:eastAsia="Calibri"/>
                <w:b w:val="0"/>
                <w:i w:val="0"/>
                <w:color w:val="000000"/>
                <w:sz w:val="20"/>
              </w:rPr>
              <w:t>SDS</w:t>
            </w:r>
          </w:p>
        </w:tc>
        <w:tc>
          <w:tcPr>
            <w:tcW w:type="dxa" w:w="6803"/>
            <w:shd w:val="clear" w:fill="F8F9FA"/>
          </w:tcPr>
          <w:p>
            <w:r/>
            <w:r>
              <w:rPr>
                <w:rFonts w:ascii="Calibri" w:hAnsi="Calibri" w:eastAsia="Calibri"/>
                <w:b w:val="0"/>
                <w:i w:val="0"/>
                <w:color w:val="000000"/>
                <w:sz w:val="20"/>
              </w:rPr>
              <w:t>Safety Data Sheet (veiligheidsinformatieblad); beschikbaarheid vereist conform Arbobesluit artikel 4.12 en REACH artikel 31 [2][6]</w:t>
            </w:r>
          </w:p>
        </w:tc>
      </w:tr>
      <w:tr>
        <w:tc>
          <w:tcPr>
            <w:tcW w:type="dxa" w:w="2551"/>
          </w:tcPr>
          <w:p>
            <w:r/>
            <w:r>
              <w:rPr>
                <w:rFonts w:ascii="Calibri" w:hAnsi="Calibri" w:eastAsia="Calibri"/>
                <w:b w:val="0"/>
                <w:i w:val="0"/>
                <w:color w:val="000000"/>
                <w:sz w:val="20"/>
              </w:rPr>
              <w:t>CLP</w:t>
            </w:r>
          </w:p>
        </w:tc>
        <w:tc>
          <w:tcPr>
            <w:tcW w:type="dxa" w:w="6803"/>
          </w:tcPr>
          <w:p>
            <w:r/>
            <w:r>
              <w:rPr>
                <w:rFonts w:ascii="Calibri" w:hAnsi="Calibri" w:eastAsia="Calibri"/>
                <w:b w:val="0"/>
                <w:i w:val="0"/>
                <w:color w:val="000000"/>
                <w:sz w:val="20"/>
              </w:rPr>
              <w:t>Verordening (EG) 1272/2008 voor classificatie, etikettering en verpakking van stoffen [7]</w:t>
            </w:r>
          </w:p>
        </w:tc>
      </w:tr>
      <w:tr>
        <w:tc>
          <w:tcPr>
            <w:tcW w:type="dxa" w:w="2551"/>
            <w:shd w:val="clear" w:fill="F8F9FA"/>
          </w:tcPr>
          <w:p>
            <w:r/>
            <w:r>
              <w:rPr>
                <w:rFonts w:ascii="Calibri" w:hAnsi="Calibri" w:eastAsia="Calibri"/>
                <w:b w:val="0"/>
                <w:i w:val="0"/>
                <w:color w:val="000000"/>
                <w:sz w:val="20"/>
              </w:rPr>
              <w:t>REACH</w:t>
            </w:r>
          </w:p>
        </w:tc>
        <w:tc>
          <w:tcPr>
            <w:tcW w:type="dxa" w:w="6803"/>
            <w:shd w:val="clear" w:fill="F8F9FA"/>
          </w:tcPr>
          <w:p>
            <w:r/>
            <w:r>
              <w:rPr>
                <w:rFonts w:ascii="Calibri" w:hAnsi="Calibri" w:eastAsia="Calibri"/>
                <w:b w:val="0"/>
                <w:i w:val="0"/>
                <w:color w:val="000000"/>
                <w:sz w:val="20"/>
              </w:rPr>
              <w:t>Verordening (EG) 1907/2006 betreffende registratie, evaluatie en autorisatie van chemische stoffen [6]</w:t>
            </w:r>
          </w:p>
        </w:tc>
      </w:tr>
      <w:tr>
        <w:tc>
          <w:tcPr>
            <w:tcW w:type="dxa" w:w="2551"/>
          </w:tcPr>
          <w:p>
            <w:r/>
            <w:r>
              <w:rPr>
                <w:rFonts w:ascii="Calibri" w:hAnsi="Calibri" w:eastAsia="Calibri"/>
                <w:b w:val="0"/>
                <w:i w:val="0"/>
                <w:color w:val="000000"/>
                <w:sz w:val="20"/>
              </w:rPr>
              <w:t>Bal</w:t>
            </w:r>
          </w:p>
        </w:tc>
        <w:tc>
          <w:tcPr>
            <w:tcW w:type="dxa" w:w="6803"/>
          </w:tcPr>
          <w:p>
            <w:r/>
            <w:r>
              <w:rPr>
                <w:rFonts w:ascii="Calibri" w:hAnsi="Calibri" w:eastAsia="Calibri"/>
                <w:b w:val="0"/>
                <w:i w:val="0"/>
                <w:color w:val="000000"/>
                <w:sz w:val="20"/>
              </w:rPr>
              <w:t>Besluit activiteiten leefomgeving; kader voor milieurelevante activiteiten, waaronder opslag en afvoer [5]</w:t>
            </w:r>
          </w:p>
        </w:tc>
      </w:tr>
      <w:tr>
        <w:tc>
          <w:tcPr>
            <w:tcW w:type="dxa" w:w="2551"/>
            <w:shd w:val="clear" w:fill="F8F9FA"/>
          </w:tcPr>
          <w:p>
            <w:r/>
            <w:r>
              <w:rPr>
                <w:rFonts w:ascii="Calibri" w:hAnsi="Calibri" w:eastAsia="Calibri"/>
                <w:b w:val="0"/>
                <w:i w:val="0"/>
                <w:color w:val="000000"/>
                <w:sz w:val="20"/>
              </w:rPr>
              <w:t>EU-Kwikverordening</w:t>
            </w:r>
          </w:p>
        </w:tc>
        <w:tc>
          <w:tcPr>
            <w:tcW w:type="dxa" w:w="6803"/>
            <w:shd w:val="clear" w:fill="F8F9FA"/>
          </w:tcPr>
          <w:p>
            <w:r/>
            <w:r>
              <w:rPr>
                <w:rFonts w:ascii="Calibri" w:hAnsi="Calibri" w:eastAsia="Calibri"/>
                <w:b w:val="0"/>
                <w:i w:val="0"/>
                <w:color w:val="000000"/>
                <w:sz w:val="20"/>
              </w:rPr>
              <w:t>Verordening (EU) 2017/852 inzake kwik, waaronder artikelen 5 (training/etikettering), 7 (PBM/opslag/decontaminatie), 8 (transport/afvoer) en 9 (meting/rapportage) [3]</w:t>
            </w:r>
          </w:p>
        </w:tc>
      </w:tr>
      <w:tr>
        <w:tc>
          <w:tcPr>
            <w:tcW w:type="dxa" w:w="2551"/>
          </w:tcPr>
          <w:p>
            <w:r/>
            <w:r>
              <w:rPr>
                <w:rFonts w:ascii="Calibri" w:hAnsi="Calibri" w:eastAsia="Calibri"/>
                <w:b w:val="0"/>
                <w:i w:val="0"/>
                <w:color w:val="000000"/>
                <w:sz w:val="20"/>
              </w:rPr>
              <w:t>XRF</w:t>
            </w:r>
          </w:p>
        </w:tc>
        <w:tc>
          <w:tcPr>
            <w:tcW w:type="dxa" w:w="6803"/>
          </w:tcPr>
          <w:p>
            <w:r/>
            <w:r>
              <w:rPr>
                <w:rFonts w:ascii="Calibri" w:hAnsi="Calibri" w:eastAsia="Calibri"/>
                <w:b w:val="0"/>
                <w:i w:val="0"/>
                <w:color w:val="000000"/>
                <w:sz w:val="20"/>
              </w:rPr>
              <w:t>Röntgenfluorescentie-analyse; draagbare meetmethode voor detectie van kwikvervuiling [audit §2.3]</w:t>
            </w:r>
          </w:p>
        </w:tc>
      </w:tr>
      <w:tr>
        <w:tc>
          <w:tcPr>
            <w:tcW w:type="dxa" w:w="2551"/>
            <w:shd w:val="clear" w:fill="F8F9FA"/>
          </w:tcPr>
          <w:p>
            <w:r/>
            <w:r>
              <w:rPr>
                <w:rFonts w:ascii="Calibri" w:hAnsi="Calibri" w:eastAsia="Calibri"/>
                <w:b w:val="0"/>
                <w:i w:val="0"/>
                <w:color w:val="000000"/>
                <w:sz w:val="20"/>
              </w:rPr>
              <w:t>ZZS</w:t>
            </w:r>
          </w:p>
        </w:tc>
        <w:tc>
          <w:tcPr>
            <w:tcW w:type="dxa" w:w="6803"/>
            <w:shd w:val="clear" w:fill="F8F9FA"/>
          </w:tcPr>
          <w:p>
            <w:r/>
            <w:r>
              <w:rPr>
                <w:rFonts w:ascii="Calibri" w:hAnsi="Calibri" w:eastAsia="Calibri"/>
                <w:b w:val="0"/>
                <w:i w:val="0"/>
                <w:color w:val="000000"/>
                <w:sz w:val="20"/>
              </w:rPr>
              <w:t>Zeer Zorgwekkende Stoffen; RIVM-richtlijnen [14]</w:t>
            </w:r>
          </w:p>
        </w:tc>
      </w:tr>
      <w:tr>
        <w:tc>
          <w:tcPr>
            <w:tcW w:type="dxa" w:w="2551"/>
          </w:tcPr>
          <w:p>
            <w:r/>
            <w:r>
              <w:rPr>
                <w:rFonts w:ascii="Calibri" w:hAnsi="Calibri" w:eastAsia="Calibri"/>
                <w:b w:val="0"/>
                <w:i w:val="0"/>
                <w:color w:val="000000"/>
                <w:sz w:val="20"/>
              </w:rPr>
              <w:t>NOGEPA</w:t>
            </w:r>
          </w:p>
        </w:tc>
        <w:tc>
          <w:tcPr>
            <w:tcW w:type="dxa" w:w="6803"/>
          </w:tcPr>
          <w:p>
            <w:r/>
            <w:r>
              <w:rPr>
                <w:rFonts w:ascii="Calibri" w:hAnsi="Calibri" w:eastAsia="Calibri"/>
                <w:b w:val="0"/>
                <w:i w:val="0"/>
                <w:color w:val="000000"/>
                <w:sz w:val="20"/>
              </w:rPr>
              <w:t>Nederlandse Olie en Gas Exploratie en Productie Associatie; brancherichtlijnen offshore [15]</w:t>
            </w:r>
          </w:p>
        </w:tc>
      </w:tr>
      <w:tr>
        <w:tc>
          <w:tcPr>
            <w:tcW w:type="dxa" w:w="2551"/>
            <w:shd w:val="clear" w:fill="F8F9FA"/>
          </w:tcPr>
          <w:p>
            <w:r/>
            <w:r>
              <w:rPr>
                <w:rFonts w:ascii="Calibri" w:hAnsi="Calibri" w:eastAsia="Calibri"/>
                <w:b w:val="0"/>
                <w:i w:val="0"/>
                <w:color w:val="000000"/>
                <w:sz w:val="20"/>
              </w:rPr>
              <w:t>PGS 6 / PGS 12</w:t>
            </w:r>
          </w:p>
        </w:tc>
        <w:tc>
          <w:tcPr>
            <w:tcW w:type="dxa" w:w="6803"/>
            <w:shd w:val="clear" w:fill="F8F9FA"/>
          </w:tcPr>
          <w:p>
            <w:r/>
            <w:r>
              <w:rPr>
                <w:rFonts w:ascii="Calibri" w:hAnsi="Calibri" w:eastAsia="Calibri"/>
                <w:b w:val="0"/>
                <w:i w:val="0"/>
                <w:color w:val="000000"/>
                <w:sz w:val="20"/>
              </w:rPr>
              <w:t>Publicatiereeks Gevaarlijke Stoffen: opslag- en handlingrichtlijnen voor gevaarlijke stoffen [12][13]</w:t>
            </w:r>
          </w:p>
        </w:tc>
      </w:tr>
      <w:tr>
        <w:tc>
          <w:tcPr>
            <w:tcW w:type="dxa" w:w="2551"/>
          </w:tcPr>
          <w:p>
            <w:r/>
            <w:r>
              <w:rPr>
                <w:rFonts w:ascii="Calibri" w:hAnsi="Calibri" w:eastAsia="Calibri"/>
                <w:b w:val="0"/>
                <w:i w:val="0"/>
                <w:color w:val="000000"/>
                <w:sz w:val="20"/>
              </w:rPr>
              <w:t>EMVI</w:t>
            </w:r>
          </w:p>
        </w:tc>
        <w:tc>
          <w:tcPr>
            <w:tcW w:type="dxa" w:w="6803"/>
          </w:tcPr>
          <w:p>
            <w:r/>
            <w:r>
              <w:rPr>
                <w:rFonts w:ascii="Calibri" w:hAnsi="Calibri" w:eastAsia="Calibri"/>
                <w:b w:val="0"/>
                <w:i w:val="0"/>
                <w:color w:val="000000"/>
                <w:sz w:val="20"/>
              </w:rPr>
              <w:t>Emergency Medical and First Aid Information; nood- en eerste hulpinformatie, verplicht conform Arbobesluit artikel 4.11 [2]</w:t>
            </w:r>
          </w:p>
        </w:tc>
      </w:tr>
      <w:tr>
        <w:tc>
          <w:tcPr>
            <w:tcW w:type="dxa" w:w="2551"/>
            <w:shd w:val="clear" w:fill="F8F9FA"/>
          </w:tcPr>
          <w:p>
            <w:r/>
            <w:r>
              <w:rPr>
                <w:rFonts w:ascii="Calibri" w:hAnsi="Calibri" w:eastAsia="Calibri"/>
                <w:b w:val="0"/>
                <w:i w:val="0"/>
                <w:color w:val="000000"/>
                <w:sz w:val="20"/>
              </w:rPr>
              <w:t>OIM</w:t>
            </w:r>
          </w:p>
        </w:tc>
        <w:tc>
          <w:tcPr>
            <w:tcW w:type="dxa" w:w="6803"/>
            <w:shd w:val="clear" w:fill="F8F9FA"/>
          </w:tcPr>
          <w:p>
            <w:r/>
            <w:r>
              <w:rPr>
                <w:rFonts w:ascii="Calibri" w:hAnsi="Calibri" w:eastAsia="Calibri"/>
                <w:b w:val="0"/>
                <w:i w:val="0"/>
                <w:color w:val="000000"/>
                <w:sz w:val="20"/>
              </w:rPr>
              <w:t>Offshore Installation Manager; eindverantwoordelijke op het platform</w:t>
            </w:r>
          </w:p>
        </w:tc>
      </w:tr>
      <w:tr>
        <w:tc>
          <w:tcPr>
            <w:tcW w:type="dxa" w:w="2551"/>
          </w:tcPr>
          <w:p>
            <w:r/>
            <w:r>
              <w:rPr>
                <w:rFonts w:ascii="Calibri" w:hAnsi="Calibri" w:eastAsia="Calibri"/>
                <w:b w:val="0"/>
                <w:i w:val="0"/>
                <w:color w:val="000000"/>
                <w:sz w:val="20"/>
              </w:rPr>
              <w:t>Erkende verwerker</w:t>
            </w:r>
          </w:p>
        </w:tc>
        <w:tc>
          <w:tcPr>
            <w:tcW w:type="dxa" w:w="6803"/>
          </w:tcPr>
          <w:p>
            <w:r/>
            <w:r>
              <w:rPr>
                <w:rFonts w:ascii="Calibri" w:hAnsi="Calibri" w:eastAsia="Calibri"/>
                <w:b w:val="0"/>
                <w:i w:val="0"/>
                <w:color w:val="000000"/>
                <w:sz w:val="20"/>
              </w:rPr>
              <w:t>Inwisselings- of verwerkingsbedrijf met geldige vergunning voor de verwerking van kwikhoudend afval [3][5]</w:t>
            </w:r>
          </w:p>
        </w:tc>
      </w:tr>
      <w:tr>
        <w:tc>
          <w:tcPr>
            <w:tcW w:type="dxa" w:w="2551"/>
            <w:shd w:val="clear" w:fill="F8F9FA"/>
          </w:tcPr>
          <w:p>
            <w:r/>
            <w:r>
              <w:rPr>
                <w:rFonts w:ascii="Calibri" w:hAnsi="Calibri" w:eastAsia="Calibri"/>
                <w:b w:val="0"/>
                <w:i w:val="0"/>
                <w:color w:val="000000"/>
                <w:sz w:val="20"/>
              </w:rPr>
              <w:t>Verdacht materiaal</w:t>
            </w:r>
          </w:p>
        </w:tc>
        <w:tc>
          <w:tcPr>
            <w:tcW w:type="dxa" w:w="6803"/>
            <w:shd w:val="clear" w:fill="F8F9FA"/>
          </w:tcPr>
          <w:p>
            <w:r/>
            <w:r>
              <w:rPr>
                <w:rFonts w:ascii="Calibri" w:hAnsi="Calibri" w:eastAsia="Calibri"/>
                <w:b w:val="0"/>
                <w:i w:val="0"/>
                <w:color w:val="000000"/>
                <w:sz w:val="20"/>
              </w:rPr>
              <w:t>Materiaal dat niet is onderzocht of waarvan een XRF-indicatie nog niet door laboratoriumanalyse is bevestigd; wordt behandeld als besmet [audit §3.1]</w:t>
            </w:r>
          </w:p>
        </w:tc>
      </w:tr>
      <w:tr>
        <w:tc>
          <w:tcPr>
            <w:tcW w:type="dxa" w:w="2551"/>
          </w:tcPr>
          <w:p>
            <w:r/>
            <w:r>
              <w:rPr>
                <w:rFonts w:ascii="Calibri" w:hAnsi="Calibri" w:eastAsia="Calibri"/>
                <w:b w:val="0"/>
                <w:i w:val="0"/>
                <w:color w:val="000000"/>
                <w:sz w:val="20"/>
              </w:rPr>
              <w:t>Bevestigd besmet</w:t>
            </w:r>
          </w:p>
        </w:tc>
        <w:tc>
          <w:tcPr>
            <w:tcW w:type="dxa" w:w="6803"/>
          </w:tcPr>
          <w:p>
            <w:r/>
            <w:r>
              <w:rPr>
                <w:rFonts w:ascii="Calibri" w:hAnsi="Calibri" w:eastAsia="Calibri"/>
                <w:b w:val="0"/>
                <w:i w:val="0"/>
                <w:color w:val="000000"/>
                <w:sz w:val="20"/>
              </w:rPr>
              <w:t>Materiaal met positieve laboratoriumbevestiging of onmiskenbaar visueel bewijs van elementair kwik [audit §3.1]</w:t>
            </w:r>
          </w:p>
        </w:tc>
      </w:tr>
      <w:tr>
        <w:tc>
          <w:tcPr>
            <w:tcW w:type="dxa" w:w="2551"/>
            <w:shd w:val="clear" w:fill="F8F9FA"/>
          </w:tcPr>
          <w:p>
            <w:r/>
            <w:r>
              <w:rPr>
                <w:rFonts w:ascii="Calibri" w:hAnsi="Calibri" w:eastAsia="Calibri"/>
                <w:b w:val="0"/>
                <w:i w:val="0"/>
                <w:color w:val="000000"/>
                <w:sz w:val="20"/>
              </w:rPr>
              <w:t>Actiewaarde</w:t>
            </w:r>
          </w:p>
        </w:tc>
        <w:tc>
          <w:tcPr>
            <w:tcW w:type="dxa" w:w="6803"/>
            <w:shd w:val="clear" w:fill="F8F9FA"/>
          </w:tcPr>
          <w:p>
            <w:r/>
            <w:r>
              <w:rPr>
                <w:rFonts w:ascii="Calibri" w:hAnsi="Calibri" w:eastAsia="Calibri"/>
                <w:b w:val="0"/>
                <w:i w:val="0"/>
                <w:color w:val="000000"/>
                <w:sz w:val="20"/>
              </w:rPr>
              <w:t>Concentratie onder de grenswaarde waarop aanvullende beheersmaatregelen worden geïnitieerd [2]</w:t>
            </w:r>
          </w:p>
        </w:tc>
      </w:tr>
    </w:tbl>
    <w:p>
      <w:pPr>
        <w:spacing w:after="40"/>
      </w:pPr>
    </w:p>
    <w:p>
      <w:pPr>
        <w:pStyle w:val="Heading1"/>
        <w:keepNext/>
        <w:spacing w:before="280" w:after="160"/>
        <w:pBdr>
          <w:bottom w:val="single" w:sz="12" w:space="2" w:color="003366"/>
        </w:pBdr>
      </w:pPr>
      <w:r>
        <w:rPr>
          <w:rFonts w:ascii="Calibri" w:hAnsi="Calibri" w:eastAsia="Calibri"/>
          <w:b/>
          <w:i w:val="0"/>
          <w:color w:val="003366"/>
          <w:sz w:val="32"/>
        </w:rPr>
        <w:t>4. Werkwijze / Procedure</w:t>
      </w:r>
    </w:p>
    <w:p>
      <w:pPr>
        <w:pStyle w:val="Heading2"/>
        <w:keepNext/>
        <w:spacing w:before="200" w:after="160"/>
      </w:pPr>
      <w:r>
        <w:rPr>
          <w:rFonts w:ascii="Calibri" w:hAnsi="Calibri" w:eastAsia="Calibri"/>
          <w:b/>
          <w:i w:val="0"/>
          <w:color w:val="003366"/>
          <w:sz w:val="26"/>
        </w:rPr>
        <w:t>4.1 Algemene Uitgangspunten en Basiseisen</w:t>
      </w:r>
    </w:p>
    <w:p>
      <w:pPr>
        <w:spacing w:after="160" w:before="0"/>
        <w:jc w:val="both"/>
      </w:pPr>
      <w:r>
        <w:rPr>
          <w:rFonts w:ascii="Calibri" w:hAnsi="Calibri" w:eastAsia="Calibri"/>
          <w:b w:val="0"/>
          <w:i w:val="0"/>
          <w:color w:val="000000"/>
          <w:sz w:val="22"/>
        </w:rPr>
        <w:t>Voordat enige fase uit paragraaf 4.2 tot en met 4.7 start, zijn de volgende basiseisen vereist. Deze eisen volgen rechtstreeks uit de toetsingsmatrix van de compliance audit [audit §2.2]:</w:t>
      </w:r>
    </w:p>
    <w:p>
      <w:pPr>
        <w:pStyle w:val="ListBullet"/>
        <w:spacing w:after="80"/>
        <w:ind w:left="425"/>
      </w:pPr>
      <w:r>
        <w:rPr>
          <w:rFonts w:ascii="Calibri" w:hAnsi="Calibri" w:eastAsia="Calibri"/>
          <w:b w:val="0"/>
          <w:i w:val="0"/>
          <w:color w:val="000000"/>
          <w:sz w:val="22"/>
        </w:rPr>
        <w:t>Een actuele RI&amp;E met een specifiek kwikartikel: inventarisatie van kwikbronnen (manometers, kleppen, separators), risicoschatting per activiteit (inspectie, verwijdering, transport) en beoordeling van blootstellingsroutes (inhalatie, huidcontact, inslikken) — Arbobesluit artikel 4.1 [2].</w:t>
      </w:r>
    </w:p>
    <w:p>
      <w:pPr>
        <w:pStyle w:val="ListBullet"/>
        <w:spacing w:after="80"/>
        <w:ind w:left="425"/>
      </w:pPr>
      <w:r>
        <w:rPr>
          <w:rFonts w:ascii="Calibri" w:hAnsi="Calibri" w:eastAsia="Calibri"/>
          <w:b w:val="0"/>
          <w:i w:val="0"/>
          <w:color w:val="000000"/>
          <w:sz w:val="22"/>
        </w:rPr>
        <w:t>Een goedgekeurd plan van aanpak met stapsgewijze fasering conform Arbobesluit artikel 4.2 [2].</w:t>
      </w:r>
    </w:p>
    <w:p>
      <w:pPr>
        <w:pStyle w:val="ListBullet"/>
        <w:spacing w:after="80"/>
        <w:ind w:left="425"/>
      </w:pPr>
      <w:r>
        <w:rPr>
          <w:rFonts w:ascii="Calibri" w:hAnsi="Calibri" w:eastAsia="Calibri"/>
          <w:b w:val="0"/>
          <w:i w:val="0"/>
          <w:color w:val="000000"/>
          <w:sz w:val="22"/>
        </w:rPr>
        <w:t>Voorlichting en training van alle betrokken medewerkers, inclusief platformspecifieke procedures — Arbobesluit artikel 4.3 en EU-Kwikverordening artikel 5 [2][3].</w:t>
      </w:r>
    </w:p>
    <w:p>
      <w:pPr>
        <w:pStyle w:val="ListBullet"/>
        <w:spacing w:after="80"/>
        <w:ind w:left="425"/>
      </w:pPr>
      <w:r>
        <w:rPr>
          <w:rFonts w:ascii="Calibri" w:hAnsi="Calibri" w:eastAsia="Calibri"/>
          <w:b w:val="0"/>
          <w:i w:val="0"/>
          <w:color w:val="000000"/>
          <w:sz w:val="22"/>
        </w:rPr>
        <w:t>Medische surveillance voor iedereen met mogelijke kwikblootstelling — Arbobesluit artikel 4.6 [2].</w:t>
      </w:r>
    </w:p>
    <w:p>
      <w:pPr>
        <w:pStyle w:val="ListBullet"/>
        <w:spacing w:after="80"/>
        <w:ind w:left="425"/>
      </w:pPr>
      <w:r>
        <w:rPr>
          <w:rFonts w:ascii="Calibri" w:hAnsi="Calibri" w:eastAsia="Calibri"/>
          <w:b w:val="0"/>
          <w:i w:val="0"/>
          <w:color w:val="000000"/>
          <w:sz w:val="22"/>
        </w:rPr>
        <w:t>De veiligheidsinformatiebladen (SDS) van kwik fysiek en digitaal beschikbaar op het platform en op kantoor — Arbobesluit artikel 4.12 en REACH artikel 31 [2][6].</w:t>
      </w:r>
    </w:p>
    <w:p>
      <w:pPr>
        <w:pStyle w:val="ListBullet"/>
        <w:spacing w:after="80"/>
        <w:ind w:left="425"/>
      </w:pPr>
      <w:r>
        <w:rPr>
          <w:rFonts w:ascii="Calibri" w:hAnsi="Calibri" w:eastAsia="Calibri"/>
          <w:b w:val="0"/>
          <w:i w:val="0"/>
          <w:color w:val="000000"/>
          <w:sz w:val="22"/>
        </w:rPr>
        <w:t>Beschikbaarstelling van PBM conform de specificatie in tabel 4.2 — Arbobesluit artikel 4.5 en EU-Kwikverordening artikel 7 [2][3][9].</w:t>
      </w:r>
    </w:p>
    <w:p>
      <w:pPr>
        <w:pStyle w:val="ListBullet"/>
        <w:spacing w:after="80"/>
        <w:ind w:left="425"/>
      </w:pPr>
      <w:r>
        <w:rPr>
          <w:rFonts w:ascii="Calibri" w:hAnsi="Calibri" w:eastAsia="Calibri"/>
          <w:b w:val="0"/>
          <w:i w:val="0"/>
          <w:color w:val="000000"/>
          <w:sz w:val="22"/>
        </w:rPr>
        <w:t>Offshorespecifieke training: platformspecifieke procedures, helikopter safety en boat transfers maken deel uit van de verplichte training [audit §2.3].</w:t>
      </w:r>
    </w:p>
    <w:p>
      <w:pPr>
        <w:spacing w:after="160" w:before="120"/>
        <w:jc w:val="both"/>
      </w:pPr>
      <w:r>
        <w:rPr>
          <w:rFonts w:ascii="Calibri" w:hAnsi="Calibri" w:eastAsia="Calibri"/>
          <w:b/>
          <w:i w:val="0"/>
          <w:color w:val="000000"/>
          <w:sz w:val="22"/>
        </w:rPr>
        <w:t>Trainings- en instructie-eisen</w:t>
      </w:r>
    </w:p>
    <w:p>
      <w:pPr>
        <w:spacing w:after="160" w:before="0"/>
        <w:jc w:val="both"/>
      </w:pPr>
      <w:r>
        <w:rPr>
          <w:rFonts w:ascii="Calibri" w:hAnsi="Calibri" w:eastAsia="Calibri"/>
          <w:b w:val="0"/>
          <w:i w:val="0"/>
          <w:color w:val="000000"/>
          <w:sz w:val="22"/>
        </w:rPr>
        <w:t>Alle betrokken medewerkers ontvangen voorlichting en training over de risico's van kwik, de inhoud van deze procedure, het juiste gebruik van de PBM uit tabel 4.2 en de noodprocedures uit paragraaf 6.1, conform Arbobesluit artikel 4.3 en EU-Kwikverordening artikel 5 [2][3]. De training wordt verzorgd door een daartoe gekwalificeerde instructeur, wordt vóór de eerste werkzaamheden afgerond en wordt herhaald bij wijziging van de procedure of na een incident [2][3]. Deelname wordt geregistreerd conform hoofdstuk 7. Vóór eerste inzet vindt daarnaast de medische aanmelding voor de gezondheidssurveillance plaats (paragraaf 6.3) [2].</w:t>
      </w:r>
    </w:p>
    <w:p>
      <w:pPr>
        <w:spacing w:after="160" w:before="120"/>
        <w:jc w:val="both"/>
      </w:pPr>
      <w:r>
        <w:rPr>
          <w:rFonts w:ascii="Calibri" w:hAnsi="Calibri" w:eastAsia="Calibri"/>
          <w:b/>
          <w:i w:val="0"/>
          <w:color w:val="000000"/>
          <w:sz w:val="22"/>
        </w:rPr>
        <w:t>Grenswaarden en classificatie</w:t>
      </w:r>
    </w:p>
    <w:p>
      <w:pPr>
        <w:spacing w:after="160" w:before="0"/>
        <w:jc w:val="both"/>
      </w:pPr>
      <w:r>
        <w:rPr>
          <w:rFonts w:ascii="Calibri" w:hAnsi="Calibri" w:eastAsia="Calibri"/>
          <w:b w:val="0"/>
          <w:i w:val="0"/>
          <w:color w:val="000000"/>
          <w:sz w:val="22"/>
        </w:rPr>
        <w:t>De volgende wettelijke grenswaarden en classificaties zijn bindend voor alle fasen van deze procedure:</w:t>
      </w:r>
    </w:p>
    <w:p>
      <w:pPr>
        <w:spacing w:after="160" w:before="0"/>
        <w:jc w:val="left"/>
      </w:pPr>
      <w:r>
        <w:rPr>
          <w:rFonts w:ascii="Calibri" w:hAnsi="Calibri" w:eastAsia="Calibri"/>
          <w:b w:val="0"/>
          <w:i/>
          <w:color w:val="1F2937"/>
          <w:sz w:val="18"/>
        </w:rPr>
        <w:t>Tabel 4.1 — SER-grenswaarden voor kwik en anorganische kwikverbindingen [2][11]</w:t>
      </w:r>
    </w:p>
    <w:tbl>
      <w:tblPr>
        <w:tblStyle w:val="TableGrid"/>
        <w:tblW w:type="auto" w:w="0"/>
        <w:jc w:val="center"/>
        <w:tblLook w:firstColumn="1" w:firstRow="1" w:lastColumn="0" w:lastRow="0" w:noHBand="0" w:noVBand="1" w:val="04A0"/>
      </w:tblPr>
      <w:tblGrid>
        <w:gridCol w:w="3173"/>
        <w:gridCol w:w="3173"/>
        <w:gridCol w:w="3173"/>
      </w:tblGrid>
      <w:tr>
        <w:tc>
          <w:tcPr>
            <w:tcW w:type="dxa" w:w="4535"/>
            <w:shd w:val="clear" w:fill="003366"/>
          </w:tcPr>
          <w:p>
            <w:r/>
            <w:r>
              <w:rPr>
                <w:rFonts w:ascii="Calibri" w:hAnsi="Calibri" w:eastAsia="Calibri"/>
                <w:b/>
                <w:i w:val="0"/>
                <w:color w:val="FFFFFF"/>
                <w:sz w:val="20"/>
              </w:rPr>
              <w:t>Parameter</w:t>
            </w:r>
          </w:p>
        </w:tc>
        <w:tc>
          <w:tcPr>
            <w:tcW w:type="dxa" w:w="2381"/>
            <w:shd w:val="clear" w:fill="003366"/>
          </w:tcPr>
          <w:p>
            <w:r/>
            <w:r>
              <w:rPr>
                <w:rFonts w:ascii="Calibri" w:hAnsi="Calibri" w:eastAsia="Calibri"/>
                <w:b/>
                <w:i w:val="0"/>
                <w:color w:val="FFFFFF"/>
                <w:sz w:val="20"/>
              </w:rPr>
              <w:t>8-uur TWA (mg/m³)</w:t>
            </w:r>
          </w:p>
        </w:tc>
        <w:tc>
          <w:tcPr>
            <w:tcW w:type="dxa" w:w="2381"/>
            <w:shd w:val="clear" w:fill="003366"/>
          </w:tcPr>
          <w:p>
            <w:r/>
            <w:r>
              <w:rPr>
                <w:rFonts w:ascii="Calibri" w:hAnsi="Calibri" w:eastAsia="Calibri"/>
                <w:b/>
                <w:i w:val="0"/>
                <w:color w:val="FFFFFF"/>
                <w:sz w:val="20"/>
              </w:rPr>
              <w:t>STEL 15 min (mg/m³)</w:t>
            </w:r>
          </w:p>
        </w:tc>
      </w:tr>
      <w:tr>
        <w:tc>
          <w:tcPr>
            <w:tcW w:type="dxa" w:w="4535"/>
          </w:tcPr>
          <w:p>
            <w:r/>
            <w:r>
              <w:rPr>
                <w:rFonts w:ascii="Calibri" w:hAnsi="Calibri" w:eastAsia="Calibri"/>
                <w:b w:val="0"/>
                <w:i w:val="0"/>
                <w:color w:val="000000"/>
                <w:sz w:val="20"/>
              </w:rPr>
              <w:t>Kwik en anorganische verbindingen</w:t>
            </w:r>
          </w:p>
        </w:tc>
        <w:tc>
          <w:tcPr>
            <w:tcW w:type="dxa" w:w="2381"/>
          </w:tcPr>
          <w:p>
            <w:r/>
            <w:r>
              <w:rPr>
                <w:rFonts w:ascii="Calibri" w:hAnsi="Calibri" w:eastAsia="Calibri"/>
                <w:b w:val="0"/>
                <w:i w:val="0"/>
                <w:color w:val="000000"/>
                <w:sz w:val="20"/>
              </w:rPr>
              <w:t>0,02</w:t>
            </w:r>
          </w:p>
        </w:tc>
        <w:tc>
          <w:tcPr>
            <w:tcW w:type="dxa" w:w="2381"/>
          </w:tcPr>
          <w:p>
            <w:r/>
            <w:r>
              <w:rPr>
                <w:rFonts w:ascii="Calibri" w:hAnsi="Calibri" w:eastAsia="Calibri"/>
                <w:b w:val="0"/>
                <w:i w:val="0"/>
                <w:color w:val="000000"/>
                <w:sz w:val="20"/>
              </w:rPr>
              <w:t>— (geen STEL in NL)</w:t>
            </w:r>
          </w:p>
        </w:tc>
      </w:tr>
    </w:tbl>
    <w:p>
      <w:pPr>
        <w:spacing w:after="40"/>
      </w:pPr>
    </w:p>
    <w:p>
      <w:pPr>
        <w:spacing w:after="160" w:before="0"/>
        <w:jc w:val="both"/>
      </w:pPr>
      <w:r>
        <w:rPr>
          <w:rFonts w:ascii="Calibri" w:hAnsi="Calibri" w:eastAsia="Calibri"/>
          <w:b w:val="0"/>
          <w:i w:val="0"/>
          <w:color w:val="000000"/>
          <w:sz w:val="22"/>
        </w:rPr>
        <w:t>Bij overschrijding van een actiewaarde onder de grenswaarde worden aanvullende beheersmaatregelen genomen; bij overschrijding van de grenswaarde wordt het werk onmiddellijk stilgelegd, wordt de blootstelling onderzocht conform Arbobesluit artikel 4.10 en wordt herstart pas toegestaan nadat de oorzaak is weggenomen [2].</w:t>
      </w:r>
    </w:p>
    <w:p>
      <w:pPr>
        <w:spacing w:after="160" w:before="0"/>
        <w:jc w:val="left"/>
      </w:pPr>
      <w:r>
        <w:rPr>
          <w:rFonts w:ascii="Calibri" w:hAnsi="Calibri" w:eastAsia="Calibri"/>
          <w:b w:val="0"/>
          <w:i/>
          <w:color w:val="1F2937"/>
          <w:sz w:val="18"/>
        </w:rPr>
        <w:t>Tabel 4.2 — CLP-classificatie en PBM-pakket kwik [7][9]</w:t>
      </w:r>
    </w:p>
    <w:tbl>
      <w:tblPr>
        <w:tblStyle w:val="TableGrid"/>
        <w:tblW w:type="auto" w:w="0"/>
        <w:jc w:val="center"/>
        <w:tblLook w:firstColumn="1" w:firstRow="1" w:lastColumn="0" w:lastRow="0" w:noHBand="0" w:noVBand="1" w:val="04A0"/>
      </w:tblPr>
      <w:tblGrid>
        <w:gridCol w:w="4759"/>
        <w:gridCol w:w="4759"/>
      </w:tblGrid>
      <w:tr>
        <w:tc>
          <w:tcPr>
            <w:tcW w:type="dxa" w:w="2381"/>
            <w:shd w:val="clear" w:fill="003366"/>
          </w:tcPr>
          <w:p>
            <w:r/>
            <w:r>
              <w:rPr>
                <w:rFonts w:ascii="Calibri" w:hAnsi="Calibri" w:eastAsia="Calibri"/>
                <w:b/>
                <w:i w:val="0"/>
                <w:color w:val="FFFFFF"/>
                <w:sz w:val="20"/>
              </w:rPr>
              <w:t>Element</w:t>
            </w:r>
          </w:p>
        </w:tc>
        <w:tc>
          <w:tcPr>
            <w:tcW w:type="dxa" w:w="6973"/>
            <w:shd w:val="clear" w:fill="003366"/>
          </w:tcPr>
          <w:p>
            <w:r/>
            <w:r>
              <w:rPr>
                <w:rFonts w:ascii="Calibri" w:hAnsi="Calibri" w:eastAsia="Calibri"/>
                <w:b/>
                <w:i w:val="0"/>
                <w:color w:val="FFFFFF"/>
                <w:sz w:val="20"/>
              </w:rPr>
              <w:t>Specificatie</w:t>
            </w:r>
          </w:p>
        </w:tc>
      </w:tr>
      <w:tr>
        <w:tc>
          <w:tcPr>
            <w:tcW w:type="dxa" w:w="2381"/>
          </w:tcPr>
          <w:p>
            <w:r/>
            <w:r>
              <w:rPr>
                <w:rFonts w:ascii="Calibri" w:hAnsi="Calibri" w:eastAsia="Calibri"/>
                <w:b w:val="0"/>
                <w:i w:val="0"/>
                <w:color w:val="000000"/>
                <w:sz w:val="20"/>
              </w:rPr>
              <w:t>Stof</w:t>
            </w:r>
          </w:p>
        </w:tc>
        <w:tc>
          <w:tcPr>
            <w:tcW w:type="dxa" w:w="6973"/>
          </w:tcPr>
          <w:p>
            <w:r/>
            <w:r>
              <w:rPr>
                <w:rFonts w:ascii="Calibri" w:hAnsi="Calibri" w:eastAsia="Calibri"/>
                <w:b w:val="0"/>
                <w:i w:val="0"/>
                <w:color w:val="000000"/>
                <w:sz w:val="20"/>
              </w:rPr>
              <w:t>Kwik (elementair), CAS 7439-97-6 [7]</w:t>
            </w:r>
          </w:p>
        </w:tc>
      </w:tr>
      <w:tr>
        <w:tc>
          <w:tcPr>
            <w:tcW w:type="dxa" w:w="2381"/>
            <w:shd w:val="clear" w:fill="F8F9FA"/>
          </w:tcPr>
          <w:p>
            <w:r/>
            <w:r>
              <w:rPr>
                <w:rFonts w:ascii="Calibri" w:hAnsi="Calibri" w:eastAsia="Calibri"/>
                <w:b w:val="0"/>
                <w:i w:val="0"/>
                <w:color w:val="000000"/>
                <w:sz w:val="20"/>
              </w:rPr>
              <w:t>H-zinnen</w:t>
            </w:r>
          </w:p>
        </w:tc>
        <w:tc>
          <w:tcPr>
            <w:tcW w:type="dxa" w:w="6973"/>
            <w:shd w:val="clear" w:fill="F8F9FA"/>
          </w:tcPr>
          <w:p>
            <w:r/>
            <w:r>
              <w:rPr>
                <w:rFonts w:ascii="Calibri" w:hAnsi="Calibri" w:eastAsia="Calibri"/>
                <w:b w:val="0"/>
                <w:i w:val="0"/>
                <w:color w:val="000000"/>
                <w:sz w:val="20"/>
              </w:rPr>
              <w:t>H360D (kan de vruchtbaarheid of het ongeboren kind schaden); H372 (kan de organen schaden bij langdurige of herhaalde blootstelling); H410 (zeer giftig voor waterorganismen, met langetermijneffecten) [7]</w:t>
            </w:r>
          </w:p>
        </w:tc>
      </w:tr>
      <w:tr>
        <w:tc>
          <w:tcPr>
            <w:tcW w:type="dxa" w:w="2381"/>
          </w:tcPr>
          <w:p>
            <w:r/>
            <w:r>
              <w:rPr>
                <w:rFonts w:ascii="Calibri" w:hAnsi="Calibri" w:eastAsia="Calibri"/>
                <w:b w:val="0"/>
                <w:i w:val="0"/>
                <w:color w:val="000000"/>
                <w:sz w:val="20"/>
              </w:rPr>
              <w:t>P-zinnen</w:t>
            </w:r>
          </w:p>
        </w:tc>
        <w:tc>
          <w:tcPr>
            <w:tcW w:type="dxa" w:w="6973"/>
          </w:tcPr>
          <w:p>
            <w:r/>
            <w:r>
              <w:rPr>
                <w:rFonts w:ascii="Calibri" w:hAnsi="Calibri" w:eastAsia="Calibri"/>
                <w:b w:val="0"/>
                <w:i w:val="0"/>
                <w:color w:val="000000"/>
                <w:sz w:val="20"/>
              </w:rPr>
              <w:t>P201, P260, P281, P301+P310+P330, P304+P340+P312, P405, P501 [7]</w:t>
            </w:r>
          </w:p>
        </w:tc>
      </w:tr>
      <w:tr>
        <w:tc>
          <w:tcPr>
            <w:tcW w:type="dxa" w:w="2381"/>
            <w:shd w:val="clear" w:fill="F8F9FA"/>
          </w:tcPr>
          <w:p>
            <w:r/>
            <w:r>
              <w:rPr>
                <w:rFonts w:ascii="Calibri" w:hAnsi="Calibri" w:eastAsia="Calibri"/>
                <w:b w:val="0"/>
                <w:i w:val="0"/>
                <w:color w:val="000000"/>
                <w:sz w:val="20"/>
              </w:rPr>
              <w:t>Adembescherming</w:t>
            </w:r>
          </w:p>
        </w:tc>
        <w:tc>
          <w:tcPr>
            <w:tcW w:type="dxa" w:w="6973"/>
            <w:shd w:val="clear" w:fill="F8F9FA"/>
          </w:tcPr>
          <w:p>
            <w:r/>
            <w:r>
              <w:rPr>
                <w:rFonts w:ascii="Calibri" w:hAnsi="Calibri" w:eastAsia="Calibri"/>
                <w:b w:val="0"/>
                <w:i w:val="0"/>
                <w:color w:val="000000"/>
                <w:sz w:val="20"/>
              </w:rPr>
              <w:t>Minimaal halfgelaatsmasker met P3-filter; bij verhoogde concentraties volgelaatsmasker met P3-filter (beschermingsfactor 1000); FFP3-stofmasker (beschermingsfactor 50) uitsluitend voor kortdurende taken met lage verwachte blootstelling [audit §3.1]</w:t>
            </w:r>
          </w:p>
        </w:tc>
      </w:tr>
      <w:tr>
        <w:tc>
          <w:tcPr>
            <w:tcW w:type="dxa" w:w="2381"/>
          </w:tcPr>
          <w:p>
            <w:r/>
            <w:r>
              <w:rPr>
                <w:rFonts w:ascii="Calibri" w:hAnsi="Calibri" w:eastAsia="Calibri"/>
                <w:b w:val="0"/>
                <w:i w:val="0"/>
                <w:color w:val="000000"/>
                <w:sz w:val="20"/>
              </w:rPr>
              <w:t>Handbescherming</w:t>
            </w:r>
          </w:p>
        </w:tc>
        <w:tc>
          <w:tcPr>
            <w:tcW w:type="dxa" w:w="6973"/>
          </w:tcPr>
          <w:p>
            <w:r/>
            <w:r>
              <w:rPr>
                <w:rFonts w:ascii="Calibri" w:hAnsi="Calibri" w:eastAsia="Calibri"/>
                <w:b w:val="0"/>
                <w:i w:val="0"/>
                <w:color w:val="000000"/>
                <w:sz w:val="20"/>
              </w:rPr>
              <w:t>Nitrilhandschoenen, onbeschadigd, vervanging bij elke taakwissel [audit §3.1]</w:t>
            </w:r>
          </w:p>
        </w:tc>
      </w:tr>
      <w:tr>
        <w:tc>
          <w:tcPr>
            <w:tcW w:type="dxa" w:w="2381"/>
            <w:shd w:val="clear" w:fill="F8F9FA"/>
          </w:tcPr>
          <w:p>
            <w:r/>
            <w:r>
              <w:rPr>
                <w:rFonts w:ascii="Calibri" w:hAnsi="Calibri" w:eastAsia="Calibri"/>
                <w:b w:val="0"/>
                <w:i w:val="0"/>
                <w:color w:val="000000"/>
                <w:sz w:val="20"/>
              </w:rPr>
              <w:t>Lichaamsbescherming</w:t>
            </w:r>
          </w:p>
        </w:tc>
        <w:tc>
          <w:tcPr>
            <w:tcW w:type="dxa" w:w="6973"/>
            <w:shd w:val="clear" w:fill="F8F9FA"/>
          </w:tcPr>
          <w:p>
            <w:r/>
            <w:r>
              <w:rPr>
                <w:rFonts w:ascii="Calibri" w:hAnsi="Calibri" w:eastAsia="Calibri"/>
                <w:b w:val="0"/>
                <w:i w:val="0"/>
                <w:color w:val="000000"/>
                <w:sz w:val="20"/>
              </w:rPr>
              <w:t>Disposable beschermende kleding (coverall type 5/6), na elke werksessie afvoeren als kwikbesmet afval [audit §3.1]</w:t>
            </w:r>
          </w:p>
        </w:tc>
      </w:tr>
      <w:tr>
        <w:tc>
          <w:tcPr>
            <w:tcW w:type="dxa" w:w="2381"/>
          </w:tcPr>
          <w:p>
            <w:r/>
            <w:r>
              <w:rPr>
                <w:rFonts w:ascii="Calibri" w:hAnsi="Calibri" w:eastAsia="Calibri"/>
                <w:b w:val="0"/>
                <w:i w:val="0"/>
                <w:color w:val="000000"/>
                <w:sz w:val="20"/>
              </w:rPr>
              <w:t>Oogbescherming</w:t>
            </w:r>
          </w:p>
        </w:tc>
        <w:tc>
          <w:tcPr>
            <w:tcW w:type="dxa" w:w="6973"/>
          </w:tcPr>
          <w:p>
            <w:r/>
            <w:r>
              <w:rPr>
                <w:rFonts w:ascii="Calibri" w:hAnsi="Calibri" w:eastAsia="Calibri"/>
                <w:b w:val="0"/>
                <w:i w:val="0"/>
                <w:color w:val="000000"/>
                <w:sz w:val="20"/>
              </w:rPr>
              <w:t>Afgesloten veiligheidsbril of goggle [audit §3.1]</w:t>
            </w:r>
          </w:p>
        </w:tc>
      </w:tr>
      <w:tr>
        <w:tc>
          <w:tcPr>
            <w:tcW w:type="dxa" w:w="2381"/>
            <w:shd w:val="clear" w:fill="F8F9FA"/>
          </w:tcPr>
          <w:p>
            <w:r/>
            <w:r>
              <w:rPr>
                <w:rFonts w:ascii="Calibri" w:hAnsi="Calibri" w:eastAsia="Calibri"/>
                <w:b w:val="0"/>
                <w:i w:val="0"/>
                <w:color w:val="000000"/>
                <w:sz w:val="20"/>
              </w:rPr>
              <w:t>Voetbescherming</w:t>
            </w:r>
          </w:p>
        </w:tc>
        <w:tc>
          <w:tcPr>
            <w:tcW w:type="dxa" w:w="6973"/>
            <w:shd w:val="clear" w:fill="F8F9FA"/>
          </w:tcPr>
          <w:p>
            <w:r/>
            <w:r>
              <w:rPr>
                <w:rFonts w:ascii="Calibri" w:hAnsi="Calibri" w:eastAsia="Calibri"/>
                <w:b w:val="0"/>
                <w:i w:val="0"/>
                <w:color w:val="000000"/>
                <w:sz w:val="20"/>
              </w:rPr>
              <w:t>Chemisch bestendige laarzen of overschoenen [audit §3.1]</w:t>
            </w:r>
          </w:p>
        </w:tc>
      </w:tr>
    </w:tbl>
    <w:p>
      <w:pPr>
        <w:spacing w:after="40"/>
      </w:pPr>
    </w:p>
    <w:p>
      <w:pPr>
        <w:spacing w:after="160" w:before="0"/>
        <w:jc w:val="both"/>
      </w:pPr>
      <w:r>
        <w:rPr>
          <w:rFonts w:ascii="Calibri" w:hAnsi="Calibri" w:eastAsia="Calibri"/>
          <w:b w:val="0"/>
          <w:i w:val="0"/>
          <w:color w:val="000000"/>
          <w:sz w:val="22"/>
        </w:rPr>
        <w:t>De volledige PBM-set wordt gedragen bij elke activiteit waarbij direct contact met kwik of kwikbesmet materiaal redelijkerwijs mogelijk is. Gebruikte PBM wordt nooit buiten de afgebakende werkzone afgelegd en wordt afgevoerd conform hoofdstuk 4.7 [2][3].</w:t>
      </w:r>
    </w:p>
    <w:p>
      <w:pPr>
        <w:pStyle w:val="Heading2"/>
        <w:keepNext/>
        <w:spacing w:before="200" w:after="160"/>
      </w:pPr>
      <w:r>
        <w:rPr>
          <w:rFonts w:ascii="Calibri" w:hAnsi="Calibri" w:eastAsia="Calibri"/>
          <w:b/>
          <w:i w:val="0"/>
          <w:color w:val="003366"/>
          <w:sz w:val="26"/>
        </w:rPr>
        <w:t>4.2 Pre-removal Survey</w:t>
      </w:r>
    </w:p>
    <w:p>
      <w:pPr>
        <w:spacing w:after="160" w:before="0"/>
        <w:jc w:val="both"/>
      </w:pPr>
      <w:r>
        <w:rPr>
          <w:rFonts w:ascii="Calibri" w:hAnsi="Calibri" w:eastAsia="Calibri"/>
          <w:b w:val="0"/>
          <w:i w:val="0"/>
          <w:color w:val="000000"/>
          <w:sz w:val="22"/>
        </w:rPr>
        <w:t>Olie- en gasinstallaties kunnen historische kwikvervuiling bevatten. Vóór de verwijdering van kleine installatieonderdelen wordt daarom een pre-removal survey uitgevoerd die alle potentiële kwikbronnen identificeert en classificeert [audit §2.3][2].</w:t>
      </w:r>
    </w:p>
    <w:p>
      <w:pPr>
        <w:spacing w:after="120"/>
        <w:ind w:left="510" w:hanging="510"/>
      </w:pPr>
      <w:r>
        <w:rPr>
          <w:rFonts w:ascii="Calibri" w:hAnsi="Calibri" w:eastAsia="Calibri"/>
          <w:b/>
          <w:i w:val="0"/>
          <w:color w:val="003366"/>
          <w:sz w:val="22"/>
        </w:rPr>
        <w:t xml:space="preserve">Stap 1 — </w:t>
      </w:r>
      <w:r>
        <w:rPr>
          <w:rFonts w:ascii="Calibri" w:hAnsi="Calibri" w:eastAsia="Calibri"/>
          <w:b/>
          <w:i w:val="0"/>
          <w:color w:val="000000"/>
          <w:sz w:val="22"/>
        </w:rPr>
        <w:t xml:space="preserve">[HSEQ Officer] </w:t>
      </w:r>
      <w:r>
        <w:rPr>
          <w:rFonts w:ascii="Calibri" w:hAnsi="Calibri" w:eastAsia="Calibri"/>
          <w:b w:val="0"/>
          <w:i w:val="0"/>
          <w:color w:val="000000"/>
          <w:sz w:val="22"/>
        </w:rPr>
        <w:t>Stel op basis van P&amp;ID's, historische bedrijfsgegevens en de RI&amp;E een inventarislijst op van potentiële kwikbronnen, met nadruk op manometers, kleppen en separators [audit §3.1].</w:t>
      </w:r>
    </w:p>
    <w:p>
      <w:pPr>
        <w:spacing w:after="120"/>
        <w:ind w:left="510" w:hanging="510"/>
      </w:pPr>
      <w:r>
        <w:rPr>
          <w:rFonts w:ascii="Calibri" w:hAnsi="Calibri" w:eastAsia="Calibri"/>
          <w:b/>
          <w:i w:val="0"/>
          <w:color w:val="003366"/>
          <w:sz w:val="22"/>
        </w:rPr>
        <w:t xml:space="preserve">Stap 2 — </w:t>
      </w:r>
      <w:r>
        <w:rPr>
          <w:rFonts w:ascii="Calibri" w:hAnsi="Calibri" w:eastAsia="Calibri"/>
          <w:b/>
          <w:i w:val="0"/>
          <w:color w:val="000000"/>
          <w:sz w:val="22"/>
        </w:rPr>
        <w:t xml:space="preserve">[HSEQ Officer + Uitvoerend Personeel] </w:t>
      </w:r>
      <w:r>
        <w:rPr>
          <w:rFonts w:ascii="Calibri" w:hAnsi="Calibri" w:eastAsia="Calibri"/>
          <w:b w:val="0"/>
          <w:i w:val="0"/>
          <w:color w:val="000000"/>
          <w:sz w:val="22"/>
        </w:rPr>
        <w:t>Doorzoek elke te verwijderen component op zichtbare kwikresten (vloeibare druppels, verkleuring, aanzetsels) en registreer de bevindingen in het surveyformulier (Bijlage A).</w:t>
      </w:r>
    </w:p>
    <w:p>
      <w:pPr>
        <w:spacing w:after="120"/>
        <w:ind w:left="510" w:hanging="510"/>
      </w:pPr>
      <w:r>
        <w:rPr>
          <w:rFonts w:ascii="Calibri" w:hAnsi="Calibri" w:eastAsia="Calibri"/>
          <w:b/>
          <w:i w:val="0"/>
          <w:color w:val="003366"/>
          <w:sz w:val="22"/>
        </w:rPr>
        <w:t xml:space="preserve">Stap 3 — </w:t>
      </w:r>
      <w:r>
        <w:rPr>
          <w:rFonts w:ascii="Calibri" w:hAnsi="Calibri" w:eastAsia="Calibri"/>
          <w:b/>
          <w:i w:val="0"/>
          <w:color w:val="000000"/>
          <w:sz w:val="22"/>
        </w:rPr>
        <w:t xml:space="preserve">[Meetdeskundige] </w:t>
      </w:r>
      <w:r>
        <w:rPr>
          <w:rFonts w:ascii="Calibri" w:hAnsi="Calibri" w:eastAsia="Calibri"/>
          <w:b w:val="0"/>
          <w:i w:val="0"/>
          <w:color w:val="000000"/>
          <w:sz w:val="22"/>
        </w:rPr>
        <w:t>Screen verdachte onderdelen met draagbare XRF-apparatuur conform het testing protocol [audit §2.3].</w:t>
      </w:r>
    </w:p>
    <w:p>
      <w:pPr>
        <w:spacing w:after="120"/>
        <w:ind w:left="510" w:hanging="510"/>
      </w:pPr>
      <w:r>
        <w:rPr>
          <w:rFonts w:ascii="Calibri" w:hAnsi="Calibri" w:eastAsia="Calibri"/>
          <w:b/>
          <w:i w:val="0"/>
          <w:color w:val="003366"/>
          <w:sz w:val="22"/>
        </w:rPr>
        <w:t xml:space="preserve">Stap 4 — </w:t>
      </w:r>
      <w:r>
        <w:rPr>
          <w:rFonts w:ascii="Calibri" w:hAnsi="Calibri" w:eastAsia="Calibri"/>
          <w:b/>
          <w:i w:val="0"/>
          <w:color w:val="000000"/>
          <w:sz w:val="22"/>
        </w:rPr>
        <w:t xml:space="preserve">[Meetdeskundige] </w:t>
      </w:r>
      <w:r>
        <w:rPr>
          <w:rFonts w:ascii="Calibri" w:hAnsi="Calibri" w:eastAsia="Calibri"/>
          <w:b w:val="0"/>
          <w:i w:val="0"/>
          <w:color w:val="000000"/>
          <w:sz w:val="22"/>
        </w:rPr>
        <w:t>Neem bij niet-eenduidige XRF-resultaten monsters voor laboratoriumanalyse door een geaccrediteerd laboratorium [audit §2.3].</w:t>
      </w:r>
    </w:p>
    <w:p>
      <w:pPr>
        <w:spacing w:after="120"/>
        <w:ind w:left="510" w:hanging="510"/>
      </w:pPr>
      <w:r>
        <w:rPr>
          <w:rFonts w:ascii="Calibri" w:hAnsi="Calibri" w:eastAsia="Calibri"/>
          <w:b/>
          <w:i w:val="0"/>
          <w:color w:val="003366"/>
          <w:sz w:val="22"/>
        </w:rPr>
        <w:t xml:space="preserve">Stap 5 — </w:t>
      </w:r>
      <w:r>
        <w:rPr>
          <w:rFonts w:ascii="Calibri" w:hAnsi="Calibri" w:eastAsia="Calibri"/>
          <w:b/>
          <w:i w:val="0"/>
          <w:color w:val="000000"/>
          <w:sz w:val="22"/>
        </w:rPr>
        <w:t xml:space="preserve">[HSEQ Officer] </w:t>
      </w:r>
      <w:r>
        <w:rPr>
          <w:rFonts w:ascii="Calibri" w:hAnsi="Calibri" w:eastAsia="Calibri"/>
          <w:b w:val="0"/>
          <w:i w:val="0"/>
          <w:color w:val="000000"/>
          <w:sz w:val="22"/>
        </w:rPr>
        <w:t>Classificeer elk onderdeel: 'verdacht materiaal' (niet onderzocht of XRF-indicatie zonder bevestiging) of 'bevestigd besmet' (positieve laboratoriumbevestiging of onmiskenbaar visueel bewijs van elementair kwik) [audit §3.1].</w:t>
      </w:r>
    </w:p>
    <w:p>
      <w:pPr>
        <w:spacing w:after="120"/>
        <w:ind w:left="510" w:hanging="510"/>
      </w:pPr>
      <w:r>
        <w:rPr>
          <w:rFonts w:ascii="Calibri" w:hAnsi="Calibri" w:eastAsia="Calibri"/>
          <w:b/>
          <w:i w:val="0"/>
          <w:color w:val="003366"/>
          <w:sz w:val="22"/>
        </w:rPr>
        <w:t xml:space="preserve">Stap 6 — </w:t>
      </w:r>
      <w:r>
        <w:rPr>
          <w:rFonts w:ascii="Calibri" w:hAnsi="Calibri" w:eastAsia="Calibri"/>
          <w:b/>
          <w:i w:val="0"/>
          <w:color w:val="000000"/>
          <w:sz w:val="22"/>
        </w:rPr>
        <w:t xml:space="preserve">[Projectmanager] </w:t>
      </w:r>
      <w:r>
        <w:rPr>
          <w:rFonts w:ascii="Calibri" w:hAnsi="Calibri" w:eastAsia="Calibri"/>
          <w:b w:val="0"/>
          <w:i w:val="0"/>
          <w:color w:val="000000"/>
          <w:sz w:val="22"/>
        </w:rPr>
        <w:t>Keur de surveyresultaten goed en gebruik deze als ingang voor het taak-risicabeoordeling en de werkvergunning voor de removalfase [2].</w:t>
      </w:r>
    </w:p>
    <w:p>
      <w:pPr>
        <w:spacing w:after="120"/>
        <w:ind w:left="510" w:hanging="510"/>
      </w:pPr>
      <w:r>
        <w:rPr>
          <w:rFonts w:ascii="Calibri" w:hAnsi="Calibri" w:eastAsia="Calibri"/>
          <w:b/>
          <w:i w:val="0"/>
          <w:color w:val="003366"/>
          <w:sz w:val="22"/>
        </w:rPr>
        <w:t xml:space="preserve">Stap 7 — </w:t>
      </w:r>
      <w:r>
        <w:rPr>
          <w:rFonts w:ascii="Calibri" w:hAnsi="Calibri" w:eastAsia="Calibri"/>
          <w:b/>
          <w:i w:val="0"/>
          <w:color w:val="000000"/>
          <w:sz w:val="22"/>
        </w:rPr>
        <w:t xml:space="preserve">[HSEQ Officer] </w:t>
      </w:r>
      <w:r>
        <w:rPr>
          <w:rFonts w:ascii="Calibri" w:hAnsi="Calibri" w:eastAsia="Calibri"/>
          <w:b w:val="0"/>
          <w:i w:val="0"/>
          <w:color w:val="000000"/>
          <w:sz w:val="22"/>
        </w:rPr>
        <w:t>Bepaal per werklocatie de verwachte blootstellingsroute (inhalatie van damp, huidcontact, inslikken) en leg de beheersmaatregelen vast [audit §3.1].</w:t>
      </w:r>
    </w:p>
    <w:p>
      <w:pPr>
        <w:spacing w:after="120"/>
        <w:ind w:left="510" w:hanging="510"/>
      </w:pPr>
      <w:r>
        <w:rPr>
          <w:rFonts w:ascii="Calibri" w:hAnsi="Calibri" w:eastAsia="Calibri"/>
          <w:b/>
          <w:i w:val="0"/>
          <w:color w:val="003366"/>
          <w:sz w:val="22"/>
        </w:rPr>
        <w:t xml:space="preserve">Stap 8 — </w:t>
      </w:r>
      <w:r>
        <w:rPr>
          <w:rFonts w:ascii="Calibri" w:hAnsi="Calibri" w:eastAsia="Calibri"/>
          <w:b/>
          <w:i w:val="0"/>
          <w:color w:val="000000"/>
          <w:sz w:val="22"/>
        </w:rPr>
        <w:t xml:space="preserve">[HSEQ Officer] </w:t>
      </w:r>
      <w:r>
        <w:rPr>
          <w:rFonts w:ascii="Calibri" w:hAnsi="Calibri" w:eastAsia="Calibri"/>
          <w:b w:val="0"/>
          <w:i w:val="0"/>
          <w:color w:val="000000"/>
          <w:sz w:val="22"/>
        </w:rPr>
        <w:t>Voer vóór start van de removal een nulmeting (achtergrondconcentratie) uit als referentiewaarde voor latere luchtmetingen [2].</w:t>
      </w:r>
    </w:p>
    <w:p>
      <w:pPr>
        <w:spacing w:after="160" w:before="120"/>
        <w:jc w:val="both"/>
      </w:pPr>
      <w:r>
        <w:rPr>
          <w:rFonts w:ascii="Calibri" w:hAnsi="Calibri" w:eastAsia="Calibri"/>
          <w:b/>
          <w:i w:val="0"/>
          <w:color w:val="000000"/>
          <w:sz w:val="22"/>
        </w:rPr>
        <w:t>Blootstellingsbeoordeling per activiteit</w:t>
      </w:r>
    </w:p>
    <w:p>
      <w:pPr>
        <w:spacing w:after="160" w:before="0"/>
        <w:jc w:val="both"/>
      </w:pPr>
      <w:r>
        <w:rPr>
          <w:rFonts w:ascii="Calibri" w:hAnsi="Calibri" w:eastAsia="Calibri"/>
          <w:b w:val="0"/>
          <w:i w:val="0"/>
          <w:color w:val="000000"/>
          <w:sz w:val="22"/>
        </w:rPr>
        <w:t>Conform het RI&amp;E-artikel voor kwik wordt voor elke activiteit afzonderlijk beoordeeld welke blootstellingsroute domineert en welke maatregelen daarop aansluiten [audit §3.1]. De beoordeling wordt vóór de fase vastgelegd en meegenomen in de werkvergunning. Inhalatie van kwikdamp is de belangrijkste route bij het openen van componenten; huidcontact domineert bij manuele handling van besmet materiaal; inslikken is voornamelijk gekoppeld aan hygiëne- en pauzeregimes binnen de werkzone.</w:t>
      </w:r>
    </w:p>
    <w:p>
      <w:pPr>
        <w:spacing w:after="160" w:before="0"/>
        <w:jc w:val="left"/>
      </w:pPr>
      <w:r>
        <w:rPr>
          <w:rFonts w:ascii="Calibri" w:hAnsi="Calibri" w:eastAsia="Calibri"/>
          <w:b w:val="0"/>
          <w:i/>
          <w:color w:val="1F2937"/>
          <w:sz w:val="18"/>
        </w:rPr>
        <w:t>Tabel 4.3 — Blootstellingsroutes per activiteit [audit §3.1][2]</w:t>
      </w:r>
    </w:p>
    <w:tbl>
      <w:tblPr>
        <w:tblStyle w:val="TableGrid"/>
        <w:tblW w:type="auto" w:w="0"/>
        <w:jc w:val="center"/>
        <w:tblLook w:firstColumn="1" w:firstRow="1" w:lastColumn="0" w:lastRow="0" w:noHBand="0" w:noVBand="1" w:val="04A0"/>
      </w:tblPr>
      <w:tblGrid>
        <w:gridCol w:w="3173"/>
        <w:gridCol w:w="3173"/>
        <w:gridCol w:w="3173"/>
      </w:tblGrid>
      <w:tr>
        <w:tc>
          <w:tcPr>
            <w:tcW w:type="dxa" w:w="2551"/>
            <w:shd w:val="clear" w:fill="003366"/>
          </w:tcPr>
          <w:p>
            <w:r/>
            <w:r>
              <w:rPr>
                <w:rFonts w:ascii="Calibri" w:hAnsi="Calibri" w:eastAsia="Calibri"/>
                <w:b/>
                <w:i w:val="0"/>
                <w:color w:val="FFFFFF"/>
                <w:sz w:val="18"/>
              </w:rPr>
              <w:t>Activiteit</w:t>
            </w:r>
          </w:p>
        </w:tc>
        <w:tc>
          <w:tcPr>
            <w:tcW w:type="dxa" w:w="2948"/>
            <w:shd w:val="clear" w:fill="003366"/>
          </w:tcPr>
          <w:p>
            <w:r/>
            <w:r>
              <w:rPr>
                <w:rFonts w:ascii="Calibri" w:hAnsi="Calibri" w:eastAsia="Calibri"/>
                <w:b/>
                <w:i w:val="0"/>
                <w:color w:val="FFFFFF"/>
                <w:sz w:val="18"/>
              </w:rPr>
              <w:t>Dominante route</w:t>
            </w:r>
          </w:p>
        </w:tc>
        <w:tc>
          <w:tcPr>
            <w:tcW w:type="dxa" w:w="3855"/>
            <w:shd w:val="clear" w:fill="003366"/>
          </w:tcPr>
          <w:p>
            <w:r/>
            <w:r>
              <w:rPr>
                <w:rFonts w:ascii="Calibri" w:hAnsi="Calibri" w:eastAsia="Calibri"/>
                <w:b/>
                <w:i w:val="0"/>
                <w:color w:val="FFFFFF"/>
                <w:sz w:val="18"/>
              </w:rPr>
              <w:t>Aansluitende beheersmaatregel</w:t>
            </w:r>
          </w:p>
        </w:tc>
      </w:tr>
      <w:tr>
        <w:tc>
          <w:tcPr>
            <w:tcW w:type="dxa" w:w="2551"/>
          </w:tcPr>
          <w:p>
            <w:r/>
            <w:r>
              <w:rPr>
                <w:rFonts w:ascii="Calibri" w:hAnsi="Calibri" w:eastAsia="Calibri"/>
                <w:b w:val="0"/>
                <w:i w:val="0"/>
                <w:color w:val="000000"/>
                <w:sz w:val="18"/>
              </w:rPr>
              <w:t>Inspectie en survey</w:t>
            </w:r>
          </w:p>
        </w:tc>
        <w:tc>
          <w:tcPr>
            <w:tcW w:type="dxa" w:w="2948"/>
          </w:tcPr>
          <w:p>
            <w:r/>
            <w:r>
              <w:rPr>
                <w:rFonts w:ascii="Calibri" w:hAnsi="Calibri" w:eastAsia="Calibri"/>
                <w:b w:val="0"/>
                <w:i w:val="0"/>
                <w:color w:val="000000"/>
                <w:sz w:val="18"/>
              </w:rPr>
              <w:t>Inhalatie (damp bij opening componenten)</w:t>
            </w:r>
          </w:p>
        </w:tc>
        <w:tc>
          <w:tcPr>
            <w:tcW w:type="dxa" w:w="3855"/>
          </w:tcPr>
          <w:p>
            <w:r/>
            <w:r>
              <w:rPr>
                <w:rFonts w:ascii="Calibri" w:hAnsi="Calibri" w:eastAsia="Calibri"/>
                <w:b w:val="0"/>
                <w:i w:val="0"/>
                <w:color w:val="000000"/>
                <w:sz w:val="18"/>
              </w:rPr>
              <w:t>XRF-screening, ventilatie, adembescherming bij opening</w:t>
            </w:r>
          </w:p>
        </w:tc>
      </w:tr>
      <w:tr>
        <w:tc>
          <w:tcPr>
            <w:tcW w:type="dxa" w:w="2551"/>
            <w:shd w:val="clear" w:fill="F8F9FA"/>
          </w:tcPr>
          <w:p>
            <w:r/>
            <w:r>
              <w:rPr>
                <w:rFonts w:ascii="Calibri" w:hAnsi="Calibri" w:eastAsia="Calibri"/>
                <w:b w:val="0"/>
                <w:i w:val="0"/>
                <w:color w:val="000000"/>
                <w:sz w:val="18"/>
              </w:rPr>
              <w:t>Verwijdering (removal)</w:t>
            </w:r>
          </w:p>
        </w:tc>
        <w:tc>
          <w:tcPr>
            <w:tcW w:type="dxa" w:w="2948"/>
            <w:shd w:val="clear" w:fill="F8F9FA"/>
          </w:tcPr>
          <w:p>
            <w:r/>
            <w:r>
              <w:rPr>
                <w:rFonts w:ascii="Calibri" w:hAnsi="Calibri" w:eastAsia="Calibri"/>
                <w:b w:val="0"/>
                <w:i w:val="0"/>
                <w:color w:val="000000"/>
                <w:sz w:val="18"/>
              </w:rPr>
              <w:t>Inhalatie en huidcontact</w:t>
            </w:r>
          </w:p>
        </w:tc>
        <w:tc>
          <w:tcPr>
            <w:tcW w:type="dxa" w:w="3855"/>
            <w:shd w:val="clear" w:fill="F8F9FA"/>
          </w:tcPr>
          <w:p>
            <w:r/>
            <w:r>
              <w:rPr>
                <w:rFonts w:ascii="Calibri" w:hAnsi="Calibri" w:eastAsia="Calibri"/>
                <w:b w:val="0"/>
                <w:i w:val="0"/>
                <w:color w:val="000000"/>
                <w:sz w:val="18"/>
              </w:rPr>
              <w:t>PBM-set tabel 4.2, gesloten containment, druppelvangers</w:t>
            </w:r>
          </w:p>
        </w:tc>
      </w:tr>
      <w:tr>
        <w:tc>
          <w:tcPr>
            <w:tcW w:type="dxa" w:w="2551"/>
          </w:tcPr>
          <w:p>
            <w:r/>
            <w:r>
              <w:rPr>
                <w:rFonts w:ascii="Calibri" w:hAnsi="Calibri" w:eastAsia="Calibri"/>
                <w:b w:val="0"/>
                <w:i w:val="0"/>
                <w:color w:val="000000"/>
                <w:sz w:val="18"/>
              </w:rPr>
              <w:t>Opslag en handling</w:t>
            </w:r>
          </w:p>
        </w:tc>
        <w:tc>
          <w:tcPr>
            <w:tcW w:type="dxa" w:w="2948"/>
          </w:tcPr>
          <w:p>
            <w:r/>
            <w:r>
              <w:rPr>
                <w:rFonts w:ascii="Calibri" w:hAnsi="Calibri" w:eastAsia="Calibri"/>
                <w:b w:val="0"/>
                <w:i w:val="0"/>
                <w:color w:val="000000"/>
                <w:sz w:val="18"/>
              </w:rPr>
              <w:t>Huidcontact en verdamping</w:t>
            </w:r>
          </w:p>
        </w:tc>
        <w:tc>
          <w:tcPr>
            <w:tcW w:type="dxa" w:w="3855"/>
          </w:tcPr>
          <w:p>
            <w:r/>
            <w:r>
              <w:rPr>
                <w:rFonts w:ascii="Calibri" w:hAnsi="Calibri" w:eastAsia="Calibri"/>
                <w:b w:val="0"/>
                <w:i w:val="0"/>
                <w:color w:val="000000"/>
                <w:sz w:val="18"/>
              </w:rPr>
              <w:t>Degasvormige units, handschoenen, weekcontrole op lekkage</w:t>
            </w:r>
          </w:p>
        </w:tc>
      </w:tr>
      <w:tr>
        <w:tc>
          <w:tcPr>
            <w:tcW w:type="dxa" w:w="2551"/>
            <w:shd w:val="clear" w:fill="F8F9FA"/>
          </w:tcPr>
          <w:p>
            <w:r/>
            <w:r>
              <w:rPr>
                <w:rFonts w:ascii="Calibri" w:hAnsi="Calibri" w:eastAsia="Calibri"/>
                <w:b w:val="0"/>
                <w:i w:val="0"/>
                <w:color w:val="000000"/>
                <w:sz w:val="18"/>
              </w:rPr>
              <w:t>Transport en transfer</w:t>
            </w:r>
          </w:p>
        </w:tc>
        <w:tc>
          <w:tcPr>
            <w:tcW w:type="dxa" w:w="2948"/>
            <w:shd w:val="clear" w:fill="F8F9FA"/>
          </w:tcPr>
          <w:p>
            <w:r/>
            <w:r>
              <w:rPr>
                <w:rFonts w:ascii="Calibri" w:hAnsi="Calibri" w:eastAsia="Calibri"/>
                <w:b w:val="0"/>
                <w:i w:val="0"/>
                <w:color w:val="000000"/>
                <w:sz w:val="18"/>
              </w:rPr>
              <w:t>Huidcontact bij incidenten</w:t>
            </w:r>
          </w:p>
        </w:tc>
        <w:tc>
          <w:tcPr>
            <w:tcW w:type="dxa" w:w="3855"/>
            <w:shd w:val="clear" w:fill="F8F9FA"/>
          </w:tcPr>
          <w:p>
            <w:r/>
            <w:r>
              <w:rPr>
                <w:rFonts w:ascii="Calibri" w:hAnsi="Calibri" w:eastAsia="Calibri"/>
                <w:b w:val="0"/>
                <w:i w:val="0"/>
                <w:color w:val="000000"/>
                <w:sz w:val="18"/>
              </w:rPr>
              <w:t>ADR-classificatie, beveiliging lading, weersgebonden beslissing</w:t>
            </w:r>
          </w:p>
        </w:tc>
      </w:tr>
      <w:tr>
        <w:tc>
          <w:tcPr>
            <w:tcW w:type="dxa" w:w="2551"/>
          </w:tcPr>
          <w:p>
            <w:r/>
            <w:r>
              <w:rPr>
                <w:rFonts w:ascii="Calibri" w:hAnsi="Calibri" w:eastAsia="Calibri"/>
                <w:b w:val="0"/>
                <w:i w:val="0"/>
                <w:color w:val="000000"/>
                <w:sz w:val="18"/>
              </w:rPr>
              <w:t>Reiniging en decontaminatie</w:t>
            </w:r>
          </w:p>
        </w:tc>
        <w:tc>
          <w:tcPr>
            <w:tcW w:type="dxa" w:w="2948"/>
          </w:tcPr>
          <w:p>
            <w:r/>
            <w:r>
              <w:rPr>
                <w:rFonts w:ascii="Calibri" w:hAnsi="Calibri" w:eastAsia="Calibri"/>
                <w:b w:val="0"/>
                <w:i w:val="0"/>
                <w:color w:val="000000"/>
                <w:sz w:val="18"/>
              </w:rPr>
              <w:t>Huidcontact en inslikken</w:t>
            </w:r>
          </w:p>
        </w:tc>
        <w:tc>
          <w:tcPr>
            <w:tcW w:type="dxa" w:w="3855"/>
          </w:tcPr>
          <w:p>
            <w:r/>
            <w:r>
              <w:rPr>
                <w:rFonts w:ascii="Calibri" w:hAnsi="Calibri" w:eastAsia="Calibri"/>
                <w:b w:val="0"/>
                <w:i w:val="0"/>
                <w:color w:val="000000"/>
                <w:sz w:val="18"/>
              </w:rPr>
              <w:t>Hygiëneregels, geen voeding in werkzone, spoelvoorzieningen</w:t>
            </w:r>
          </w:p>
        </w:tc>
      </w:tr>
    </w:tbl>
    <w:p>
      <w:pPr>
        <w:spacing w:after="40"/>
      </w:pPr>
    </w:p>
    <w:p>
      <w:pPr>
        <w:pStyle w:val="Heading2"/>
        <w:keepNext/>
        <w:spacing w:before="200" w:after="160"/>
      </w:pPr>
      <w:r>
        <w:rPr>
          <w:rFonts w:ascii="Calibri" w:hAnsi="Calibri" w:eastAsia="Calibri"/>
          <w:b/>
          <w:i w:val="0"/>
          <w:color w:val="003366"/>
          <w:sz w:val="26"/>
        </w:rPr>
        <w:t>4.3 Removal Procedure</w:t>
      </w:r>
    </w:p>
    <w:p>
      <w:pPr>
        <w:spacing w:after="160" w:before="0"/>
        <w:jc w:val="both"/>
      </w:pPr>
      <w:r>
        <w:rPr>
          <w:rFonts w:ascii="Calibri" w:hAnsi="Calibri" w:eastAsia="Calibri"/>
          <w:b w:val="0"/>
          <w:i w:val="0"/>
          <w:color w:val="000000"/>
          <w:sz w:val="22"/>
        </w:rPr>
        <w:t>De verwijdering van kleine stukken gebeurt uitsluitend onder geldige werkvergunning, met de PBM-set uit tabel 4.2 en binnen een afgebakende werkzone. Historische contaminatie maakt dat elk onderdeel als potentieel besmet wordt behandeld tot het tegendeel is aangetoond [audit §2.3]. Small piece removal vergt specifieke procedures voor identificatie en handling: onderdelen zijn veelal ingebouwd, slecht toegankelijk en te klein voor machinale demontage, waardoor handmatige demontage met verhoogd contactrisico de norm is [audit §2.3]. Tijdens elke demontagehandeling staat gesloten containment centraal: vrijkomend kwik wordt onmiddellijk opgevangen en blijft binnen de beheerste keten van paragrafen 4.5 tot en met 4.7.</w:t>
      </w:r>
    </w:p>
    <w:p>
      <w:pPr>
        <w:spacing w:after="120"/>
        <w:ind w:left="510" w:hanging="510"/>
      </w:pPr>
      <w:r>
        <w:rPr>
          <w:rFonts w:ascii="Calibri" w:hAnsi="Calibri" w:eastAsia="Calibri"/>
          <w:b/>
          <w:i w:val="0"/>
          <w:color w:val="003366"/>
          <w:sz w:val="22"/>
        </w:rPr>
        <w:t xml:space="preserve">Stap 1 — </w:t>
      </w:r>
      <w:r>
        <w:rPr>
          <w:rFonts w:ascii="Calibri" w:hAnsi="Calibri" w:eastAsia="Calibri"/>
          <w:b/>
          <w:i w:val="0"/>
          <w:color w:val="000000"/>
          <w:sz w:val="22"/>
        </w:rPr>
        <w:t xml:space="preserve">[OIM] </w:t>
      </w:r>
      <w:r>
        <w:rPr>
          <w:rFonts w:ascii="Calibri" w:hAnsi="Calibri" w:eastAsia="Calibri"/>
          <w:b w:val="0"/>
          <w:i w:val="0"/>
          <w:color w:val="000000"/>
          <w:sz w:val="22"/>
        </w:rPr>
        <w:t>Geeft de werkvergunning af nadat taak-risicabeoordeling, surveyresultaten en PBM-paraatheid zijn gecontroleerd.</w:t>
      </w:r>
    </w:p>
    <w:p>
      <w:pPr>
        <w:spacing w:after="120"/>
        <w:ind w:left="510" w:hanging="510"/>
      </w:pPr>
      <w:r>
        <w:rPr>
          <w:rFonts w:ascii="Calibri" w:hAnsi="Calibri" w:eastAsia="Calibri"/>
          <w:b/>
          <w:i w:val="0"/>
          <w:color w:val="003366"/>
          <w:sz w:val="22"/>
        </w:rPr>
        <w:t xml:space="preserve">Stap 2 — </w:t>
      </w:r>
      <w:r>
        <w:rPr>
          <w:rFonts w:ascii="Calibri" w:hAnsi="Calibri" w:eastAsia="Calibri"/>
          <w:b/>
          <w:i w:val="0"/>
          <w:color w:val="000000"/>
          <w:sz w:val="22"/>
        </w:rPr>
        <w:t xml:space="preserve">[Uitvoerend Personeel] </w:t>
      </w:r>
      <w:r>
        <w:rPr>
          <w:rFonts w:ascii="Calibri" w:hAnsi="Calibri" w:eastAsia="Calibri"/>
          <w:b w:val="0"/>
          <w:i w:val="0"/>
          <w:color w:val="000000"/>
          <w:sz w:val="22"/>
        </w:rPr>
        <w:t>Baken de werkzone af met waarschuwingsborden (gevaarlijke stof, kwik) en plaats druppelvangers en gesloten containment rond het te verwijderen onderdeel.</w:t>
      </w:r>
    </w:p>
    <w:p>
      <w:pPr>
        <w:spacing w:after="120"/>
        <w:ind w:left="510" w:hanging="510"/>
      </w:pPr>
      <w:r>
        <w:rPr>
          <w:rFonts w:ascii="Calibri" w:hAnsi="Calibri" w:eastAsia="Calibri"/>
          <w:b/>
          <w:i w:val="0"/>
          <w:color w:val="003366"/>
          <w:sz w:val="22"/>
        </w:rPr>
        <w:t xml:space="preserve">Stap 3 — </w:t>
      </w:r>
      <w:r>
        <w:rPr>
          <w:rFonts w:ascii="Calibri" w:hAnsi="Calibri" w:eastAsia="Calibri"/>
          <w:b/>
          <w:i w:val="0"/>
          <w:color w:val="000000"/>
          <w:sz w:val="22"/>
        </w:rPr>
        <w:t xml:space="preserve">[Meetdeskundige] </w:t>
      </w:r>
      <w:r>
        <w:rPr>
          <w:rFonts w:ascii="Calibri" w:hAnsi="Calibri" w:eastAsia="Calibri"/>
          <w:b w:val="0"/>
          <w:i w:val="0"/>
          <w:color w:val="000000"/>
          <w:sz w:val="22"/>
        </w:rPr>
        <w:t>Voert continue of periodieke luchtmetingen uit in de ademzone van de werkers, conform het meetprotocol van Arbobesluit artikel 4.10 [2].</w:t>
      </w:r>
    </w:p>
    <w:p>
      <w:pPr>
        <w:spacing w:after="120"/>
        <w:ind w:left="510" w:hanging="510"/>
      </w:pPr>
      <w:r>
        <w:rPr>
          <w:rFonts w:ascii="Calibri" w:hAnsi="Calibri" w:eastAsia="Calibri"/>
          <w:b/>
          <w:i w:val="0"/>
          <w:color w:val="003366"/>
          <w:sz w:val="22"/>
        </w:rPr>
        <w:t xml:space="preserve">Stap 4 — </w:t>
      </w:r>
      <w:r>
        <w:rPr>
          <w:rFonts w:ascii="Calibri" w:hAnsi="Calibri" w:eastAsia="Calibri"/>
          <w:b/>
          <w:i w:val="0"/>
          <w:color w:val="000000"/>
          <w:sz w:val="22"/>
        </w:rPr>
        <w:t xml:space="preserve">[Uitvoerend Personeel] </w:t>
      </w:r>
      <w:r>
        <w:rPr>
          <w:rFonts w:ascii="Calibri" w:hAnsi="Calibri" w:eastAsia="Calibri"/>
          <w:b w:val="0"/>
          <w:i w:val="0"/>
          <w:color w:val="000000"/>
          <w:sz w:val="22"/>
        </w:rPr>
        <w:t>Verwijder het onderdeel zonder het te laten vallen of te verwonden; voorkom dat kwik kan vrijkomen door het onderdeel gesloten of afgedekt te demonteren.</w:t>
      </w:r>
    </w:p>
    <w:p>
      <w:pPr>
        <w:spacing w:after="120"/>
        <w:ind w:left="510" w:hanging="510"/>
      </w:pPr>
      <w:r>
        <w:rPr>
          <w:rFonts w:ascii="Calibri" w:hAnsi="Calibri" w:eastAsia="Calibri"/>
          <w:b/>
          <w:i w:val="0"/>
          <w:color w:val="003366"/>
          <w:sz w:val="22"/>
        </w:rPr>
        <w:t xml:space="preserve">Stap 5 — </w:t>
      </w:r>
      <w:r>
        <w:rPr>
          <w:rFonts w:ascii="Calibri" w:hAnsi="Calibri" w:eastAsia="Calibri"/>
          <w:b/>
          <w:i w:val="0"/>
          <w:color w:val="000000"/>
          <w:sz w:val="22"/>
        </w:rPr>
        <w:t xml:space="preserve">[Uitvoerend Personeel] </w:t>
      </w:r>
      <w:r>
        <w:rPr>
          <w:rFonts w:ascii="Calibri" w:hAnsi="Calibri" w:eastAsia="Calibri"/>
          <w:b w:val="0"/>
          <w:i w:val="0"/>
          <w:color w:val="000000"/>
          <w:sz w:val="22"/>
        </w:rPr>
        <w:t>Plaats het verwijderde onderdeel of vrijgekomen kwik onmiddellijk in de daartoe bestemde gesloten, degasvormige en CLP-etiketteerde opslagunit (paragraaf 4.5).</w:t>
      </w:r>
    </w:p>
    <w:p>
      <w:pPr>
        <w:spacing w:after="120"/>
        <w:ind w:left="510" w:hanging="510"/>
      </w:pPr>
      <w:r>
        <w:rPr>
          <w:rFonts w:ascii="Calibri" w:hAnsi="Calibri" w:eastAsia="Calibri"/>
          <w:b/>
          <w:i w:val="0"/>
          <w:color w:val="003366"/>
          <w:sz w:val="22"/>
        </w:rPr>
        <w:t xml:space="preserve">Stap 6 — </w:t>
      </w:r>
      <w:r>
        <w:rPr>
          <w:rFonts w:ascii="Calibri" w:hAnsi="Calibri" w:eastAsia="Calibri"/>
          <w:b/>
          <w:i w:val="0"/>
          <w:color w:val="000000"/>
          <w:sz w:val="22"/>
        </w:rPr>
        <w:t xml:space="preserve">[Uitvoerend Personeel] </w:t>
      </w:r>
      <w:r>
        <w:rPr>
          <w:rFonts w:ascii="Calibri" w:hAnsi="Calibri" w:eastAsia="Calibri"/>
          <w:b w:val="0"/>
          <w:i w:val="0"/>
          <w:color w:val="000000"/>
          <w:sz w:val="22"/>
        </w:rPr>
        <w:t>Decontamineer gereedschap en herbruikbare PBM volgens het decontaminatieprotocol (paragraaf 6.3) en voer disposables af als kwikbesmet afval [3].</w:t>
      </w:r>
    </w:p>
    <w:p>
      <w:pPr>
        <w:spacing w:after="120"/>
        <w:ind w:left="510" w:hanging="510"/>
      </w:pPr>
      <w:r>
        <w:rPr>
          <w:rFonts w:ascii="Calibri" w:hAnsi="Calibri" w:eastAsia="Calibri"/>
          <w:b/>
          <w:i w:val="0"/>
          <w:color w:val="003366"/>
          <w:sz w:val="22"/>
        </w:rPr>
        <w:t xml:space="preserve">Stap 7 — </w:t>
      </w:r>
      <w:r>
        <w:rPr>
          <w:rFonts w:ascii="Calibri" w:hAnsi="Calibri" w:eastAsia="Calibri"/>
          <w:b/>
          <w:i w:val="0"/>
          <w:color w:val="000000"/>
          <w:sz w:val="22"/>
        </w:rPr>
        <w:t xml:space="preserve">[HSEQ Officer] </w:t>
      </w:r>
      <w:r>
        <w:rPr>
          <w:rFonts w:ascii="Calibri" w:hAnsi="Calibri" w:eastAsia="Calibri"/>
          <w:b w:val="0"/>
          <w:i w:val="0"/>
          <w:color w:val="000000"/>
          <w:sz w:val="22"/>
        </w:rPr>
        <w:t>Beoordeel de meetresultaten van de sessie en beslist over voortzetting of stillegging van het werk [2].</w:t>
      </w:r>
    </w:p>
    <w:p>
      <w:pPr>
        <w:pStyle w:val="Heading2"/>
        <w:keepNext/>
        <w:spacing w:before="200" w:after="160"/>
      </w:pPr>
      <w:r>
        <w:rPr>
          <w:rFonts w:ascii="Calibri" w:hAnsi="Calibri" w:eastAsia="Calibri"/>
          <w:b/>
          <w:i w:val="0"/>
          <w:color w:val="003366"/>
          <w:sz w:val="26"/>
        </w:rPr>
        <w:t>4.4 Post-removal Verification</w:t>
      </w:r>
    </w:p>
    <w:p>
      <w:pPr>
        <w:spacing w:after="160" w:before="0"/>
        <w:jc w:val="both"/>
      </w:pPr>
      <w:r>
        <w:rPr>
          <w:rFonts w:ascii="Calibri" w:hAnsi="Calibri" w:eastAsia="Calibri"/>
          <w:b w:val="0"/>
          <w:i w:val="0"/>
          <w:color w:val="000000"/>
          <w:sz w:val="22"/>
        </w:rPr>
        <w:t>De verificatie na verwijdering sluit de removalcyclus af en vormt het bewijs dat de werkzone opnieuw veilig is voor andere disciplines. De verificatie gebruikt dezelfde meetmethoden als de survey (XRF, aangevuld met laboratoriumanalyse bij niet-eenduidige resultaten) en dezelfde referentiewaarden [audit §2.3]. Zonder formele vrijgave uit deze fase wordt geen enkele volgende activiteit in de betrokken zone toegestaan.</w:t>
      </w:r>
    </w:p>
    <w:p>
      <w:pPr>
        <w:spacing w:after="120"/>
        <w:ind w:left="510" w:hanging="510"/>
      </w:pPr>
      <w:r>
        <w:rPr>
          <w:rFonts w:ascii="Calibri" w:hAnsi="Calibri" w:eastAsia="Calibri"/>
          <w:b/>
          <w:i w:val="0"/>
          <w:color w:val="003366"/>
          <w:sz w:val="22"/>
        </w:rPr>
        <w:t xml:space="preserve">Stap 1 — </w:t>
      </w:r>
      <w:r>
        <w:rPr>
          <w:rFonts w:ascii="Calibri" w:hAnsi="Calibri" w:eastAsia="Calibri"/>
          <w:b/>
          <w:i w:val="0"/>
          <w:color w:val="000000"/>
          <w:sz w:val="22"/>
        </w:rPr>
        <w:t xml:space="preserve">[Meetdeskundige] </w:t>
      </w:r>
      <w:r>
        <w:rPr>
          <w:rFonts w:ascii="Calibri" w:hAnsi="Calibri" w:eastAsia="Calibri"/>
          <w:b w:val="0"/>
          <w:i w:val="0"/>
          <w:color w:val="000000"/>
          <w:sz w:val="22"/>
        </w:rPr>
        <w:t>Voer na verwijdering een visuele inspectie en XRF-verificatiemeting uit van de vrijgekomen constructie, bevestigingspunten en onderliggende dekvloeren [audit §2.3].</w:t>
      </w:r>
    </w:p>
    <w:p>
      <w:pPr>
        <w:spacing w:after="120"/>
        <w:ind w:left="510" w:hanging="510"/>
      </w:pPr>
      <w:r>
        <w:rPr>
          <w:rFonts w:ascii="Calibri" w:hAnsi="Calibri" w:eastAsia="Calibri"/>
          <w:b/>
          <w:i w:val="0"/>
          <w:color w:val="003366"/>
          <w:sz w:val="22"/>
        </w:rPr>
        <w:t xml:space="preserve">Stap 2 — </w:t>
      </w:r>
      <w:r>
        <w:rPr>
          <w:rFonts w:ascii="Calibri" w:hAnsi="Calibri" w:eastAsia="Calibri"/>
          <w:b/>
          <w:i w:val="0"/>
          <w:color w:val="000000"/>
          <w:sz w:val="22"/>
        </w:rPr>
        <w:t xml:space="preserve">[Meetdeskundige] </w:t>
      </w:r>
      <w:r>
        <w:rPr>
          <w:rFonts w:ascii="Calibri" w:hAnsi="Calibri" w:eastAsia="Calibri"/>
          <w:b w:val="0"/>
          <w:i w:val="0"/>
          <w:color w:val="000000"/>
          <w:sz w:val="22"/>
        </w:rPr>
        <w:t>Vergelijk de verificatiemetingen met de nulmeting uit stap 8 van paragraaf 4.2; bij afwijkende waarden wordt nabewerking of aanvullende reiniging uitgevoerd en opnieuw gemeten [2].</w:t>
      </w:r>
    </w:p>
    <w:p>
      <w:pPr>
        <w:spacing w:after="120"/>
        <w:ind w:left="510" w:hanging="510"/>
      </w:pPr>
      <w:r>
        <w:rPr>
          <w:rFonts w:ascii="Calibri" w:hAnsi="Calibri" w:eastAsia="Calibri"/>
          <w:b/>
          <w:i w:val="0"/>
          <w:color w:val="003366"/>
          <w:sz w:val="22"/>
        </w:rPr>
        <w:t xml:space="preserve">Stap 3 — </w:t>
      </w:r>
      <w:r>
        <w:rPr>
          <w:rFonts w:ascii="Calibri" w:hAnsi="Calibri" w:eastAsia="Calibri"/>
          <w:b/>
          <w:i w:val="0"/>
          <w:color w:val="000000"/>
          <w:sz w:val="22"/>
        </w:rPr>
        <w:t xml:space="preserve">[HSEQ Officer] </w:t>
      </w:r>
      <w:r>
        <w:rPr>
          <w:rFonts w:ascii="Calibri" w:hAnsi="Calibri" w:eastAsia="Calibri"/>
          <w:b w:val="0"/>
          <w:i w:val="0"/>
          <w:color w:val="000000"/>
          <w:sz w:val="22"/>
        </w:rPr>
        <w:t>Stel vast dat de werkzone vrij is van zichtbaar kwik en dat luchtmetingen de achtergrondwaarde benaderen, en geef de zone formeel vrij.</w:t>
      </w:r>
    </w:p>
    <w:p>
      <w:pPr>
        <w:spacing w:after="120"/>
        <w:ind w:left="510" w:hanging="510"/>
      </w:pPr>
      <w:r>
        <w:rPr>
          <w:rFonts w:ascii="Calibri" w:hAnsi="Calibri" w:eastAsia="Calibri"/>
          <w:b/>
          <w:i w:val="0"/>
          <w:color w:val="003366"/>
          <w:sz w:val="22"/>
        </w:rPr>
        <w:t xml:space="preserve">Stap 4 — </w:t>
      </w:r>
      <w:r>
        <w:rPr>
          <w:rFonts w:ascii="Calibri" w:hAnsi="Calibri" w:eastAsia="Calibri"/>
          <w:b/>
          <w:i w:val="0"/>
          <w:color w:val="000000"/>
          <w:sz w:val="22"/>
        </w:rPr>
        <w:t xml:space="preserve">[HSEQ Officer] </w:t>
      </w:r>
      <w:r>
        <w:rPr>
          <w:rFonts w:ascii="Calibri" w:hAnsi="Calibri" w:eastAsia="Calibri"/>
          <w:b w:val="0"/>
          <w:i w:val="0"/>
          <w:color w:val="000000"/>
          <w:sz w:val="22"/>
        </w:rPr>
        <w:t>Rapporteer alle metingen, bevindingen en vrijgaven conform de rapportageverplichting van Arbobesluit artikel 4.10 en EU-Kwikverordening artikel 9 [2][3].</w:t>
      </w:r>
    </w:p>
    <w:p>
      <w:pPr>
        <w:spacing w:after="120"/>
        <w:ind w:left="510" w:hanging="510"/>
      </w:pPr>
      <w:r>
        <w:rPr>
          <w:rFonts w:ascii="Calibri" w:hAnsi="Calibri" w:eastAsia="Calibri"/>
          <w:b/>
          <w:i w:val="0"/>
          <w:color w:val="003366"/>
          <w:sz w:val="22"/>
        </w:rPr>
        <w:t xml:space="preserve">Stap 5 — </w:t>
      </w:r>
      <w:r>
        <w:rPr>
          <w:rFonts w:ascii="Calibri" w:hAnsi="Calibri" w:eastAsia="Calibri"/>
          <w:b/>
          <w:i w:val="0"/>
          <w:color w:val="000000"/>
          <w:sz w:val="22"/>
        </w:rPr>
        <w:t xml:space="preserve">[Projectmanager] </w:t>
      </w:r>
      <w:r>
        <w:rPr>
          <w:rFonts w:ascii="Calibri" w:hAnsi="Calibri" w:eastAsia="Calibri"/>
          <w:b w:val="0"/>
          <w:i w:val="0"/>
          <w:color w:val="000000"/>
          <w:sz w:val="22"/>
        </w:rPr>
        <w:t>Sluit de removaltaak administratief af in het registratiesysteem (hoofdstuk 7).</w:t>
      </w:r>
    </w:p>
    <w:p>
      <w:pPr>
        <w:pStyle w:val="Heading2"/>
        <w:keepNext/>
        <w:spacing w:before="200" w:after="160"/>
      </w:pPr>
      <w:r>
        <w:rPr>
          <w:rFonts w:ascii="Calibri" w:hAnsi="Calibri" w:eastAsia="Calibri"/>
          <w:b/>
          <w:i w:val="0"/>
          <w:color w:val="003366"/>
          <w:sz w:val="26"/>
        </w:rPr>
        <w:t>4.5 Opslag Offshore</w:t>
      </w:r>
    </w:p>
    <w:p>
      <w:pPr>
        <w:spacing w:after="160" w:before="0"/>
        <w:jc w:val="both"/>
      </w:pPr>
      <w:r>
        <w:rPr>
          <w:rFonts w:ascii="Calibri" w:hAnsi="Calibri" w:eastAsia="Calibri"/>
          <w:b w:val="0"/>
          <w:i w:val="0"/>
          <w:color w:val="000000"/>
          <w:sz w:val="22"/>
        </w:rPr>
        <w:t>Tijdelijke opslag offshore is noodzakelijk vanwege de beperkte ruimte, weersomstandigheden en transportbeperkingen van het platform [audit §2.3]. De opslag voldoet aan de eisen van Arbobesluit artikel 4.15, EU-Kwikverordening artikel 7 en de opslagrichtlijnen PGS 6 en PGS 12 [2][3][12][13]. De offshore situatie vraagt om extra maatregelen bovenop de vaste-landpraktijk: de opslaglocatie moet bestand zijn  tegen zeegang en trillingen, en de logistieke planning is weersafhankelijk, waardoor de opslagduur vooraf onzeker is en de weekcontrole uit stap 4 onder alle omstandigheden doorloopt.</w:t>
      </w:r>
    </w:p>
    <w:p>
      <w:pPr>
        <w:spacing w:after="120"/>
        <w:ind w:left="510" w:hanging="510"/>
      </w:pPr>
      <w:r>
        <w:rPr>
          <w:rFonts w:ascii="Calibri" w:hAnsi="Calibri" w:eastAsia="Calibri"/>
          <w:b/>
          <w:i w:val="0"/>
          <w:color w:val="003366"/>
          <w:sz w:val="22"/>
        </w:rPr>
        <w:t xml:space="preserve">Stap 1 — </w:t>
      </w:r>
      <w:r>
        <w:rPr>
          <w:rFonts w:ascii="Calibri" w:hAnsi="Calibri" w:eastAsia="Calibri"/>
          <w:b/>
          <w:i w:val="0"/>
          <w:color w:val="000000"/>
          <w:sz w:val="22"/>
        </w:rPr>
        <w:t xml:space="preserve">[HSEQ Officer] </w:t>
      </w:r>
      <w:r>
        <w:rPr>
          <w:rFonts w:ascii="Calibri" w:hAnsi="Calibri" w:eastAsia="Calibri"/>
          <w:b w:val="0"/>
          <w:i w:val="0"/>
          <w:color w:val="000000"/>
          <w:sz w:val="22"/>
        </w:rPr>
        <w:t>Wijs een afgesloten, geventileerde en overdekte opslaglocatie aan, buiten doorgangsroutes en buiten direct zonlicht, met lekbak of vloeistofdichte vloer.</w:t>
      </w:r>
    </w:p>
    <w:p>
      <w:pPr>
        <w:spacing w:after="120"/>
        <w:ind w:left="510" w:hanging="510"/>
      </w:pPr>
      <w:r>
        <w:rPr>
          <w:rFonts w:ascii="Calibri" w:hAnsi="Calibri" w:eastAsia="Calibri"/>
          <w:b/>
          <w:i w:val="0"/>
          <w:color w:val="003366"/>
          <w:sz w:val="22"/>
        </w:rPr>
        <w:t xml:space="preserve">Stap 2 — </w:t>
      </w:r>
      <w:r>
        <w:rPr>
          <w:rFonts w:ascii="Calibri" w:hAnsi="Calibri" w:eastAsia="Calibri"/>
          <w:b/>
          <w:i w:val="0"/>
          <w:color w:val="000000"/>
          <w:sz w:val="22"/>
        </w:rPr>
        <w:t xml:space="preserve">[HSEQ Officer] </w:t>
      </w:r>
      <w:r>
        <w:rPr>
          <w:rFonts w:ascii="Calibri" w:hAnsi="Calibri" w:eastAsia="Calibri"/>
          <w:b w:val="0"/>
          <w:i w:val="0"/>
          <w:color w:val="000000"/>
          <w:sz w:val="22"/>
        </w:rPr>
        <w:t>Gebruik uitsluitend gesloten, degasvormige, chemisch bestendige opslagunits die zijn voorzien van de CLP-etikettering en de H- en P-zinnen uit tabel 4.2 [2][7].</w:t>
      </w:r>
    </w:p>
    <w:p>
      <w:pPr>
        <w:spacing w:after="120"/>
        <w:ind w:left="510" w:hanging="510"/>
      </w:pPr>
      <w:r>
        <w:rPr>
          <w:rFonts w:ascii="Calibri" w:hAnsi="Calibri" w:eastAsia="Calibri"/>
          <w:b/>
          <w:i w:val="0"/>
          <w:color w:val="003366"/>
          <w:sz w:val="22"/>
        </w:rPr>
        <w:t xml:space="preserve">Stap 3 — </w:t>
      </w:r>
      <w:r>
        <w:rPr>
          <w:rFonts w:ascii="Calibri" w:hAnsi="Calibri" w:eastAsia="Calibri"/>
          <w:b/>
          <w:i w:val="0"/>
          <w:color w:val="000000"/>
          <w:sz w:val="22"/>
        </w:rPr>
        <w:t xml:space="preserve">[Uitvoerend Personeel] </w:t>
      </w:r>
      <w:r>
        <w:rPr>
          <w:rFonts w:ascii="Calibri" w:hAnsi="Calibri" w:eastAsia="Calibri"/>
          <w:b w:val="0"/>
          <w:i w:val="0"/>
          <w:color w:val="000000"/>
          <w:sz w:val="22"/>
        </w:rPr>
        <w:t>Sla vrij vloeibaar kwik gescheiden op van kwikbesmet materiaal (onderdelen, disposables, reinigingsmaterialen) en registreer elke toevoeging in het opslaglogboek.</w:t>
      </w:r>
    </w:p>
    <w:p>
      <w:pPr>
        <w:spacing w:after="120"/>
        <w:ind w:left="510" w:hanging="510"/>
      </w:pPr>
      <w:r>
        <w:rPr>
          <w:rFonts w:ascii="Calibri" w:hAnsi="Calibri" w:eastAsia="Calibri"/>
          <w:b/>
          <w:i w:val="0"/>
          <w:color w:val="003366"/>
          <w:sz w:val="22"/>
        </w:rPr>
        <w:t xml:space="preserve">Stap 4 — </w:t>
      </w:r>
      <w:r>
        <w:rPr>
          <w:rFonts w:ascii="Calibri" w:hAnsi="Calibri" w:eastAsia="Calibri"/>
          <w:b/>
          <w:i w:val="0"/>
          <w:color w:val="000000"/>
          <w:sz w:val="22"/>
        </w:rPr>
        <w:t xml:space="preserve">[HSEQ Officer] </w:t>
      </w:r>
      <w:r>
        <w:rPr>
          <w:rFonts w:ascii="Calibri" w:hAnsi="Calibri" w:eastAsia="Calibri"/>
          <w:b w:val="0"/>
          <w:i w:val="0"/>
          <w:color w:val="000000"/>
          <w:sz w:val="22"/>
        </w:rPr>
        <w:t>Voorzie elke opslagunit van de volledige CLP-etikettering: naam en CAS-nummer van de stof, de pictogrammen en de H-zinnen H360D, H372 en H410 met de bijbehorende P-zinnen, conform Arbobesluit artikel 4.15 en de CLP-verordening [2][7].</w:t>
      </w:r>
    </w:p>
    <w:p>
      <w:pPr>
        <w:spacing w:after="120"/>
        <w:ind w:left="510" w:hanging="510"/>
      </w:pPr>
      <w:r>
        <w:rPr>
          <w:rFonts w:ascii="Calibri" w:hAnsi="Calibri" w:eastAsia="Calibri"/>
          <w:b/>
          <w:i w:val="0"/>
          <w:color w:val="003366"/>
          <w:sz w:val="22"/>
        </w:rPr>
        <w:t xml:space="preserve">Stap 5 — </w:t>
      </w:r>
      <w:r>
        <w:rPr>
          <w:rFonts w:ascii="Calibri" w:hAnsi="Calibri" w:eastAsia="Calibri"/>
          <w:b/>
          <w:i w:val="0"/>
          <w:color w:val="000000"/>
          <w:sz w:val="22"/>
        </w:rPr>
        <w:t xml:space="preserve">[HSEQ Officer] </w:t>
      </w:r>
      <w:r>
        <w:rPr>
          <w:rFonts w:ascii="Calibri" w:hAnsi="Calibri" w:eastAsia="Calibri"/>
          <w:b w:val="0"/>
          <w:i w:val="0"/>
          <w:color w:val="000000"/>
          <w:sz w:val="22"/>
        </w:rPr>
        <w:t>Controleer de opslaglocatie ten minste wekelijks op lekkage, etikettering en sluiting; bij zeegang of slecht weer geldt een extra inspectie vóór elke transfer [audit §2.3].</w:t>
      </w:r>
    </w:p>
    <w:p>
      <w:pPr>
        <w:spacing w:after="120"/>
        <w:ind w:left="510" w:hanging="510"/>
      </w:pPr>
      <w:r>
        <w:rPr>
          <w:rFonts w:ascii="Calibri" w:hAnsi="Calibri" w:eastAsia="Calibri"/>
          <w:b/>
          <w:i w:val="0"/>
          <w:color w:val="003366"/>
          <w:sz w:val="22"/>
        </w:rPr>
        <w:t xml:space="preserve">Stap 6 — </w:t>
      </w:r>
      <w:r>
        <w:rPr>
          <w:rFonts w:ascii="Calibri" w:hAnsi="Calibri" w:eastAsia="Calibri"/>
          <w:b/>
          <w:i w:val="0"/>
          <w:color w:val="000000"/>
          <w:sz w:val="22"/>
        </w:rPr>
        <w:t xml:space="preserve">[HSEQ Officer] </w:t>
      </w:r>
      <w:r>
        <w:rPr>
          <w:rFonts w:ascii="Calibri" w:hAnsi="Calibri" w:eastAsia="Calibri"/>
          <w:b w:val="0"/>
          <w:i w:val="0"/>
          <w:color w:val="000000"/>
          <w:sz w:val="22"/>
        </w:rPr>
        <w:t>Beperk de opslagduur tot het minimum dat de offshore logistiek vereist en bereid de transportbatch voor conform paragraaf 4.6 [audit §2.3].</w:t>
      </w:r>
    </w:p>
    <w:p>
      <w:pPr>
        <w:pStyle w:val="Heading2"/>
        <w:keepNext/>
        <w:spacing w:before="200" w:after="160"/>
      </w:pPr>
      <w:r>
        <w:rPr>
          <w:rFonts w:ascii="Calibri" w:hAnsi="Calibri" w:eastAsia="Calibri"/>
          <w:b/>
          <w:i w:val="0"/>
          <w:color w:val="003366"/>
          <w:sz w:val="26"/>
        </w:rPr>
        <w:t>4.6 Transport naar Land</w:t>
      </w:r>
    </w:p>
    <w:p>
      <w:pPr>
        <w:spacing w:after="160" w:before="0"/>
        <w:jc w:val="both"/>
      </w:pPr>
      <w:r>
        <w:rPr>
          <w:rFonts w:ascii="Calibri" w:hAnsi="Calibri" w:eastAsia="Calibri"/>
          <w:b w:val="0"/>
          <w:i w:val="0"/>
          <w:color w:val="000000"/>
          <w:sz w:val="22"/>
        </w:rPr>
        <w:t>Het transport van kwik en kwikbesmet materiaal van platform naar de overstapfaciliteit aan land voldoet aan Arbobesluit artikel 4.17, EU-Kwikverordening artikel 8 en de Bal [2][3][5]. Het vervoer over de weg gebeurt uitsluitend met een erkende vervoerder.</w:t>
      </w:r>
    </w:p>
    <w:p>
      <w:pPr>
        <w:spacing w:after="160" w:before="0"/>
        <w:jc w:val="both"/>
      </w:pPr>
      <w:r>
        <w:rPr>
          <w:rFonts w:ascii="Calibri" w:hAnsi="Calibri" w:eastAsia="Calibri"/>
          <w:b w:val="0"/>
          <w:i w:val="0"/>
          <w:color w:val="000000"/>
          <w:sz w:val="22"/>
        </w:rPr>
        <w:t>De vervoersdocumentatie bevat ten minste de classificatie van de batch, de hoeveelheden en categorisering van de afvalstromen, de afzender en de beoogde erkende verwerker, en de contactgegevens voor noodsituaties tijdens het transport [2][3]. Documentatie en batch zijn door unieke nummers aan elkaar gekoppeld, zodat elke opslagunit van het platform tot en met de verwerkingsverklaring herleidbaar is.</w:t>
      </w:r>
    </w:p>
    <w:p>
      <w:pPr>
        <w:spacing w:after="120"/>
        <w:ind w:left="510" w:hanging="510"/>
      </w:pPr>
      <w:r>
        <w:rPr>
          <w:rFonts w:ascii="Calibri" w:hAnsi="Calibri" w:eastAsia="Calibri"/>
          <w:b/>
          <w:i w:val="0"/>
          <w:color w:val="003366"/>
          <w:sz w:val="22"/>
        </w:rPr>
        <w:t xml:space="preserve">Stap 1 — </w:t>
      </w:r>
      <w:r>
        <w:rPr>
          <w:rFonts w:ascii="Calibri" w:hAnsi="Calibri" w:eastAsia="Calibri"/>
          <w:b/>
          <w:i w:val="0"/>
          <w:color w:val="000000"/>
          <w:sz w:val="22"/>
        </w:rPr>
        <w:t xml:space="preserve">[Logistiek Coördinator] </w:t>
      </w:r>
      <w:r>
        <w:rPr>
          <w:rFonts w:ascii="Calibri" w:hAnsi="Calibri" w:eastAsia="Calibri"/>
          <w:b w:val="0"/>
          <w:i w:val="0"/>
          <w:color w:val="000000"/>
          <w:sz w:val="22"/>
        </w:rPr>
        <w:t>Bepaal vooraf de ADR-classificatie van elke batch en stel de bijbehorende vervoersdocumenten op [audit §3.1].</w:t>
      </w:r>
    </w:p>
    <w:p>
      <w:pPr>
        <w:spacing w:after="120"/>
        <w:ind w:left="510" w:hanging="510"/>
      </w:pPr>
      <w:r>
        <w:rPr>
          <w:rFonts w:ascii="Calibri" w:hAnsi="Calibri" w:eastAsia="Calibri"/>
          <w:b/>
          <w:i w:val="0"/>
          <w:color w:val="003366"/>
          <w:sz w:val="22"/>
        </w:rPr>
        <w:t xml:space="preserve">Stap 2 — </w:t>
      </w:r>
      <w:r>
        <w:rPr>
          <w:rFonts w:ascii="Calibri" w:hAnsi="Calibri" w:eastAsia="Calibri"/>
          <w:b/>
          <w:i w:val="0"/>
          <w:color w:val="000000"/>
          <w:sz w:val="22"/>
        </w:rPr>
        <w:t xml:space="preserve">[Logistiek Coördinator] </w:t>
      </w:r>
      <w:r>
        <w:rPr>
          <w:rFonts w:ascii="Calibri" w:hAnsi="Calibri" w:eastAsia="Calibri"/>
          <w:b w:val="0"/>
          <w:i w:val="0"/>
          <w:color w:val="000000"/>
          <w:sz w:val="22"/>
        </w:rPr>
        <w:t>Selecteer een vervoerder met een geldige vergunning voor het vervoer van gevaarlijke stoffen en verifieer diens referenties [audit §3.1].</w:t>
      </w:r>
    </w:p>
    <w:p>
      <w:pPr>
        <w:spacing w:after="120"/>
        <w:ind w:left="510" w:hanging="510"/>
      </w:pPr>
      <w:r>
        <w:rPr>
          <w:rFonts w:ascii="Calibri" w:hAnsi="Calibri" w:eastAsia="Calibri"/>
          <w:b/>
          <w:i w:val="0"/>
          <w:color w:val="003366"/>
          <w:sz w:val="22"/>
        </w:rPr>
        <w:t xml:space="preserve">Stap 3 — </w:t>
      </w:r>
      <w:r>
        <w:rPr>
          <w:rFonts w:ascii="Calibri" w:hAnsi="Calibri" w:eastAsia="Calibri"/>
          <w:b/>
          <w:i w:val="0"/>
          <w:color w:val="000000"/>
          <w:sz w:val="22"/>
        </w:rPr>
        <w:t xml:space="preserve">[Uitvoerend Personeel] </w:t>
      </w:r>
      <w:r>
        <w:rPr>
          <w:rFonts w:ascii="Calibri" w:hAnsi="Calibri" w:eastAsia="Calibri"/>
          <w:b w:val="0"/>
          <w:i w:val="0"/>
          <w:color w:val="000000"/>
          <w:sz w:val="22"/>
        </w:rPr>
        <w:t>Zekere de opslagunits tijdens de scheepstransfer tegen verschuiven en kantelen; transfer vindt alleen plaats bij geaccepteerde weers- en zeegangscondities [audit §2.3].</w:t>
      </w:r>
    </w:p>
    <w:p>
      <w:pPr>
        <w:spacing w:after="120"/>
        <w:ind w:left="510" w:hanging="510"/>
      </w:pPr>
      <w:r>
        <w:rPr>
          <w:rFonts w:ascii="Calibri" w:hAnsi="Calibri" w:eastAsia="Calibri"/>
          <w:b/>
          <w:i w:val="0"/>
          <w:color w:val="003366"/>
          <w:sz w:val="22"/>
        </w:rPr>
        <w:t xml:space="preserve">Stap 4 — </w:t>
      </w:r>
      <w:r>
        <w:rPr>
          <w:rFonts w:ascii="Calibri" w:hAnsi="Calibri" w:eastAsia="Calibri"/>
          <w:b/>
          <w:i w:val="0"/>
          <w:color w:val="000000"/>
          <w:sz w:val="22"/>
        </w:rPr>
        <w:t xml:space="preserve">[Uitvoerend Personeel] </w:t>
      </w:r>
      <w:r>
        <w:rPr>
          <w:rFonts w:ascii="Calibri" w:hAnsi="Calibri" w:eastAsia="Calibri"/>
          <w:b w:val="0"/>
          <w:i w:val="0"/>
          <w:color w:val="000000"/>
          <w:sz w:val="22"/>
        </w:rPr>
        <w:t>Vervoer kwik en kwikbesmet materiaal nooit samen met personenliften; gebruik de daartoe bestemde vrachtruimtes en overslagmiddelen.</w:t>
      </w:r>
    </w:p>
    <w:p>
      <w:pPr>
        <w:spacing w:after="120"/>
        <w:ind w:left="510" w:hanging="510"/>
      </w:pPr>
      <w:r>
        <w:rPr>
          <w:rFonts w:ascii="Calibri" w:hAnsi="Calibri" w:eastAsia="Calibri"/>
          <w:b/>
          <w:i w:val="0"/>
          <w:color w:val="003366"/>
          <w:sz w:val="22"/>
        </w:rPr>
        <w:t xml:space="preserve">Stap 5 — </w:t>
      </w:r>
      <w:r>
        <w:rPr>
          <w:rFonts w:ascii="Calibri" w:hAnsi="Calibri" w:eastAsia="Calibri"/>
          <w:b/>
          <w:i w:val="0"/>
          <w:color w:val="000000"/>
          <w:sz w:val="22"/>
        </w:rPr>
        <w:t xml:space="preserve">[Logistiek Coördinator] </w:t>
      </w:r>
      <w:r>
        <w:rPr>
          <w:rFonts w:ascii="Calibri" w:hAnsi="Calibri" w:eastAsia="Calibri"/>
          <w:b w:val="0"/>
          <w:i w:val="0"/>
          <w:color w:val="000000"/>
          <w:sz w:val="22"/>
        </w:rPr>
        <w:t>Controleer bij aankomst aan land de sluiting, etikettering en inhoud van elke unit tegen het transportdocument en registreer de overdracht [2].</w:t>
      </w:r>
    </w:p>
    <w:p>
      <w:pPr>
        <w:spacing w:after="120"/>
        <w:ind w:left="510" w:hanging="510"/>
      </w:pPr>
      <w:r>
        <w:rPr>
          <w:rFonts w:ascii="Calibri" w:hAnsi="Calibri" w:eastAsia="Calibri"/>
          <w:b/>
          <w:i w:val="0"/>
          <w:color w:val="003366"/>
          <w:sz w:val="22"/>
        </w:rPr>
        <w:t xml:space="preserve">Stap 6 — </w:t>
      </w:r>
      <w:r>
        <w:rPr>
          <w:rFonts w:ascii="Calibri" w:hAnsi="Calibri" w:eastAsia="Calibri"/>
          <w:b/>
          <w:i w:val="0"/>
          <w:color w:val="000000"/>
          <w:sz w:val="22"/>
        </w:rPr>
        <w:t xml:space="preserve">[HSEQ Officer] </w:t>
      </w:r>
      <w:r>
        <w:rPr>
          <w:rFonts w:ascii="Calibri" w:hAnsi="Calibri" w:eastAsia="Calibri"/>
          <w:b w:val="0"/>
          <w:i w:val="0"/>
          <w:color w:val="000000"/>
          <w:sz w:val="22"/>
        </w:rPr>
        <w:t>Rapporteer de volledige transportketen tot aan de overstapfaciliteit [3].</w:t>
      </w:r>
    </w:p>
    <w:p>
      <w:pPr>
        <w:pStyle w:val="Heading2"/>
        <w:keepNext/>
        <w:spacing w:before="200" w:after="160"/>
      </w:pPr>
      <w:r>
        <w:rPr>
          <w:rFonts w:ascii="Calibri" w:hAnsi="Calibri" w:eastAsia="Calibri"/>
          <w:b/>
          <w:i w:val="0"/>
          <w:color w:val="003366"/>
          <w:sz w:val="26"/>
        </w:rPr>
        <w:t>4.7 Afvoer naar Erkende Verwerker</w:t>
      </w:r>
    </w:p>
    <w:p>
      <w:pPr>
        <w:spacing w:after="160" w:before="0"/>
        <w:jc w:val="both"/>
      </w:pPr>
      <w:r>
        <w:rPr>
          <w:rFonts w:ascii="Calibri" w:hAnsi="Calibri" w:eastAsia="Calibri"/>
          <w:b w:val="0"/>
          <w:i w:val="0"/>
          <w:color w:val="000000"/>
          <w:sz w:val="22"/>
        </w:rPr>
        <w:t>De afvoer sluit de beheerketen af. EU-Kwikverordening artikel 8 en het Bal stellen eisen aan de wijze van afvoer en de status van de verwerker [3][5]. De verwerker wordt vooraf geselecteerd en gecontroleerd op vergunning en acceptatiecriteria; zonder schriftelijke acceptatie wordt geen batch afgegeven [audit §3.1]. De volledige afvalstroom — van opslagunit tot verwerkingsverklaring — blijft herleidbaar via de registraties uit hoofdstuk 7 [2][3].</w:t>
      </w:r>
    </w:p>
    <w:p>
      <w:pPr>
        <w:spacing w:after="120"/>
        <w:ind w:left="510" w:hanging="510"/>
      </w:pPr>
      <w:r>
        <w:rPr>
          <w:rFonts w:ascii="Calibri" w:hAnsi="Calibri" w:eastAsia="Calibri"/>
          <w:b/>
          <w:i w:val="0"/>
          <w:color w:val="003366"/>
          <w:sz w:val="22"/>
        </w:rPr>
        <w:t xml:space="preserve">Stap 1 — </w:t>
      </w:r>
      <w:r>
        <w:rPr>
          <w:rFonts w:ascii="Calibri" w:hAnsi="Calibri" w:eastAsia="Calibri"/>
          <w:b/>
          <w:i w:val="0"/>
          <w:color w:val="000000"/>
          <w:sz w:val="22"/>
        </w:rPr>
        <w:t xml:space="preserve">[Projectmanager] </w:t>
      </w:r>
      <w:r>
        <w:rPr>
          <w:rFonts w:ascii="Calibri" w:hAnsi="Calibri" w:eastAsia="Calibri"/>
          <w:b w:val="0"/>
          <w:i w:val="0"/>
          <w:color w:val="000000"/>
          <w:sz w:val="22"/>
        </w:rPr>
        <w:t>Selecteer een erkende verwerker met een geldige vergunning voor de verwerking van kwikhoudend afval en verifieer de acceptatiecriteria vooraf [audit §3.1][3].</w:t>
      </w:r>
    </w:p>
    <w:p>
      <w:pPr>
        <w:spacing w:after="120"/>
        <w:ind w:left="510" w:hanging="510"/>
      </w:pPr>
      <w:r>
        <w:rPr>
          <w:rFonts w:ascii="Calibri" w:hAnsi="Calibri" w:eastAsia="Calibri"/>
          <w:b/>
          <w:i w:val="0"/>
          <w:color w:val="003366"/>
          <w:sz w:val="22"/>
        </w:rPr>
        <w:t xml:space="preserve">Stap 2 — </w:t>
      </w:r>
      <w:r>
        <w:rPr>
          <w:rFonts w:ascii="Calibri" w:hAnsi="Calibri" w:eastAsia="Calibri"/>
          <w:b/>
          <w:i w:val="0"/>
          <w:color w:val="000000"/>
          <w:sz w:val="22"/>
        </w:rPr>
        <w:t xml:space="preserve">[HSEQ Officer] </w:t>
      </w:r>
      <w:r>
        <w:rPr>
          <w:rFonts w:ascii="Calibri" w:hAnsi="Calibri" w:eastAsia="Calibri"/>
          <w:b w:val="0"/>
          <w:i w:val="0"/>
          <w:color w:val="000000"/>
          <w:sz w:val="22"/>
        </w:rPr>
        <w:t>Stel voor elke batch een begeleidingsbrief op met de CLP-classificatie, de codering en de herkomst van de afvalstroom [2][5].</w:t>
      </w:r>
    </w:p>
    <w:p>
      <w:pPr>
        <w:spacing w:after="120"/>
        <w:ind w:left="510" w:hanging="510"/>
      </w:pPr>
      <w:r>
        <w:rPr>
          <w:rFonts w:ascii="Calibri" w:hAnsi="Calibri" w:eastAsia="Calibri"/>
          <w:b/>
          <w:i w:val="0"/>
          <w:color w:val="003366"/>
          <w:sz w:val="22"/>
        </w:rPr>
        <w:t xml:space="preserve">Stap 3 — </w:t>
      </w:r>
      <w:r>
        <w:rPr>
          <w:rFonts w:ascii="Calibri" w:hAnsi="Calibri" w:eastAsia="Calibri"/>
          <w:b/>
          <w:i w:val="0"/>
          <w:color w:val="000000"/>
          <w:sz w:val="22"/>
        </w:rPr>
        <w:t xml:space="preserve">[Logistiek Coördinator] </w:t>
      </w:r>
      <w:r>
        <w:rPr>
          <w:rFonts w:ascii="Calibri" w:hAnsi="Calibri" w:eastAsia="Calibri"/>
          <w:b w:val="0"/>
          <w:i w:val="0"/>
          <w:color w:val="000000"/>
          <w:sz w:val="22"/>
        </w:rPr>
        <w:t>Overhandig de batch uitsluitend tegen ontvangstbevestiging en met volledige vervoersdocumentatie aan de verwerker [audit §3.1].</w:t>
      </w:r>
    </w:p>
    <w:p>
      <w:pPr>
        <w:spacing w:after="120"/>
        <w:ind w:left="510" w:hanging="510"/>
      </w:pPr>
      <w:r>
        <w:rPr>
          <w:rFonts w:ascii="Calibri" w:hAnsi="Calibri" w:eastAsia="Calibri"/>
          <w:b/>
          <w:i w:val="0"/>
          <w:color w:val="003366"/>
          <w:sz w:val="22"/>
        </w:rPr>
        <w:t xml:space="preserve">Stap 4 — </w:t>
      </w:r>
      <w:r>
        <w:rPr>
          <w:rFonts w:ascii="Calibri" w:hAnsi="Calibri" w:eastAsia="Calibri"/>
          <w:b/>
          <w:i w:val="0"/>
          <w:color w:val="000000"/>
          <w:sz w:val="22"/>
        </w:rPr>
        <w:t xml:space="preserve">[HSEQ Officer] </w:t>
      </w:r>
      <w:r>
        <w:rPr>
          <w:rFonts w:ascii="Calibri" w:hAnsi="Calibri" w:eastAsia="Calibri"/>
          <w:b w:val="0"/>
          <w:i w:val="0"/>
          <w:color w:val="000000"/>
          <w:sz w:val="22"/>
        </w:rPr>
        <w:t>Verifieer na verwerking de vernietigings- of verwerkingsverklaring en archiveer deze als bewijs van de gesloten afvalstroom [3][5].</w:t>
      </w:r>
    </w:p>
    <w:p>
      <w:pPr>
        <w:spacing w:after="120"/>
        <w:ind w:left="510" w:hanging="510"/>
      </w:pPr>
      <w:r>
        <w:rPr>
          <w:rFonts w:ascii="Calibri" w:hAnsi="Calibri" w:eastAsia="Calibri"/>
          <w:b/>
          <w:i w:val="0"/>
          <w:color w:val="003366"/>
          <w:sz w:val="22"/>
        </w:rPr>
        <w:t xml:space="preserve">Stap 5 — </w:t>
      </w:r>
      <w:r>
        <w:rPr>
          <w:rFonts w:ascii="Calibri" w:hAnsi="Calibri" w:eastAsia="Calibri"/>
          <w:b/>
          <w:i w:val="0"/>
          <w:color w:val="000000"/>
          <w:sz w:val="22"/>
        </w:rPr>
        <w:t xml:space="preserve">[Projectmanager] </w:t>
      </w:r>
      <w:r>
        <w:rPr>
          <w:rFonts w:ascii="Calibri" w:hAnsi="Calibri" w:eastAsia="Calibri"/>
          <w:b w:val="0"/>
          <w:i w:val="0"/>
          <w:color w:val="000000"/>
          <w:sz w:val="22"/>
        </w:rPr>
        <w:t>Rapporteert de volledige afvoerketen aan de opdrachtgever (Wintershall) en in het registratiesysteem (hoofdstuk 7) [3].</w:t>
      </w:r>
    </w:p>
    <w:p>
      <w:pPr>
        <w:pStyle w:val="Heading2"/>
        <w:keepNext/>
        <w:spacing w:before="200" w:after="160"/>
      </w:pPr>
      <w:r>
        <w:rPr>
          <w:rFonts w:ascii="Calibri" w:hAnsi="Calibri" w:eastAsia="Calibri"/>
          <w:b/>
          <w:i w:val="0"/>
          <w:color w:val="003366"/>
          <w:sz w:val="26"/>
        </w:rPr>
        <w:t>4.8 Stopwerk- en Noodsituaties</w:t>
      </w:r>
    </w:p>
    <w:p>
      <w:pPr>
        <w:spacing w:after="160" w:before="0"/>
        <w:jc w:val="both"/>
      </w:pPr>
      <w:r>
        <w:rPr>
          <w:rFonts w:ascii="Calibri" w:hAnsi="Calibri" w:eastAsia="Calibri"/>
          <w:b w:val="0"/>
          <w:i w:val="0"/>
          <w:color w:val="000000"/>
          <w:sz w:val="22"/>
        </w:rPr>
        <w:t>Elke medewerker heeft stopwerkbevoegdheid bij waargenomen kwikverlies, defecte PBM of onvoorziene omstandigheden. Bij lekkage of blootstellingsincident wordt de EMVI-procedure van Arbobesluit artikel 4.11 geactiveerd: onmiddellijke stillegging en verlaten van de werkzone, alarmering van de OIM en de HSEQ Officer, afscherming van het lekgebied, opname en containment van het kwik met daartoe bestemde middelen door gekwalificeerd personeel, decontaminatie van betrokkenen, medische beoordeling en melding conform de rapportageverplichting [2]. Details staan in hoofdstuk 6.</w:t>
      </w:r>
    </w:p>
    <w:p>
      <w:pPr>
        <w:spacing w:after="160" w:before="0"/>
        <w:jc w:val="both"/>
      </w:pPr>
      <w:r>
        <w:rPr>
          <w:rFonts w:ascii="Calibri" w:hAnsi="Calibri" w:eastAsia="Calibri"/>
          <w:b w:val="0"/>
          <w:i w:val="0"/>
          <w:color w:val="000000"/>
          <w:sz w:val="22"/>
        </w:rPr>
        <w:t>Een stopwerkbeslissing wordt direct gemeld aan de OIM en de HSEQ Officer, schriftelijk gemotiveerd vastgelegd en pas opgeheven nadat de oorzaak is geanalyseerd en gecorrigeerd. Medewerkers die hun stopwerkbevoegdheid gebruiken, worden daarvoor nooit nadelig behandeld. Recidiverende stopwerkmomenten binnen één fase leiden tot herbeoordeling van de RI&amp;E en van het plan van aanpak voor die fase [2].</w:t>
      </w:r>
    </w:p>
    <w:p>
      <w:r>
        <w:br w:type="page"/>
      </w:r>
    </w:p>
    <w:p>
      <w:pPr>
        <w:pStyle w:val="Heading1"/>
        <w:keepNext/>
        <w:spacing w:before="280" w:after="160"/>
        <w:pBdr>
          <w:bottom w:val="single" w:sz="12" w:space="2" w:color="003366"/>
        </w:pBdr>
      </w:pPr>
      <w:r>
        <w:rPr>
          <w:rFonts w:ascii="Calibri" w:hAnsi="Calibri" w:eastAsia="Calibri"/>
          <w:b/>
          <w:i w:val="0"/>
          <w:color w:val="003366"/>
          <w:sz w:val="32"/>
        </w:rPr>
        <w:t>5. Verantwoordelijkheden</w:t>
      </w:r>
    </w:p>
    <w:p>
      <w:pPr>
        <w:spacing w:after="160" w:before="0"/>
        <w:jc w:val="both"/>
      </w:pPr>
      <w:r>
        <w:rPr>
          <w:rFonts w:ascii="Calibri" w:hAnsi="Calibri" w:eastAsia="Calibri"/>
          <w:b w:val="0"/>
          <w:i w:val="0"/>
          <w:color w:val="000000"/>
          <w:sz w:val="22"/>
        </w:rPr>
        <w:t>De volgende rollen worden onderscheiden in dit project. De projectmanager van de uitvoerende aannemer (Koole) draagt de uitvoeringsverantwoordelijkheid en is opdrachtnemend aanspreekbaar richting de opdrachtgever (Wintershall). De HSEQ Officer is inhoudelijk eigenaar van deze procedure, van de RI&amp;E met kwikartikel en van alle metingen, registraties en rapportages [2][3]. De OIM is eindverantwoordelijk voor de veiligheid op het platform en geeft werkvergunningen af. Het uitvoerend personeel voert survey-, removal-, opslag- en transferhandelingen uit en heeft stopwerkbevoegdheid. De logistiek coördinator beheert de transport- en overdrachtsdocumentatie, en de erkende verwerker sluit de afvalstroom af met een verwerkingsverklaring [3][5].</w:t>
      </w:r>
    </w:p>
    <w:p>
      <w:pPr>
        <w:spacing w:after="160" w:before="0"/>
        <w:jc w:val="both"/>
      </w:pPr>
      <w:r>
        <w:rPr>
          <w:rFonts w:ascii="Calibri" w:hAnsi="Calibri" w:eastAsia="Calibri"/>
          <w:b w:val="0"/>
          <w:i w:val="0"/>
          <w:color w:val="000000"/>
          <w:sz w:val="22"/>
        </w:rPr>
        <w:t>De RACI-matrix hieronder verdeelt de verantwoordelijkheden over deze rollen: R = Responsible (uitvoerend), A = Accountable (eindverantwoordelijk), C = Consulted (geconsulteerd), I = Informed (geïnformeerd).</w:t>
      </w:r>
    </w:p>
    <w:p>
      <w:pPr>
        <w:spacing w:after="160" w:before="0"/>
        <w:jc w:val="left"/>
      </w:pPr>
      <w:r>
        <w:rPr>
          <w:rFonts w:ascii="Calibri" w:hAnsi="Calibri" w:eastAsia="Calibri"/>
          <w:b w:val="0"/>
          <w:i/>
          <w:color w:val="1F2937"/>
          <w:sz w:val="18"/>
        </w:rPr>
        <w:t>Tabel 5.1 — RACI-matrix kwikhandling</w:t>
      </w:r>
    </w:p>
    <w:tbl>
      <w:tblPr>
        <w:tblStyle w:val="TableGrid"/>
        <w:tblW w:type="auto" w:w="0"/>
        <w:jc w:val="center"/>
        <w:tblLook w:firstColumn="1" w:firstRow="1" w:lastColumn="0" w:lastRow="0" w:noHBand="0" w:noVBand="1" w:val="04A0"/>
      </w:tblPr>
      <w:tblGrid>
        <w:gridCol w:w="1360"/>
        <w:gridCol w:w="1360"/>
        <w:gridCol w:w="1360"/>
        <w:gridCol w:w="1360"/>
        <w:gridCol w:w="1360"/>
        <w:gridCol w:w="1360"/>
        <w:gridCol w:w="1360"/>
      </w:tblGrid>
      <w:tr>
        <w:tc>
          <w:tcPr>
            <w:tcW w:type="dxa" w:w="2438"/>
            <w:shd w:val="clear" w:fill="003366"/>
          </w:tcPr>
          <w:p>
            <w:r/>
            <w:r>
              <w:rPr>
                <w:rFonts w:ascii="Calibri" w:hAnsi="Calibri" w:eastAsia="Calibri"/>
                <w:b/>
                <w:i w:val="0"/>
                <w:color w:val="FFFFFF"/>
                <w:sz w:val="18"/>
              </w:rPr>
              <w:t>Activiteit</w:t>
            </w:r>
          </w:p>
        </w:tc>
        <w:tc>
          <w:tcPr>
            <w:tcW w:type="dxa" w:w="1077"/>
            <w:shd w:val="clear" w:fill="003366"/>
          </w:tcPr>
          <w:p>
            <w:r/>
            <w:r>
              <w:rPr>
                <w:rFonts w:ascii="Calibri" w:hAnsi="Calibri" w:eastAsia="Calibri"/>
                <w:b/>
                <w:i w:val="0"/>
                <w:color w:val="FFFFFF"/>
                <w:sz w:val="18"/>
              </w:rPr>
              <w:t>Projectmanager</w:t>
            </w:r>
          </w:p>
        </w:tc>
        <w:tc>
          <w:tcPr>
            <w:tcW w:type="dxa" w:w="1077"/>
            <w:shd w:val="clear" w:fill="003366"/>
          </w:tcPr>
          <w:p>
            <w:r/>
            <w:r>
              <w:rPr>
                <w:rFonts w:ascii="Calibri" w:hAnsi="Calibri" w:eastAsia="Calibri"/>
                <w:b/>
                <w:i w:val="0"/>
                <w:color w:val="FFFFFF"/>
                <w:sz w:val="18"/>
              </w:rPr>
              <w:t>HSEQ Officer</w:t>
            </w:r>
          </w:p>
        </w:tc>
        <w:tc>
          <w:tcPr>
            <w:tcW w:type="dxa" w:w="737"/>
            <w:shd w:val="clear" w:fill="003366"/>
          </w:tcPr>
          <w:p>
            <w:r/>
            <w:r>
              <w:rPr>
                <w:rFonts w:ascii="Calibri" w:hAnsi="Calibri" w:eastAsia="Calibri"/>
                <w:b/>
                <w:i w:val="0"/>
                <w:color w:val="FFFFFF"/>
                <w:sz w:val="18"/>
              </w:rPr>
              <w:t>OIM</w:t>
            </w:r>
          </w:p>
        </w:tc>
        <w:tc>
          <w:tcPr>
            <w:tcW w:type="dxa" w:w="1304"/>
            <w:shd w:val="clear" w:fill="003366"/>
          </w:tcPr>
          <w:p>
            <w:r/>
            <w:r>
              <w:rPr>
                <w:rFonts w:ascii="Calibri" w:hAnsi="Calibri" w:eastAsia="Calibri"/>
                <w:b/>
                <w:i w:val="0"/>
                <w:color w:val="FFFFFF"/>
                <w:sz w:val="18"/>
              </w:rPr>
              <w:t>Uitvoerend Personeel</w:t>
            </w:r>
          </w:p>
        </w:tc>
        <w:tc>
          <w:tcPr>
            <w:tcW w:type="dxa" w:w="1304"/>
            <w:shd w:val="clear" w:fill="003366"/>
          </w:tcPr>
          <w:p>
            <w:r/>
            <w:r>
              <w:rPr>
                <w:rFonts w:ascii="Calibri" w:hAnsi="Calibri" w:eastAsia="Calibri"/>
                <w:b/>
                <w:i w:val="0"/>
                <w:color w:val="FFFFFF"/>
                <w:sz w:val="18"/>
              </w:rPr>
              <w:t>Logistiek Coördinator</w:t>
            </w:r>
          </w:p>
        </w:tc>
        <w:tc>
          <w:tcPr>
            <w:tcW w:type="dxa" w:w="907"/>
            <w:shd w:val="clear" w:fill="003366"/>
          </w:tcPr>
          <w:p>
            <w:r/>
            <w:r>
              <w:rPr>
                <w:rFonts w:ascii="Calibri" w:hAnsi="Calibri" w:eastAsia="Calibri"/>
                <w:b/>
                <w:i w:val="0"/>
                <w:color w:val="FFFFFF"/>
                <w:sz w:val="18"/>
              </w:rPr>
              <w:t>Verwerker</w:t>
            </w:r>
          </w:p>
        </w:tc>
      </w:tr>
      <w:tr>
        <w:tc>
          <w:tcPr>
            <w:tcW w:type="dxa" w:w="2438"/>
          </w:tcPr>
          <w:p>
            <w:r/>
            <w:r>
              <w:rPr>
                <w:rFonts w:ascii="Calibri" w:hAnsi="Calibri" w:eastAsia="Calibri"/>
                <w:b w:val="0"/>
                <w:i w:val="0"/>
                <w:color w:val="000000"/>
                <w:sz w:val="18"/>
              </w:rPr>
              <w:t>RI&amp;E en PvA (4.1)</w:t>
            </w:r>
          </w:p>
        </w:tc>
        <w:tc>
          <w:tcPr>
            <w:tcW w:type="dxa" w:w="1077"/>
          </w:tcPr>
          <w:p>
            <w:r/>
            <w:r>
              <w:rPr>
                <w:rFonts w:ascii="Calibri" w:hAnsi="Calibri" w:eastAsia="Calibri"/>
                <w:b w:val="0"/>
                <w:i w:val="0"/>
                <w:color w:val="000000"/>
                <w:sz w:val="18"/>
              </w:rPr>
              <w:t>A</w:t>
            </w:r>
          </w:p>
        </w:tc>
        <w:tc>
          <w:tcPr>
            <w:tcW w:type="dxa" w:w="1077"/>
          </w:tcPr>
          <w:p>
            <w:r/>
            <w:r>
              <w:rPr>
                <w:rFonts w:ascii="Calibri" w:hAnsi="Calibri" w:eastAsia="Calibri"/>
                <w:b w:val="0"/>
                <w:i w:val="0"/>
                <w:color w:val="000000"/>
                <w:sz w:val="18"/>
              </w:rPr>
              <w:t>R</w:t>
            </w:r>
          </w:p>
        </w:tc>
        <w:tc>
          <w:tcPr>
            <w:tcW w:type="dxa" w:w="737"/>
          </w:tcPr>
          <w:p>
            <w:r/>
            <w:r>
              <w:rPr>
                <w:rFonts w:ascii="Calibri" w:hAnsi="Calibri" w:eastAsia="Calibri"/>
                <w:b w:val="0"/>
                <w:i w:val="0"/>
                <w:color w:val="000000"/>
                <w:sz w:val="18"/>
              </w:rPr>
              <w:t>C</w:t>
            </w:r>
          </w:p>
        </w:tc>
        <w:tc>
          <w:tcPr>
            <w:tcW w:type="dxa" w:w="1304"/>
          </w:tcPr>
          <w:p>
            <w:r/>
            <w:r>
              <w:rPr>
                <w:rFonts w:ascii="Calibri" w:hAnsi="Calibri" w:eastAsia="Calibri"/>
                <w:b w:val="0"/>
                <w:i w:val="0"/>
                <w:color w:val="000000"/>
                <w:sz w:val="18"/>
              </w:rPr>
              <w:t>C</w:t>
            </w:r>
          </w:p>
        </w:tc>
        <w:tc>
          <w:tcPr>
            <w:tcW w:type="dxa" w:w="1304"/>
          </w:tcPr>
          <w:p>
            <w:r/>
            <w:r>
              <w:rPr>
                <w:rFonts w:ascii="Calibri" w:hAnsi="Calibri" w:eastAsia="Calibri"/>
                <w:b w:val="0"/>
                <w:i w:val="0"/>
                <w:color w:val="000000"/>
                <w:sz w:val="18"/>
              </w:rPr>
              <w:t>I</w:t>
            </w:r>
          </w:p>
        </w:tc>
        <w:tc>
          <w:tcPr>
            <w:tcW w:type="dxa" w:w="907"/>
          </w:tcPr>
          <w:p>
            <w:r/>
            <w:r>
              <w:rPr>
                <w:rFonts w:ascii="Calibri" w:hAnsi="Calibri" w:eastAsia="Calibri"/>
                <w:b w:val="0"/>
                <w:i w:val="0"/>
                <w:color w:val="000000"/>
                <w:sz w:val="18"/>
              </w:rPr>
              <w:t>-</w:t>
            </w:r>
          </w:p>
        </w:tc>
      </w:tr>
      <w:tr>
        <w:tc>
          <w:tcPr>
            <w:tcW w:type="dxa" w:w="2438"/>
            <w:shd w:val="clear" w:fill="F8F9FA"/>
          </w:tcPr>
          <w:p>
            <w:r/>
            <w:r>
              <w:rPr>
                <w:rFonts w:ascii="Calibri" w:hAnsi="Calibri" w:eastAsia="Calibri"/>
                <w:b w:val="0"/>
                <w:i w:val="0"/>
                <w:color w:val="000000"/>
                <w:sz w:val="18"/>
              </w:rPr>
              <w:t>Training en voorlichting (4.1)</w:t>
            </w:r>
          </w:p>
        </w:tc>
        <w:tc>
          <w:tcPr>
            <w:tcW w:type="dxa" w:w="1077"/>
            <w:shd w:val="clear" w:fill="F8F9FA"/>
          </w:tcPr>
          <w:p>
            <w:r/>
            <w:r>
              <w:rPr>
                <w:rFonts w:ascii="Calibri" w:hAnsi="Calibri" w:eastAsia="Calibri"/>
                <w:b w:val="0"/>
                <w:i w:val="0"/>
                <w:color w:val="000000"/>
                <w:sz w:val="18"/>
              </w:rPr>
              <w:t>A</w:t>
            </w:r>
          </w:p>
        </w:tc>
        <w:tc>
          <w:tcPr>
            <w:tcW w:type="dxa" w:w="1077"/>
            <w:shd w:val="clear" w:fill="F8F9FA"/>
          </w:tcPr>
          <w:p>
            <w:r/>
            <w:r>
              <w:rPr>
                <w:rFonts w:ascii="Calibri" w:hAnsi="Calibri" w:eastAsia="Calibri"/>
                <w:b w:val="0"/>
                <w:i w:val="0"/>
                <w:color w:val="000000"/>
                <w:sz w:val="18"/>
              </w:rPr>
              <w:t>R</w:t>
            </w:r>
          </w:p>
        </w:tc>
        <w:tc>
          <w:tcPr>
            <w:tcW w:type="dxa" w:w="737"/>
            <w:shd w:val="clear" w:fill="F8F9FA"/>
          </w:tcPr>
          <w:p>
            <w:r/>
            <w:r>
              <w:rPr>
                <w:rFonts w:ascii="Calibri" w:hAnsi="Calibri" w:eastAsia="Calibri"/>
                <w:b w:val="0"/>
                <w:i w:val="0"/>
                <w:color w:val="000000"/>
                <w:sz w:val="18"/>
              </w:rPr>
              <w:t>C</w:t>
            </w:r>
          </w:p>
        </w:tc>
        <w:tc>
          <w:tcPr>
            <w:tcW w:type="dxa" w:w="1304"/>
            <w:shd w:val="clear" w:fill="F8F9FA"/>
          </w:tcPr>
          <w:p>
            <w:r/>
            <w:r>
              <w:rPr>
                <w:rFonts w:ascii="Calibri" w:hAnsi="Calibri" w:eastAsia="Calibri"/>
                <w:b w:val="0"/>
                <w:i w:val="0"/>
                <w:color w:val="000000"/>
                <w:sz w:val="18"/>
              </w:rPr>
              <w:t>I</w:t>
            </w:r>
          </w:p>
        </w:tc>
        <w:tc>
          <w:tcPr>
            <w:tcW w:type="dxa" w:w="1304"/>
            <w:shd w:val="clear" w:fill="F8F9FA"/>
          </w:tcPr>
          <w:p>
            <w:r/>
            <w:r>
              <w:rPr>
                <w:rFonts w:ascii="Calibri" w:hAnsi="Calibri" w:eastAsia="Calibri"/>
                <w:b w:val="0"/>
                <w:i w:val="0"/>
                <w:color w:val="000000"/>
                <w:sz w:val="18"/>
              </w:rPr>
              <w:t>I</w:t>
            </w:r>
          </w:p>
        </w:tc>
        <w:tc>
          <w:tcPr>
            <w:tcW w:type="dxa" w:w="907"/>
            <w:shd w:val="clear" w:fill="F8F9FA"/>
          </w:tcPr>
          <w:p>
            <w:r/>
            <w:r>
              <w:rPr>
                <w:rFonts w:ascii="Calibri" w:hAnsi="Calibri" w:eastAsia="Calibri"/>
                <w:b w:val="0"/>
                <w:i w:val="0"/>
                <w:color w:val="000000"/>
                <w:sz w:val="18"/>
              </w:rPr>
              <w:t>-</w:t>
            </w:r>
          </w:p>
        </w:tc>
      </w:tr>
      <w:tr>
        <w:tc>
          <w:tcPr>
            <w:tcW w:type="dxa" w:w="2438"/>
          </w:tcPr>
          <w:p>
            <w:r/>
            <w:r>
              <w:rPr>
                <w:rFonts w:ascii="Calibri" w:hAnsi="Calibri" w:eastAsia="Calibri"/>
                <w:b w:val="0"/>
                <w:i w:val="0"/>
                <w:color w:val="000000"/>
                <w:sz w:val="18"/>
              </w:rPr>
              <w:t>Pre-removal survey (4.2)</w:t>
            </w:r>
          </w:p>
        </w:tc>
        <w:tc>
          <w:tcPr>
            <w:tcW w:type="dxa" w:w="1077"/>
          </w:tcPr>
          <w:p>
            <w:r/>
            <w:r>
              <w:rPr>
                <w:rFonts w:ascii="Calibri" w:hAnsi="Calibri" w:eastAsia="Calibri"/>
                <w:b w:val="0"/>
                <w:i w:val="0"/>
                <w:color w:val="000000"/>
                <w:sz w:val="18"/>
              </w:rPr>
              <w:t>A</w:t>
            </w:r>
          </w:p>
        </w:tc>
        <w:tc>
          <w:tcPr>
            <w:tcW w:type="dxa" w:w="1077"/>
          </w:tcPr>
          <w:p>
            <w:r/>
            <w:r>
              <w:rPr>
                <w:rFonts w:ascii="Calibri" w:hAnsi="Calibri" w:eastAsia="Calibri"/>
                <w:b w:val="0"/>
                <w:i w:val="0"/>
                <w:color w:val="000000"/>
                <w:sz w:val="18"/>
              </w:rPr>
              <w:t>R</w:t>
            </w:r>
          </w:p>
        </w:tc>
        <w:tc>
          <w:tcPr>
            <w:tcW w:type="dxa" w:w="737"/>
          </w:tcPr>
          <w:p>
            <w:r/>
            <w:r>
              <w:rPr>
                <w:rFonts w:ascii="Calibri" w:hAnsi="Calibri" w:eastAsia="Calibri"/>
                <w:b w:val="0"/>
                <w:i w:val="0"/>
                <w:color w:val="000000"/>
                <w:sz w:val="18"/>
              </w:rPr>
              <w:t>C</w:t>
            </w:r>
          </w:p>
        </w:tc>
        <w:tc>
          <w:tcPr>
            <w:tcW w:type="dxa" w:w="1304"/>
          </w:tcPr>
          <w:p>
            <w:r/>
            <w:r>
              <w:rPr>
                <w:rFonts w:ascii="Calibri" w:hAnsi="Calibri" w:eastAsia="Calibri"/>
                <w:b w:val="0"/>
                <w:i w:val="0"/>
                <w:color w:val="000000"/>
                <w:sz w:val="18"/>
              </w:rPr>
              <w:t>C</w:t>
            </w:r>
          </w:p>
        </w:tc>
        <w:tc>
          <w:tcPr>
            <w:tcW w:type="dxa" w:w="1304"/>
          </w:tcPr>
          <w:p>
            <w:r/>
            <w:r>
              <w:rPr>
                <w:rFonts w:ascii="Calibri" w:hAnsi="Calibri" w:eastAsia="Calibri"/>
                <w:b w:val="0"/>
                <w:i w:val="0"/>
                <w:color w:val="000000"/>
                <w:sz w:val="18"/>
              </w:rPr>
              <w:t>-</w:t>
            </w:r>
          </w:p>
        </w:tc>
        <w:tc>
          <w:tcPr>
            <w:tcW w:type="dxa" w:w="907"/>
          </w:tcPr>
          <w:p>
            <w:r/>
            <w:r>
              <w:rPr>
                <w:rFonts w:ascii="Calibri" w:hAnsi="Calibri" w:eastAsia="Calibri"/>
                <w:b w:val="0"/>
                <w:i w:val="0"/>
                <w:color w:val="000000"/>
                <w:sz w:val="18"/>
              </w:rPr>
              <w:t>-</w:t>
            </w:r>
          </w:p>
        </w:tc>
      </w:tr>
      <w:tr>
        <w:tc>
          <w:tcPr>
            <w:tcW w:type="dxa" w:w="2438"/>
            <w:shd w:val="clear" w:fill="F8F9FA"/>
          </w:tcPr>
          <w:p>
            <w:r/>
            <w:r>
              <w:rPr>
                <w:rFonts w:ascii="Calibri" w:hAnsi="Calibri" w:eastAsia="Calibri"/>
                <w:b w:val="0"/>
                <w:i w:val="0"/>
                <w:color w:val="000000"/>
                <w:sz w:val="18"/>
              </w:rPr>
              <w:t>XRF- en laboratoriummetingen (4.2/4.3/4.4)</w:t>
            </w:r>
          </w:p>
        </w:tc>
        <w:tc>
          <w:tcPr>
            <w:tcW w:type="dxa" w:w="1077"/>
            <w:shd w:val="clear" w:fill="F8F9FA"/>
          </w:tcPr>
          <w:p>
            <w:r/>
            <w:r>
              <w:rPr>
                <w:rFonts w:ascii="Calibri" w:hAnsi="Calibri" w:eastAsia="Calibri"/>
                <w:b w:val="0"/>
                <w:i w:val="0"/>
                <w:color w:val="000000"/>
                <w:sz w:val="18"/>
              </w:rPr>
              <w:t>A</w:t>
            </w:r>
          </w:p>
        </w:tc>
        <w:tc>
          <w:tcPr>
            <w:tcW w:type="dxa" w:w="1077"/>
            <w:shd w:val="clear" w:fill="F8F9FA"/>
          </w:tcPr>
          <w:p>
            <w:r/>
            <w:r>
              <w:rPr>
                <w:rFonts w:ascii="Calibri" w:hAnsi="Calibri" w:eastAsia="Calibri"/>
                <w:b w:val="0"/>
                <w:i w:val="0"/>
                <w:color w:val="000000"/>
                <w:sz w:val="18"/>
              </w:rPr>
              <w:t>R</w:t>
            </w:r>
          </w:p>
        </w:tc>
        <w:tc>
          <w:tcPr>
            <w:tcW w:type="dxa" w:w="737"/>
            <w:shd w:val="clear" w:fill="F8F9FA"/>
          </w:tcPr>
          <w:p>
            <w:r/>
            <w:r>
              <w:rPr>
                <w:rFonts w:ascii="Calibri" w:hAnsi="Calibri" w:eastAsia="Calibri"/>
                <w:b w:val="0"/>
                <w:i w:val="0"/>
                <w:color w:val="000000"/>
                <w:sz w:val="18"/>
              </w:rPr>
              <w:t>C</w:t>
            </w:r>
          </w:p>
        </w:tc>
        <w:tc>
          <w:tcPr>
            <w:tcW w:type="dxa" w:w="1304"/>
            <w:shd w:val="clear" w:fill="F8F9FA"/>
          </w:tcPr>
          <w:p>
            <w:r/>
            <w:r>
              <w:rPr>
                <w:rFonts w:ascii="Calibri" w:hAnsi="Calibri" w:eastAsia="Calibri"/>
                <w:b w:val="0"/>
                <w:i w:val="0"/>
                <w:color w:val="000000"/>
                <w:sz w:val="18"/>
              </w:rPr>
              <w:t>R</w:t>
            </w:r>
          </w:p>
        </w:tc>
        <w:tc>
          <w:tcPr>
            <w:tcW w:type="dxa" w:w="1304"/>
            <w:shd w:val="clear" w:fill="F8F9FA"/>
          </w:tcPr>
          <w:p>
            <w:r/>
            <w:r>
              <w:rPr>
                <w:rFonts w:ascii="Calibri" w:hAnsi="Calibri" w:eastAsia="Calibri"/>
                <w:b w:val="0"/>
                <w:i w:val="0"/>
                <w:color w:val="000000"/>
                <w:sz w:val="18"/>
              </w:rPr>
              <w:t>-</w:t>
            </w:r>
          </w:p>
        </w:tc>
        <w:tc>
          <w:tcPr>
            <w:tcW w:type="dxa" w:w="907"/>
            <w:shd w:val="clear" w:fill="F8F9FA"/>
          </w:tcPr>
          <w:p>
            <w:r/>
            <w:r>
              <w:rPr>
                <w:rFonts w:ascii="Calibri" w:hAnsi="Calibri" w:eastAsia="Calibri"/>
                <w:b w:val="0"/>
                <w:i w:val="0"/>
                <w:color w:val="000000"/>
                <w:sz w:val="18"/>
              </w:rPr>
              <w:t>-</w:t>
            </w:r>
          </w:p>
        </w:tc>
      </w:tr>
      <w:tr>
        <w:tc>
          <w:tcPr>
            <w:tcW w:type="dxa" w:w="2438"/>
          </w:tcPr>
          <w:p>
            <w:r/>
            <w:r>
              <w:rPr>
                <w:rFonts w:ascii="Calibri" w:hAnsi="Calibri" w:eastAsia="Calibri"/>
                <w:b w:val="0"/>
                <w:i w:val="0"/>
                <w:color w:val="000000"/>
                <w:sz w:val="18"/>
              </w:rPr>
              <w:t>Removal-activiteiten (4.3)</w:t>
            </w:r>
          </w:p>
        </w:tc>
        <w:tc>
          <w:tcPr>
            <w:tcW w:type="dxa" w:w="1077"/>
          </w:tcPr>
          <w:p>
            <w:r/>
            <w:r>
              <w:rPr>
                <w:rFonts w:ascii="Calibri" w:hAnsi="Calibri" w:eastAsia="Calibri"/>
                <w:b w:val="0"/>
                <w:i w:val="0"/>
                <w:color w:val="000000"/>
                <w:sz w:val="18"/>
              </w:rPr>
              <w:t>A</w:t>
            </w:r>
          </w:p>
        </w:tc>
        <w:tc>
          <w:tcPr>
            <w:tcW w:type="dxa" w:w="1077"/>
          </w:tcPr>
          <w:p>
            <w:r/>
            <w:r>
              <w:rPr>
                <w:rFonts w:ascii="Calibri" w:hAnsi="Calibri" w:eastAsia="Calibri"/>
                <w:b w:val="0"/>
                <w:i w:val="0"/>
                <w:color w:val="000000"/>
                <w:sz w:val="18"/>
              </w:rPr>
              <w:t>C</w:t>
            </w:r>
          </w:p>
        </w:tc>
        <w:tc>
          <w:tcPr>
            <w:tcW w:type="dxa" w:w="737"/>
          </w:tcPr>
          <w:p>
            <w:r/>
            <w:r>
              <w:rPr>
                <w:rFonts w:ascii="Calibri" w:hAnsi="Calibri" w:eastAsia="Calibri"/>
                <w:b w:val="0"/>
                <w:i w:val="0"/>
                <w:color w:val="000000"/>
                <w:sz w:val="18"/>
              </w:rPr>
              <w:t>C</w:t>
            </w:r>
          </w:p>
        </w:tc>
        <w:tc>
          <w:tcPr>
            <w:tcW w:type="dxa" w:w="1304"/>
          </w:tcPr>
          <w:p>
            <w:r/>
            <w:r>
              <w:rPr>
                <w:rFonts w:ascii="Calibri" w:hAnsi="Calibri" w:eastAsia="Calibri"/>
                <w:b w:val="0"/>
                <w:i w:val="0"/>
                <w:color w:val="000000"/>
                <w:sz w:val="18"/>
              </w:rPr>
              <w:t>R</w:t>
            </w:r>
          </w:p>
        </w:tc>
        <w:tc>
          <w:tcPr>
            <w:tcW w:type="dxa" w:w="1304"/>
          </w:tcPr>
          <w:p>
            <w:r/>
            <w:r>
              <w:rPr>
                <w:rFonts w:ascii="Calibri" w:hAnsi="Calibri" w:eastAsia="Calibri"/>
                <w:b w:val="0"/>
                <w:i w:val="0"/>
                <w:color w:val="000000"/>
                <w:sz w:val="18"/>
              </w:rPr>
              <w:t>-</w:t>
            </w:r>
          </w:p>
        </w:tc>
        <w:tc>
          <w:tcPr>
            <w:tcW w:type="dxa" w:w="907"/>
          </w:tcPr>
          <w:p>
            <w:r/>
            <w:r>
              <w:rPr>
                <w:rFonts w:ascii="Calibri" w:hAnsi="Calibri" w:eastAsia="Calibri"/>
                <w:b w:val="0"/>
                <w:i w:val="0"/>
                <w:color w:val="000000"/>
                <w:sz w:val="18"/>
              </w:rPr>
              <w:t>-</w:t>
            </w:r>
          </w:p>
        </w:tc>
      </w:tr>
      <w:tr>
        <w:tc>
          <w:tcPr>
            <w:tcW w:type="dxa" w:w="2438"/>
            <w:shd w:val="clear" w:fill="F8F9FA"/>
          </w:tcPr>
          <w:p>
            <w:r/>
            <w:r>
              <w:rPr>
                <w:rFonts w:ascii="Calibri" w:hAnsi="Calibri" w:eastAsia="Calibri"/>
                <w:b w:val="0"/>
                <w:i w:val="0"/>
                <w:color w:val="000000"/>
                <w:sz w:val="18"/>
              </w:rPr>
              <w:t>Werkvergunning (4.3)</w:t>
            </w:r>
          </w:p>
        </w:tc>
        <w:tc>
          <w:tcPr>
            <w:tcW w:type="dxa" w:w="1077"/>
            <w:shd w:val="clear" w:fill="F8F9FA"/>
          </w:tcPr>
          <w:p>
            <w:r/>
            <w:r>
              <w:rPr>
                <w:rFonts w:ascii="Calibri" w:hAnsi="Calibri" w:eastAsia="Calibri"/>
                <w:b w:val="0"/>
                <w:i w:val="0"/>
                <w:color w:val="000000"/>
                <w:sz w:val="18"/>
              </w:rPr>
              <w:t>C</w:t>
            </w:r>
          </w:p>
        </w:tc>
        <w:tc>
          <w:tcPr>
            <w:tcW w:type="dxa" w:w="1077"/>
            <w:shd w:val="clear" w:fill="F8F9FA"/>
          </w:tcPr>
          <w:p>
            <w:r/>
            <w:r>
              <w:rPr>
                <w:rFonts w:ascii="Calibri" w:hAnsi="Calibri" w:eastAsia="Calibri"/>
                <w:b w:val="0"/>
                <w:i w:val="0"/>
                <w:color w:val="000000"/>
                <w:sz w:val="18"/>
              </w:rPr>
              <w:t>R</w:t>
            </w:r>
          </w:p>
        </w:tc>
        <w:tc>
          <w:tcPr>
            <w:tcW w:type="dxa" w:w="737"/>
            <w:shd w:val="clear" w:fill="F8F9FA"/>
          </w:tcPr>
          <w:p>
            <w:r/>
            <w:r>
              <w:rPr>
                <w:rFonts w:ascii="Calibri" w:hAnsi="Calibri" w:eastAsia="Calibri"/>
                <w:b w:val="0"/>
                <w:i w:val="0"/>
                <w:color w:val="000000"/>
                <w:sz w:val="18"/>
              </w:rPr>
              <w:t>A</w:t>
            </w:r>
          </w:p>
        </w:tc>
        <w:tc>
          <w:tcPr>
            <w:tcW w:type="dxa" w:w="1304"/>
            <w:shd w:val="clear" w:fill="F8F9FA"/>
          </w:tcPr>
          <w:p>
            <w:r/>
            <w:r>
              <w:rPr>
                <w:rFonts w:ascii="Calibri" w:hAnsi="Calibri" w:eastAsia="Calibri"/>
                <w:b w:val="0"/>
                <w:i w:val="0"/>
                <w:color w:val="000000"/>
                <w:sz w:val="18"/>
              </w:rPr>
              <w:t>I</w:t>
            </w:r>
          </w:p>
        </w:tc>
        <w:tc>
          <w:tcPr>
            <w:tcW w:type="dxa" w:w="1304"/>
            <w:shd w:val="clear" w:fill="F8F9FA"/>
          </w:tcPr>
          <w:p>
            <w:r/>
            <w:r>
              <w:rPr>
                <w:rFonts w:ascii="Calibri" w:hAnsi="Calibri" w:eastAsia="Calibri"/>
                <w:b w:val="0"/>
                <w:i w:val="0"/>
                <w:color w:val="000000"/>
                <w:sz w:val="18"/>
              </w:rPr>
              <w:t>-</w:t>
            </w:r>
          </w:p>
        </w:tc>
        <w:tc>
          <w:tcPr>
            <w:tcW w:type="dxa" w:w="907"/>
            <w:shd w:val="clear" w:fill="F8F9FA"/>
          </w:tcPr>
          <w:p>
            <w:r/>
            <w:r>
              <w:rPr>
                <w:rFonts w:ascii="Calibri" w:hAnsi="Calibri" w:eastAsia="Calibri"/>
                <w:b w:val="0"/>
                <w:i w:val="0"/>
                <w:color w:val="000000"/>
                <w:sz w:val="18"/>
              </w:rPr>
              <w:t>-</w:t>
            </w:r>
          </w:p>
        </w:tc>
      </w:tr>
      <w:tr>
        <w:tc>
          <w:tcPr>
            <w:tcW w:type="dxa" w:w="2438"/>
          </w:tcPr>
          <w:p>
            <w:r/>
            <w:r>
              <w:rPr>
                <w:rFonts w:ascii="Calibri" w:hAnsi="Calibri" w:eastAsia="Calibri"/>
                <w:b w:val="0"/>
                <w:i w:val="0"/>
                <w:color w:val="000000"/>
                <w:sz w:val="18"/>
              </w:rPr>
              <w:t>Post-removal verificatie (4.4)</w:t>
            </w:r>
          </w:p>
        </w:tc>
        <w:tc>
          <w:tcPr>
            <w:tcW w:type="dxa" w:w="1077"/>
          </w:tcPr>
          <w:p>
            <w:r/>
            <w:r>
              <w:rPr>
                <w:rFonts w:ascii="Calibri" w:hAnsi="Calibri" w:eastAsia="Calibri"/>
                <w:b w:val="0"/>
                <w:i w:val="0"/>
                <w:color w:val="000000"/>
                <w:sz w:val="18"/>
              </w:rPr>
              <w:t>A</w:t>
            </w:r>
          </w:p>
        </w:tc>
        <w:tc>
          <w:tcPr>
            <w:tcW w:type="dxa" w:w="1077"/>
          </w:tcPr>
          <w:p>
            <w:r/>
            <w:r>
              <w:rPr>
                <w:rFonts w:ascii="Calibri" w:hAnsi="Calibri" w:eastAsia="Calibri"/>
                <w:b w:val="0"/>
                <w:i w:val="0"/>
                <w:color w:val="000000"/>
                <w:sz w:val="18"/>
              </w:rPr>
              <w:t>R</w:t>
            </w:r>
          </w:p>
        </w:tc>
        <w:tc>
          <w:tcPr>
            <w:tcW w:type="dxa" w:w="737"/>
          </w:tcPr>
          <w:p>
            <w:r/>
            <w:r>
              <w:rPr>
                <w:rFonts w:ascii="Calibri" w:hAnsi="Calibri" w:eastAsia="Calibri"/>
                <w:b w:val="0"/>
                <w:i w:val="0"/>
                <w:color w:val="000000"/>
                <w:sz w:val="18"/>
              </w:rPr>
              <w:t>I</w:t>
            </w:r>
          </w:p>
        </w:tc>
        <w:tc>
          <w:tcPr>
            <w:tcW w:type="dxa" w:w="1304"/>
          </w:tcPr>
          <w:p>
            <w:r/>
            <w:r>
              <w:rPr>
                <w:rFonts w:ascii="Calibri" w:hAnsi="Calibri" w:eastAsia="Calibri"/>
                <w:b w:val="0"/>
                <w:i w:val="0"/>
                <w:color w:val="000000"/>
                <w:sz w:val="18"/>
              </w:rPr>
              <w:t>C</w:t>
            </w:r>
          </w:p>
        </w:tc>
        <w:tc>
          <w:tcPr>
            <w:tcW w:type="dxa" w:w="1304"/>
          </w:tcPr>
          <w:p>
            <w:r/>
            <w:r>
              <w:rPr>
                <w:rFonts w:ascii="Calibri" w:hAnsi="Calibri" w:eastAsia="Calibri"/>
                <w:b w:val="0"/>
                <w:i w:val="0"/>
                <w:color w:val="000000"/>
                <w:sz w:val="18"/>
              </w:rPr>
              <w:t>-</w:t>
            </w:r>
          </w:p>
        </w:tc>
        <w:tc>
          <w:tcPr>
            <w:tcW w:type="dxa" w:w="907"/>
          </w:tcPr>
          <w:p>
            <w:r/>
            <w:r>
              <w:rPr>
                <w:rFonts w:ascii="Calibri" w:hAnsi="Calibri" w:eastAsia="Calibri"/>
                <w:b w:val="0"/>
                <w:i w:val="0"/>
                <w:color w:val="000000"/>
                <w:sz w:val="18"/>
              </w:rPr>
              <w:t>-</w:t>
            </w:r>
          </w:p>
        </w:tc>
      </w:tr>
      <w:tr>
        <w:tc>
          <w:tcPr>
            <w:tcW w:type="dxa" w:w="2438"/>
            <w:shd w:val="clear" w:fill="F8F9FA"/>
          </w:tcPr>
          <w:p>
            <w:r/>
            <w:r>
              <w:rPr>
                <w:rFonts w:ascii="Calibri" w:hAnsi="Calibri" w:eastAsia="Calibri"/>
                <w:b w:val="0"/>
                <w:i w:val="0"/>
                <w:color w:val="000000"/>
                <w:sz w:val="18"/>
              </w:rPr>
              <w:t>Opslag offshore (4.5)</w:t>
            </w:r>
          </w:p>
        </w:tc>
        <w:tc>
          <w:tcPr>
            <w:tcW w:type="dxa" w:w="1077"/>
            <w:shd w:val="clear" w:fill="F8F9FA"/>
          </w:tcPr>
          <w:p>
            <w:r/>
            <w:r>
              <w:rPr>
                <w:rFonts w:ascii="Calibri" w:hAnsi="Calibri" w:eastAsia="Calibri"/>
                <w:b w:val="0"/>
                <w:i w:val="0"/>
                <w:color w:val="000000"/>
                <w:sz w:val="18"/>
              </w:rPr>
              <w:t>A</w:t>
            </w:r>
          </w:p>
        </w:tc>
        <w:tc>
          <w:tcPr>
            <w:tcW w:type="dxa" w:w="1077"/>
            <w:shd w:val="clear" w:fill="F8F9FA"/>
          </w:tcPr>
          <w:p>
            <w:r/>
            <w:r>
              <w:rPr>
                <w:rFonts w:ascii="Calibri" w:hAnsi="Calibri" w:eastAsia="Calibri"/>
                <w:b w:val="0"/>
                <w:i w:val="0"/>
                <w:color w:val="000000"/>
                <w:sz w:val="18"/>
              </w:rPr>
              <w:t>R</w:t>
            </w:r>
          </w:p>
        </w:tc>
        <w:tc>
          <w:tcPr>
            <w:tcW w:type="dxa" w:w="737"/>
            <w:shd w:val="clear" w:fill="F8F9FA"/>
          </w:tcPr>
          <w:p>
            <w:r/>
            <w:r>
              <w:rPr>
                <w:rFonts w:ascii="Calibri" w:hAnsi="Calibri" w:eastAsia="Calibri"/>
                <w:b w:val="0"/>
                <w:i w:val="0"/>
                <w:color w:val="000000"/>
                <w:sz w:val="18"/>
              </w:rPr>
              <w:t>C</w:t>
            </w:r>
          </w:p>
        </w:tc>
        <w:tc>
          <w:tcPr>
            <w:tcW w:type="dxa" w:w="1304"/>
            <w:shd w:val="clear" w:fill="F8F9FA"/>
          </w:tcPr>
          <w:p>
            <w:r/>
            <w:r>
              <w:rPr>
                <w:rFonts w:ascii="Calibri" w:hAnsi="Calibri" w:eastAsia="Calibri"/>
                <w:b w:val="0"/>
                <w:i w:val="0"/>
                <w:color w:val="000000"/>
                <w:sz w:val="18"/>
              </w:rPr>
              <w:t>R</w:t>
            </w:r>
          </w:p>
        </w:tc>
        <w:tc>
          <w:tcPr>
            <w:tcW w:type="dxa" w:w="1304"/>
            <w:shd w:val="clear" w:fill="F8F9FA"/>
          </w:tcPr>
          <w:p>
            <w:r/>
            <w:r>
              <w:rPr>
                <w:rFonts w:ascii="Calibri" w:hAnsi="Calibri" w:eastAsia="Calibri"/>
                <w:b w:val="0"/>
                <w:i w:val="0"/>
                <w:color w:val="000000"/>
                <w:sz w:val="18"/>
              </w:rPr>
              <w:t>I</w:t>
            </w:r>
          </w:p>
        </w:tc>
        <w:tc>
          <w:tcPr>
            <w:tcW w:type="dxa" w:w="907"/>
            <w:shd w:val="clear" w:fill="F8F9FA"/>
          </w:tcPr>
          <w:p>
            <w:r/>
            <w:r>
              <w:rPr>
                <w:rFonts w:ascii="Calibri" w:hAnsi="Calibri" w:eastAsia="Calibri"/>
                <w:b w:val="0"/>
                <w:i w:val="0"/>
                <w:color w:val="000000"/>
                <w:sz w:val="18"/>
              </w:rPr>
              <w:t>-</w:t>
            </w:r>
          </w:p>
        </w:tc>
      </w:tr>
      <w:tr>
        <w:tc>
          <w:tcPr>
            <w:tcW w:type="dxa" w:w="2438"/>
          </w:tcPr>
          <w:p>
            <w:r/>
            <w:r>
              <w:rPr>
                <w:rFonts w:ascii="Calibri" w:hAnsi="Calibri" w:eastAsia="Calibri"/>
                <w:b w:val="0"/>
                <w:i w:val="0"/>
                <w:color w:val="000000"/>
                <w:sz w:val="18"/>
              </w:rPr>
              <w:t>Transport naar land (4.6)</w:t>
            </w:r>
          </w:p>
        </w:tc>
        <w:tc>
          <w:tcPr>
            <w:tcW w:type="dxa" w:w="1077"/>
          </w:tcPr>
          <w:p>
            <w:r/>
            <w:r>
              <w:rPr>
                <w:rFonts w:ascii="Calibri" w:hAnsi="Calibri" w:eastAsia="Calibri"/>
                <w:b w:val="0"/>
                <w:i w:val="0"/>
                <w:color w:val="000000"/>
                <w:sz w:val="18"/>
              </w:rPr>
              <w:t>A</w:t>
            </w:r>
          </w:p>
        </w:tc>
        <w:tc>
          <w:tcPr>
            <w:tcW w:type="dxa" w:w="1077"/>
          </w:tcPr>
          <w:p>
            <w:r/>
            <w:r>
              <w:rPr>
                <w:rFonts w:ascii="Calibri" w:hAnsi="Calibri" w:eastAsia="Calibri"/>
                <w:b w:val="0"/>
                <w:i w:val="0"/>
                <w:color w:val="000000"/>
                <w:sz w:val="18"/>
              </w:rPr>
              <w:t>C</w:t>
            </w:r>
          </w:p>
        </w:tc>
        <w:tc>
          <w:tcPr>
            <w:tcW w:type="dxa" w:w="737"/>
          </w:tcPr>
          <w:p>
            <w:r/>
            <w:r>
              <w:rPr>
                <w:rFonts w:ascii="Calibri" w:hAnsi="Calibri" w:eastAsia="Calibri"/>
                <w:b w:val="0"/>
                <w:i w:val="0"/>
                <w:color w:val="000000"/>
                <w:sz w:val="18"/>
              </w:rPr>
              <w:t>C</w:t>
            </w:r>
          </w:p>
        </w:tc>
        <w:tc>
          <w:tcPr>
            <w:tcW w:type="dxa" w:w="1304"/>
          </w:tcPr>
          <w:p>
            <w:r/>
            <w:r>
              <w:rPr>
                <w:rFonts w:ascii="Calibri" w:hAnsi="Calibri" w:eastAsia="Calibri"/>
                <w:b w:val="0"/>
                <w:i w:val="0"/>
                <w:color w:val="000000"/>
                <w:sz w:val="18"/>
              </w:rPr>
              <w:t>R</w:t>
            </w:r>
          </w:p>
        </w:tc>
        <w:tc>
          <w:tcPr>
            <w:tcW w:type="dxa" w:w="1304"/>
          </w:tcPr>
          <w:p>
            <w:r/>
            <w:r>
              <w:rPr>
                <w:rFonts w:ascii="Calibri" w:hAnsi="Calibri" w:eastAsia="Calibri"/>
                <w:b w:val="0"/>
                <w:i w:val="0"/>
                <w:color w:val="000000"/>
                <w:sz w:val="18"/>
              </w:rPr>
              <w:t>R</w:t>
            </w:r>
          </w:p>
        </w:tc>
        <w:tc>
          <w:tcPr>
            <w:tcW w:type="dxa" w:w="907"/>
          </w:tcPr>
          <w:p>
            <w:r/>
            <w:r>
              <w:rPr>
                <w:rFonts w:ascii="Calibri" w:hAnsi="Calibri" w:eastAsia="Calibri"/>
                <w:b w:val="0"/>
                <w:i w:val="0"/>
                <w:color w:val="000000"/>
                <w:sz w:val="18"/>
              </w:rPr>
              <w:t>-</w:t>
            </w:r>
          </w:p>
        </w:tc>
      </w:tr>
      <w:tr>
        <w:tc>
          <w:tcPr>
            <w:tcW w:type="dxa" w:w="2438"/>
            <w:shd w:val="clear" w:fill="F8F9FA"/>
          </w:tcPr>
          <w:p>
            <w:r/>
            <w:r>
              <w:rPr>
                <w:rFonts w:ascii="Calibri" w:hAnsi="Calibri" w:eastAsia="Calibri"/>
                <w:b w:val="0"/>
                <w:i w:val="0"/>
                <w:color w:val="000000"/>
                <w:sz w:val="18"/>
              </w:rPr>
              <w:t>Afvoer en verwerking (4.7)</w:t>
            </w:r>
          </w:p>
        </w:tc>
        <w:tc>
          <w:tcPr>
            <w:tcW w:type="dxa" w:w="1077"/>
            <w:shd w:val="clear" w:fill="F8F9FA"/>
          </w:tcPr>
          <w:p>
            <w:r/>
            <w:r>
              <w:rPr>
                <w:rFonts w:ascii="Calibri" w:hAnsi="Calibri" w:eastAsia="Calibri"/>
                <w:b w:val="0"/>
                <w:i w:val="0"/>
                <w:color w:val="000000"/>
                <w:sz w:val="18"/>
              </w:rPr>
              <w:t>A</w:t>
            </w:r>
          </w:p>
        </w:tc>
        <w:tc>
          <w:tcPr>
            <w:tcW w:type="dxa" w:w="1077"/>
            <w:shd w:val="clear" w:fill="F8F9FA"/>
          </w:tcPr>
          <w:p>
            <w:r/>
            <w:r>
              <w:rPr>
                <w:rFonts w:ascii="Calibri" w:hAnsi="Calibri" w:eastAsia="Calibri"/>
                <w:b w:val="0"/>
                <w:i w:val="0"/>
                <w:color w:val="000000"/>
                <w:sz w:val="18"/>
              </w:rPr>
              <w:t>R</w:t>
            </w:r>
          </w:p>
        </w:tc>
        <w:tc>
          <w:tcPr>
            <w:tcW w:type="dxa" w:w="737"/>
            <w:shd w:val="clear" w:fill="F8F9FA"/>
          </w:tcPr>
          <w:p>
            <w:r/>
            <w:r>
              <w:rPr>
                <w:rFonts w:ascii="Calibri" w:hAnsi="Calibri" w:eastAsia="Calibri"/>
                <w:b w:val="0"/>
                <w:i w:val="0"/>
                <w:color w:val="000000"/>
                <w:sz w:val="18"/>
              </w:rPr>
              <w:t>I</w:t>
            </w:r>
          </w:p>
        </w:tc>
        <w:tc>
          <w:tcPr>
            <w:tcW w:type="dxa" w:w="1304"/>
            <w:shd w:val="clear" w:fill="F8F9FA"/>
          </w:tcPr>
          <w:p>
            <w:r/>
            <w:r>
              <w:rPr>
                <w:rFonts w:ascii="Calibri" w:hAnsi="Calibri" w:eastAsia="Calibri"/>
                <w:b w:val="0"/>
                <w:i w:val="0"/>
                <w:color w:val="000000"/>
                <w:sz w:val="18"/>
              </w:rPr>
              <w:t>-</w:t>
            </w:r>
          </w:p>
        </w:tc>
        <w:tc>
          <w:tcPr>
            <w:tcW w:type="dxa" w:w="1304"/>
            <w:shd w:val="clear" w:fill="F8F9FA"/>
          </w:tcPr>
          <w:p>
            <w:r/>
            <w:r>
              <w:rPr>
                <w:rFonts w:ascii="Calibri" w:hAnsi="Calibri" w:eastAsia="Calibri"/>
                <w:b w:val="0"/>
                <w:i w:val="0"/>
                <w:color w:val="000000"/>
                <w:sz w:val="18"/>
              </w:rPr>
              <w:t>R</w:t>
            </w:r>
          </w:p>
        </w:tc>
        <w:tc>
          <w:tcPr>
            <w:tcW w:type="dxa" w:w="907"/>
            <w:shd w:val="clear" w:fill="F8F9FA"/>
          </w:tcPr>
          <w:p>
            <w:r/>
            <w:r>
              <w:rPr>
                <w:rFonts w:ascii="Calibri" w:hAnsi="Calibri" w:eastAsia="Calibri"/>
                <w:b w:val="0"/>
                <w:i w:val="0"/>
                <w:color w:val="000000"/>
                <w:sz w:val="18"/>
              </w:rPr>
              <w:t>R</w:t>
            </w:r>
          </w:p>
        </w:tc>
      </w:tr>
      <w:tr>
        <w:tc>
          <w:tcPr>
            <w:tcW w:type="dxa" w:w="2438"/>
          </w:tcPr>
          <w:p>
            <w:r/>
            <w:r>
              <w:rPr>
                <w:rFonts w:ascii="Calibri" w:hAnsi="Calibri" w:eastAsia="Calibri"/>
                <w:b w:val="0"/>
                <w:i w:val="0"/>
                <w:color w:val="000000"/>
                <w:sz w:val="18"/>
              </w:rPr>
              <w:t>Noodsituaties en EMVI (4.8/6)</w:t>
            </w:r>
          </w:p>
        </w:tc>
        <w:tc>
          <w:tcPr>
            <w:tcW w:type="dxa" w:w="1077"/>
          </w:tcPr>
          <w:p>
            <w:r/>
            <w:r>
              <w:rPr>
                <w:rFonts w:ascii="Calibri" w:hAnsi="Calibri" w:eastAsia="Calibri"/>
                <w:b w:val="0"/>
                <w:i w:val="0"/>
                <w:color w:val="000000"/>
                <w:sz w:val="18"/>
              </w:rPr>
              <w:t>C</w:t>
            </w:r>
          </w:p>
        </w:tc>
        <w:tc>
          <w:tcPr>
            <w:tcW w:type="dxa" w:w="1077"/>
          </w:tcPr>
          <w:p>
            <w:r/>
            <w:r>
              <w:rPr>
                <w:rFonts w:ascii="Calibri" w:hAnsi="Calibri" w:eastAsia="Calibri"/>
                <w:b w:val="0"/>
                <w:i w:val="0"/>
                <w:color w:val="000000"/>
                <w:sz w:val="18"/>
              </w:rPr>
              <w:t>R</w:t>
            </w:r>
          </w:p>
        </w:tc>
        <w:tc>
          <w:tcPr>
            <w:tcW w:type="dxa" w:w="737"/>
          </w:tcPr>
          <w:p>
            <w:r/>
            <w:r>
              <w:rPr>
                <w:rFonts w:ascii="Calibri" w:hAnsi="Calibri" w:eastAsia="Calibri"/>
                <w:b w:val="0"/>
                <w:i w:val="0"/>
                <w:color w:val="000000"/>
                <w:sz w:val="18"/>
              </w:rPr>
              <w:t>A</w:t>
            </w:r>
          </w:p>
        </w:tc>
        <w:tc>
          <w:tcPr>
            <w:tcW w:type="dxa" w:w="1304"/>
          </w:tcPr>
          <w:p>
            <w:r/>
            <w:r>
              <w:rPr>
                <w:rFonts w:ascii="Calibri" w:hAnsi="Calibri" w:eastAsia="Calibri"/>
                <w:b w:val="0"/>
                <w:i w:val="0"/>
                <w:color w:val="000000"/>
                <w:sz w:val="18"/>
              </w:rPr>
              <w:t>R</w:t>
            </w:r>
          </w:p>
        </w:tc>
        <w:tc>
          <w:tcPr>
            <w:tcW w:type="dxa" w:w="1304"/>
          </w:tcPr>
          <w:p>
            <w:r/>
            <w:r>
              <w:rPr>
                <w:rFonts w:ascii="Calibri" w:hAnsi="Calibri" w:eastAsia="Calibri"/>
                <w:b w:val="0"/>
                <w:i w:val="0"/>
                <w:color w:val="000000"/>
                <w:sz w:val="18"/>
              </w:rPr>
              <w:t>I</w:t>
            </w:r>
          </w:p>
        </w:tc>
        <w:tc>
          <w:tcPr>
            <w:tcW w:type="dxa" w:w="907"/>
          </w:tcPr>
          <w:p>
            <w:r/>
            <w:r>
              <w:rPr>
                <w:rFonts w:ascii="Calibri" w:hAnsi="Calibri" w:eastAsia="Calibri"/>
                <w:b w:val="0"/>
                <w:i w:val="0"/>
                <w:color w:val="000000"/>
                <w:sz w:val="18"/>
              </w:rPr>
              <w:t>-</w:t>
            </w:r>
          </w:p>
        </w:tc>
      </w:tr>
      <w:tr>
        <w:tc>
          <w:tcPr>
            <w:tcW w:type="dxa" w:w="2438"/>
            <w:shd w:val="clear" w:fill="F8F9FA"/>
          </w:tcPr>
          <w:p>
            <w:r/>
            <w:r>
              <w:rPr>
                <w:rFonts w:ascii="Calibri" w:hAnsi="Calibri" w:eastAsia="Calibri"/>
                <w:b w:val="0"/>
                <w:i w:val="0"/>
                <w:color w:val="000000"/>
                <w:sz w:val="18"/>
              </w:rPr>
              <w:t>Registratie en rapportage (7)</w:t>
            </w:r>
          </w:p>
        </w:tc>
        <w:tc>
          <w:tcPr>
            <w:tcW w:type="dxa" w:w="1077"/>
            <w:shd w:val="clear" w:fill="F8F9FA"/>
          </w:tcPr>
          <w:p>
            <w:r/>
            <w:r>
              <w:rPr>
                <w:rFonts w:ascii="Calibri" w:hAnsi="Calibri" w:eastAsia="Calibri"/>
                <w:b w:val="0"/>
                <w:i w:val="0"/>
                <w:color w:val="000000"/>
                <w:sz w:val="18"/>
              </w:rPr>
              <w:t>A</w:t>
            </w:r>
          </w:p>
        </w:tc>
        <w:tc>
          <w:tcPr>
            <w:tcW w:type="dxa" w:w="1077"/>
            <w:shd w:val="clear" w:fill="F8F9FA"/>
          </w:tcPr>
          <w:p>
            <w:r/>
            <w:r>
              <w:rPr>
                <w:rFonts w:ascii="Calibri" w:hAnsi="Calibri" w:eastAsia="Calibri"/>
                <w:b w:val="0"/>
                <w:i w:val="0"/>
                <w:color w:val="000000"/>
                <w:sz w:val="18"/>
              </w:rPr>
              <w:t>R</w:t>
            </w:r>
          </w:p>
        </w:tc>
        <w:tc>
          <w:tcPr>
            <w:tcW w:type="dxa" w:w="737"/>
            <w:shd w:val="clear" w:fill="F8F9FA"/>
          </w:tcPr>
          <w:p>
            <w:r/>
            <w:r>
              <w:rPr>
                <w:rFonts w:ascii="Calibri" w:hAnsi="Calibri" w:eastAsia="Calibri"/>
                <w:b w:val="0"/>
                <w:i w:val="0"/>
                <w:color w:val="000000"/>
                <w:sz w:val="18"/>
              </w:rPr>
              <w:t>I</w:t>
            </w:r>
          </w:p>
        </w:tc>
        <w:tc>
          <w:tcPr>
            <w:tcW w:type="dxa" w:w="1304"/>
            <w:shd w:val="clear" w:fill="F8F9FA"/>
          </w:tcPr>
          <w:p>
            <w:r/>
            <w:r>
              <w:rPr>
                <w:rFonts w:ascii="Calibri" w:hAnsi="Calibri" w:eastAsia="Calibri"/>
                <w:b w:val="0"/>
                <w:i w:val="0"/>
                <w:color w:val="000000"/>
                <w:sz w:val="18"/>
              </w:rPr>
              <w:t>C</w:t>
            </w:r>
          </w:p>
        </w:tc>
        <w:tc>
          <w:tcPr>
            <w:tcW w:type="dxa" w:w="1304"/>
            <w:shd w:val="clear" w:fill="F8F9FA"/>
          </w:tcPr>
          <w:p>
            <w:r/>
            <w:r>
              <w:rPr>
                <w:rFonts w:ascii="Calibri" w:hAnsi="Calibri" w:eastAsia="Calibri"/>
                <w:b w:val="0"/>
                <w:i w:val="0"/>
                <w:color w:val="000000"/>
                <w:sz w:val="18"/>
              </w:rPr>
              <w:t>C</w:t>
            </w:r>
          </w:p>
        </w:tc>
        <w:tc>
          <w:tcPr>
            <w:tcW w:type="dxa" w:w="907"/>
            <w:shd w:val="clear" w:fill="F8F9FA"/>
          </w:tcPr>
          <w:p>
            <w:r/>
            <w:r>
              <w:rPr>
                <w:rFonts w:ascii="Calibri" w:hAnsi="Calibri" w:eastAsia="Calibri"/>
                <w:b w:val="0"/>
                <w:i w:val="0"/>
                <w:color w:val="000000"/>
                <w:sz w:val="18"/>
              </w:rPr>
              <w:t>C</w:t>
            </w:r>
          </w:p>
        </w:tc>
      </w:tr>
    </w:tbl>
    <w:p>
      <w:pPr>
        <w:spacing w:after="40"/>
      </w:pPr>
    </w:p>
    <w:p>
      <w:pPr>
        <w:spacing w:after="160" w:before="0"/>
        <w:jc w:val="both"/>
      </w:pPr>
      <w:r>
        <w:rPr>
          <w:rFonts w:ascii="Calibri" w:hAnsi="Calibri" w:eastAsia="Calibri"/>
          <w:b w:val="0"/>
          <w:i w:val="0"/>
          <w:color w:val="000000"/>
          <w:sz w:val="22"/>
        </w:rPr>
        <w:t>De opdrachtgever (Wintershall) blijft op de hoogte via de rapportages uit hoofdstuk 7 en heeft inspanningsverplichtingen uit hoofdstuk 4 van de Arbowesluit voor wat betreft samenwerking en coördinatie op het platform [1].</w:t>
      </w:r>
    </w:p>
    <w:p>
      <w:r>
        <w:br w:type="page"/>
      </w:r>
    </w:p>
    <w:p>
      <w:pPr>
        <w:pStyle w:val="Heading1"/>
        <w:keepNext/>
        <w:spacing w:before="280" w:after="160"/>
        <w:pBdr>
          <w:bottom w:val="single" w:sz="12" w:space="2" w:color="003366"/>
        </w:pBdr>
      </w:pPr>
      <w:r>
        <w:rPr>
          <w:rFonts w:ascii="Calibri" w:hAnsi="Calibri" w:eastAsia="Calibri"/>
          <w:b/>
          <w:i w:val="0"/>
          <w:color w:val="003366"/>
          <w:sz w:val="32"/>
        </w:rPr>
        <w:t>6. Risico's &amp; Mitigatie</w:t>
      </w:r>
    </w:p>
    <w:p>
      <w:pPr>
        <w:spacing w:after="160" w:before="0"/>
        <w:jc w:val="both"/>
      </w:pPr>
      <w:r>
        <w:rPr>
          <w:rFonts w:ascii="Calibri" w:hAnsi="Calibri" w:eastAsia="Calibri"/>
          <w:b w:val="0"/>
          <w:i w:val="0"/>
          <w:color w:val="000000"/>
          <w:sz w:val="22"/>
        </w:rPr>
        <w:t>De risico's in deze procedure volgen uit de RI&amp;E voor kwik bij offshore decommissioning en uit de auditbevindingen over historische contaminatie, small piece removal en offshore logistiek [audit §2.3]. Blootstellingsroutes zijn inhalatie van kwikdamp, huidcontact en inslikken [audit §3.1]. Het risicoregister wordt vóór elke nieuwe fase herijkt op basis van de actuele survey- en meetgegevens; nieuwe risico's worden toegevoegd en afgehandelde risico's worden voorzien van een status. De mitigatie per risico is teruggekoppeld op de desbetreffende procedureparagraaf, zodat uitvoering en beheersmaatregel één geheel vormen.</w:t>
      </w:r>
    </w:p>
    <w:p>
      <w:pPr>
        <w:spacing w:after="160" w:before="0"/>
        <w:jc w:val="left"/>
      </w:pPr>
      <w:r>
        <w:rPr>
          <w:rFonts w:ascii="Calibri" w:hAnsi="Calibri" w:eastAsia="Calibri"/>
          <w:b w:val="0"/>
          <w:i/>
          <w:color w:val="1F2937"/>
          <w:sz w:val="18"/>
        </w:rPr>
        <w:t>Tabel 6.1 — Risicoregister kwikhandling (inclusief mitigatie)</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567"/>
            <w:shd w:val="clear" w:fill="003366"/>
          </w:tcPr>
          <w:p>
            <w:r/>
            <w:r>
              <w:rPr>
                <w:rFonts w:ascii="Calibri" w:hAnsi="Calibri" w:eastAsia="Calibri"/>
                <w:b/>
                <w:i w:val="0"/>
                <w:color w:val="FFFFFF"/>
                <w:sz w:val="18"/>
              </w:rPr>
              <w:t>#</w:t>
            </w:r>
          </w:p>
        </w:tc>
        <w:tc>
          <w:tcPr>
            <w:tcW w:type="dxa" w:w="2211"/>
            <w:shd w:val="clear" w:fill="003366"/>
          </w:tcPr>
          <w:p>
            <w:r/>
            <w:r>
              <w:rPr>
                <w:rFonts w:ascii="Calibri" w:hAnsi="Calibri" w:eastAsia="Calibri"/>
                <w:b/>
                <w:i w:val="0"/>
                <w:color w:val="FFFFFF"/>
                <w:sz w:val="18"/>
              </w:rPr>
              <w:t>Risico</w:t>
            </w:r>
          </w:p>
        </w:tc>
        <w:tc>
          <w:tcPr>
            <w:tcW w:type="dxa" w:w="1644"/>
            <w:shd w:val="clear" w:fill="003366"/>
          </w:tcPr>
          <w:p>
            <w:r/>
            <w:r>
              <w:rPr>
                <w:rFonts w:ascii="Calibri" w:hAnsi="Calibri" w:eastAsia="Calibri"/>
                <w:b/>
                <w:i w:val="0"/>
                <w:color w:val="FFFFFF"/>
                <w:sz w:val="18"/>
              </w:rPr>
              <w:t>Route/Trigger</w:t>
            </w:r>
          </w:p>
        </w:tc>
        <w:tc>
          <w:tcPr>
            <w:tcW w:type="dxa" w:w="3402"/>
            <w:shd w:val="clear" w:fill="003366"/>
          </w:tcPr>
          <w:p>
            <w:r/>
            <w:r>
              <w:rPr>
                <w:rFonts w:ascii="Calibri" w:hAnsi="Calibri" w:eastAsia="Calibri"/>
                <w:b/>
                <w:i w:val="0"/>
                <w:color w:val="FFFFFF"/>
                <w:sz w:val="18"/>
              </w:rPr>
              <w:t>Mitigatie</w:t>
            </w:r>
          </w:p>
        </w:tc>
        <w:tc>
          <w:tcPr>
            <w:tcW w:type="dxa" w:w="1134"/>
            <w:shd w:val="clear" w:fill="003366"/>
          </w:tcPr>
          <w:p>
            <w:r/>
            <w:r>
              <w:rPr>
                <w:rFonts w:ascii="Calibri" w:hAnsi="Calibri" w:eastAsia="Calibri"/>
                <w:b/>
                <w:i w:val="0"/>
                <w:color w:val="FFFFFF"/>
                <w:sz w:val="18"/>
              </w:rPr>
              <w:t>Ref.</w:t>
            </w:r>
          </w:p>
        </w:tc>
      </w:tr>
      <w:tr>
        <w:tc>
          <w:tcPr>
            <w:tcW w:type="dxa" w:w="567"/>
          </w:tcPr>
          <w:p>
            <w:r/>
            <w:r>
              <w:rPr>
                <w:rFonts w:ascii="Calibri" w:hAnsi="Calibri" w:eastAsia="Calibri"/>
                <w:b w:val="0"/>
                <w:i w:val="0"/>
                <w:color w:val="000000"/>
                <w:sz w:val="18"/>
              </w:rPr>
              <w:t>R1</w:t>
            </w:r>
          </w:p>
        </w:tc>
        <w:tc>
          <w:tcPr>
            <w:tcW w:type="dxa" w:w="2211"/>
          </w:tcPr>
          <w:p>
            <w:r/>
            <w:r>
              <w:rPr>
                <w:rFonts w:ascii="Calibri" w:hAnsi="Calibri" w:eastAsia="Calibri"/>
                <w:b w:val="0"/>
                <w:i w:val="0"/>
                <w:color w:val="000000"/>
                <w:sz w:val="18"/>
              </w:rPr>
              <w:t>Inhalatie kwikdamp bij opening van besmette componenten</w:t>
            </w:r>
          </w:p>
        </w:tc>
        <w:tc>
          <w:tcPr>
            <w:tcW w:type="dxa" w:w="1644"/>
          </w:tcPr>
          <w:p>
            <w:r/>
            <w:r>
              <w:rPr>
                <w:rFonts w:ascii="Calibri" w:hAnsi="Calibri" w:eastAsia="Calibri"/>
                <w:b w:val="0"/>
                <w:i w:val="0"/>
                <w:color w:val="000000"/>
                <w:sz w:val="18"/>
              </w:rPr>
              <w:t>Inhalatie; verdamping bij omgevingstemperatuur</w:t>
            </w:r>
          </w:p>
        </w:tc>
        <w:tc>
          <w:tcPr>
            <w:tcW w:type="dxa" w:w="3402"/>
          </w:tcPr>
          <w:p>
            <w:r/>
            <w:r>
              <w:rPr>
                <w:rFonts w:ascii="Calibri" w:hAnsi="Calibri" w:eastAsia="Calibri"/>
                <w:b w:val="0"/>
                <w:i w:val="0"/>
                <w:color w:val="000000"/>
                <w:sz w:val="18"/>
              </w:rPr>
              <w:t>Adembescherming P3 (tabel 4.2), luchtmetingen, afgesloten containment, ventilatie</w:t>
            </w:r>
          </w:p>
        </w:tc>
        <w:tc>
          <w:tcPr>
            <w:tcW w:type="dxa" w:w="1134"/>
          </w:tcPr>
          <w:p>
            <w:r/>
            <w:r>
              <w:rPr>
                <w:rFonts w:ascii="Calibri" w:hAnsi="Calibri" w:eastAsia="Calibri"/>
                <w:b w:val="0"/>
                <w:i w:val="0"/>
                <w:color w:val="000000"/>
                <w:sz w:val="18"/>
              </w:rPr>
              <w:t>[2][7]</w:t>
            </w:r>
          </w:p>
        </w:tc>
      </w:tr>
      <w:tr>
        <w:tc>
          <w:tcPr>
            <w:tcW w:type="dxa" w:w="567"/>
            <w:shd w:val="clear" w:fill="F8F9FA"/>
          </w:tcPr>
          <w:p>
            <w:r/>
            <w:r>
              <w:rPr>
                <w:rFonts w:ascii="Calibri" w:hAnsi="Calibri" w:eastAsia="Calibri"/>
                <w:b w:val="0"/>
                <w:i w:val="0"/>
                <w:color w:val="000000"/>
                <w:sz w:val="18"/>
              </w:rPr>
              <w:t>R2</w:t>
            </w:r>
          </w:p>
        </w:tc>
        <w:tc>
          <w:tcPr>
            <w:tcW w:type="dxa" w:w="2211"/>
            <w:shd w:val="clear" w:fill="F8F9FA"/>
          </w:tcPr>
          <w:p>
            <w:r/>
            <w:r>
              <w:rPr>
                <w:rFonts w:ascii="Calibri" w:hAnsi="Calibri" w:eastAsia="Calibri"/>
                <w:b w:val="0"/>
                <w:i w:val="0"/>
                <w:color w:val="000000"/>
                <w:sz w:val="18"/>
              </w:rPr>
              <w:t>Historische kwikcontaminatie in manometers, kleppen en separators</w:t>
            </w:r>
          </w:p>
        </w:tc>
        <w:tc>
          <w:tcPr>
            <w:tcW w:type="dxa" w:w="1644"/>
            <w:shd w:val="clear" w:fill="F8F9FA"/>
          </w:tcPr>
          <w:p>
            <w:r/>
            <w:r>
              <w:rPr>
                <w:rFonts w:ascii="Calibri" w:hAnsi="Calibri" w:eastAsia="Calibri"/>
                <w:b w:val="0"/>
                <w:i w:val="0"/>
                <w:color w:val="000000"/>
                <w:sz w:val="18"/>
              </w:rPr>
              <w:t>Inhalatie/huidcontact</w:t>
            </w:r>
          </w:p>
        </w:tc>
        <w:tc>
          <w:tcPr>
            <w:tcW w:type="dxa" w:w="3402"/>
            <w:shd w:val="clear" w:fill="F8F9FA"/>
          </w:tcPr>
          <w:p>
            <w:r/>
            <w:r>
              <w:rPr>
                <w:rFonts w:ascii="Calibri" w:hAnsi="Calibri" w:eastAsia="Calibri"/>
                <w:b w:val="0"/>
                <w:i w:val="0"/>
                <w:color w:val="000000"/>
                <w:sz w:val="18"/>
              </w:rPr>
              <w:t>Pre-removal survey met XRF en laboratoriumanalyse (4.2), componenten als verdacht behandelen</w:t>
            </w:r>
          </w:p>
        </w:tc>
        <w:tc>
          <w:tcPr>
            <w:tcW w:type="dxa" w:w="1134"/>
            <w:shd w:val="clear" w:fill="F8F9FA"/>
          </w:tcPr>
          <w:p>
            <w:r/>
            <w:r>
              <w:rPr>
                <w:rFonts w:ascii="Calibri" w:hAnsi="Calibri" w:eastAsia="Calibri"/>
                <w:b w:val="0"/>
                <w:i w:val="0"/>
                <w:color w:val="000000"/>
                <w:sz w:val="18"/>
              </w:rPr>
              <w:t>[audit §2.3]</w:t>
            </w:r>
          </w:p>
        </w:tc>
      </w:tr>
      <w:tr>
        <w:tc>
          <w:tcPr>
            <w:tcW w:type="dxa" w:w="567"/>
          </w:tcPr>
          <w:p>
            <w:r/>
            <w:r>
              <w:rPr>
                <w:rFonts w:ascii="Calibri" w:hAnsi="Calibri" w:eastAsia="Calibri"/>
                <w:b w:val="0"/>
                <w:i w:val="0"/>
                <w:color w:val="000000"/>
                <w:sz w:val="18"/>
              </w:rPr>
              <w:t>R3</w:t>
            </w:r>
          </w:p>
        </w:tc>
        <w:tc>
          <w:tcPr>
            <w:tcW w:type="dxa" w:w="2211"/>
          </w:tcPr>
          <w:p>
            <w:r/>
            <w:r>
              <w:rPr>
                <w:rFonts w:ascii="Calibri" w:hAnsi="Calibri" w:eastAsia="Calibri"/>
                <w:b w:val="0"/>
                <w:i w:val="0"/>
                <w:color w:val="000000"/>
                <w:sz w:val="18"/>
              </w:rPr>
              <w:t>Huidcontact bij hanteren van besmet materiaal</w:t>
            </w:r>
          </w:p>
        </w:tc>
        <w:tc>
          <w:tcPr>
            <w:tcW w:type="dxa" w:w="1644"/>
          </w:tcPr>
          <w:p>
            <w:r/>
            <w:r>
              <w:rPr>
                <w:rFonts w:ascii="Calibri" w:hAnsi="Calibri" w:eastAsia="Calibri"/>
                <w:b w:val="0"/>
                <w:i w:val="0"/>
                <w:color w:val="000000"/>
                <w:sz w:val="18"/>
              </w:rPr>
              <w:t>Huid</w:t>
            </w:r>
          </w:p>
        </w:tc>
        <w:tc>
          <w:tcPr>
            <w:tcW w:type="dxa" w:w="3402"/>
          </w:tcPr>
          <w:p>
            <w:r/>
            <w:r>
              <w:rPr>
                <w:rFonts w:ascii="Calibri" w:hAnsi="Calibri" w:eastAsia="Calibri"/>
                <w:b w:val="0"/>
                <w:i w:val="0"/>
                <w:color w:val="000000"/>
                <w:sz w:val="18"/>
              </w:rPr>
              <w:t>Nitrilhandschoenen, disposable coverall, decontaminatie na elke sessie</w:t>
            </w:r>
          </w:p>
        </w:tc>
        <w:tc>
          <w:tcPr>
            <w:tcW w:type="dxa" w:w="1134"/>
          </w:tcPr>
          <w:p>
            <w:r/>
            <w:r>
              <w:rPr>
                <w:rFonts w:ascii="Calibri" w:hAnsi="Calibri" w:eastAsia="Calibri"/>
                <w:b w:val="0"/>
                <w:i w:val="0"/>
                <w:color w:val="000000"/>
                <w:sz w:val="18"/>
              </w:rPr>
              <w:t>[2][9]</w:t>
            </w:r>
          </w:p>
        </w:tc>
      </w:tr>
      <w:tr>
        <w:tc>
          <w:tcPr>
            <w:tcW w:type="dxa" w:w="567"/>
            <w:shd w:val="clear" w:fill="F8F9FA"/>
          </w:tcPr>
          <w:p>
            <w:r/>
            <w:r>
              <w:rPr>
                <w:rFonts w:ascii="Calibri" w:hAnsi="Calibri" w:eastAsia="Calibri"/>
                <w:b w:val="0"/>
                <w:i w:val="0"/>
                <w:color w:val="000000"/>
                <w:sz w:val="18"/>
              </w:rPr>
              <w:t>R4</w:t>
            </w:r>
          </w:p>
        </w:tc>
        <w:tc>
          <w:tcPr>
            <w:tcW w:type="dxa" w:w="2211"/>
            <w:shd w:val="clear" w:fill="F8F9FA"/>
          </w:tcPr>
          <w:p>
            <w:r/>
            <w:r>
              <w:rPr>
                <w:rFonts w:ascii="Calibri" w:hAnsi="Calibri" w:eastAsia="Calibri"/>
                <w:b w:val="0"/>
                <w:i w:val="0"/>
                <w:color w:val="000000"/>
                <w:sz w:val="18"/>
              </w:rPr>
              <w:t>Inslikken via besmette handen of PBM</w:t>
            </w:r>
          </w:p>
        </w:tc>
        <w:tc>
          <w:tcPr>
            <w:tcW w:type="dxa" w:w="1644"/>
            <w:shd w:val="clear" w:fill="F8F9FA"/>
          </w:tcPr>
          <w:p>
            <w:r/>
            <w:r>
              <w:rPr>
                <w:rFonts w:ascii="Calibri" w:hAnsi="Calibri" w:eastAsia="Calibri"/>
                <w:b w:val="0"/>
                <w:i w:val="0"/>
                <w:color w:val="000000"/>
                <w:sz w:val="18"/>
              </w:rPr>
              <w:t>Inslikken</w:t>
            </w:r>
          </w:p>
        </w:tc>
        <w:tc>
          <w:tcPr>
            <w:tcW w:type="dxa" w:w="3402"/>
            <w:shd w:val="clear" w:fill="F8F9FA"/>
          </w:tcPr>
          <w:p>
            <w:r/>
            <w:r>
              <w:rPr>
                <w:rFonts w:ascii="Calibri" w:hAnsi="Calibri" w:eastAsia="Calibri"/>
                <w:b w:val="0"/>
                <w:i w:val="0"/>
                <w:color w:val="000000"/>
                <w:sz w:val="18"/>
              </w:rPr>
              <w:t>Eten/drinken/roken verboden in werkzone, hygiëneregels, PBM-afvoer</w:t>
            </w:r>
          </w:p>
        </w:tc>
        <w:tc>
          <w:tcPr>
            <w:tcW w:type="dxa" w:w="1134"/>
            <w:shd w:val="clear" w:fill="F8F9FA"/>
          </w:tcPr>
          <w:p>
            <w:r/>
            <w:r>
              <w:rPr>
                <w:rFonts w:ascii="Calibri" w:hAnsi="Calibri" w:eastAsia="Calibri"/>
                <w:b w:val="0"/>
                <w:i w:val="0"/>
                <w:color w:val="000000"/>
                <w:sz w:val="18"/>
              </w:rPr>
              <w:t>[2]</w:t>
            </w:r>
          </w:p>
        </w:tc>
      </w:tr>
      <w:tr>
        <w:tc>
          <w:tcPr>
            <w:tcW w:type="dxa" w:w="567"/>
          </w:tcPr>
          <w:p>
            <w:r/>
            <w:r>
              <w:rPr>
                <w:rFonts w:ascii="Calibri" w:hAnsi="Calibri" w:eastAsia="Calibri"/>
                <w:b w:val="0"/>
                <w:i w:val="0"/>
                <w:color w:val="000000"/>
                <w:sz w:val="18"/>
              </w:rPr>
              <w:t>R5</w:t>
            </w:r>
          </w:p>
        </w:tc>
        <w:tc>
          <w:tcPr>
            <w:tcW w:type="dxa" w:w="2211"/>
          </w:tcPr>
          <w:p>
            <w:r/>
            <w:r>
              <w:rPr>
                <w:rFonts w:ascii="Calibri" w:hAnsi="Calibri" w:eastAsia="Calibri"/>
                <w:b w:val="0"/>
                <w:i w:val="0"/>
                <w:color w:val="000000"/>
                <w:sz w:val="18"/>
              </w:rPr>
              <w:t>Reproductieve schade (H360D) bij zwangerschap</w:t>
            </w:r>
          </w:p>
        </w:tc>
        <w:tc>
          <w:tcPr>
            <w:tcW w:type="dxa" w:w="1644"/>
          </w:tcPr>
          <w:p>
            <w:r/>
            <w:r>
              <w:rPr>
                <w:rFonts w:ascii="Calibri" w:hAnsi="Calibri" w:eastAsia="Calibri"/>
                <w:b w:val="0"/>
                <w:i w:val="0"/>
                <w:color w:val="000000"/>
                <w:sz w:val="18"/>
              </w:rPr>
              <w:t>Inhalatie</w:t>
            </w:r>
          </w:p>
        </w:tc>
        <w:tc>
          <w:tcPr>
            <w:tcW w:type="dxa" w:w="3402"/>
          </w:tcPr>
          <w:p>
            <w:r/>
            <w:r>
              <w:rPr>
                <w:rFonts w:ascii="Calibri" w:hAnsi="Calibri" w:eastAsia="Calibri"/>
                <w:b w:val="0"/>
                <w:i w:val="0"/>
                <w:color w:val="000000"/>
                <w:sz w:val="18"/>
              </w:rPr>
              <w:t>Medische surveillance, blootstellingsregistratie, taakontzegging bij zwangerschap of kinderwens</w:t>
            </w:r>
          </w:p>
        </w:tc>
        <w:tc>
          <w:tcPr>
            <w:tcW w:type="dxa" w:w="1134"/>
          </w:tcPr>
          <w:p>
            <w:r/>
            <w:r>
              <w:rPr>
                <w:rFonts w:ascii="Calibri" w:hAnsi="Calibri" w:eastAsia="Calibri"/>
                <w:b w:val="0"/>
                <w:i w:val="0"/>
                <w:color w:val="000000"/>
                <w:sz w:val="18"/>
              </w:rPr>
              <w:t>[2][7]</w:t>
            </w:r>
          </w:p>
        </w:tc>
      </w:tr>
      <w:tr>
        <w:tc>
          <w:tcPr>
            <w:tcW w:type="dxa" w:w="567"/>
            <w:shd w:val="clear" w:fill="F8F9FA"/>
          </w:tcPr>
          <w:p>
            <w:r/>
            <w:r>
              <w:rPr>
                <w:rFonts w:ascii="Calibri" w:hAnsi="Calibri" w:eastAsia="Calibri"/>
                <w:b w:val="0"/>
                <w:i w:val="0"/>
                <w:color w:val="000000"/>
                <w:sz w:val="18"/>
              </w:rPr>
              <w:t>R6</w:t>
            </w:r>
          </w:p>
        </w:tc>
        <w:tc>
          <w:tcPr>
            <w:tcW w:type="dxa" w:w="2211"/>
            <w:shd w:val="clear" w:fill="F8F9FA"/>
          </w:tcPr>
          <w:p>
            <w:r/>
            <w:r>
              <w:rPr>
                <w:rFonts w:ascii="Calibri" w:hAnsi="Calibri" w:eastAsia="Calibri"/>
                <w:b w:val="0"/>
                <w:i w:val="0"/>
                <w:color w:val="000000"/>
                <w:sz w:val="18"/>
              </w:rPr>
              <w:t>Doelorgaanschade bij herhaalde blootstelling (H372)</w:t>
            </w:r>
          </w:p>
        </w:tc>
        <w:tc>
          <w:tcPr>
            <w:tcW w:type="dxa" w:w="1644"/>
            <w:shd w:val="clear" w:fill="F8F9FA"/>
          </w:tcPr>
          <w:p>
            <w:r/>
            <w:r>
              <w:rPr>
                <w:rFonts w:ascii="Calibri" w:hAnsi="Calibri" w:eastAsia="Calibri"/>
                <w:b w:val="0"/>
                <w:i w:val="0"/>
                <w:color w:val="000000"/>
                <w:sz w:val="18"/>
              </w:rPr>
              <w:t>Inhalatie</w:t>
            </w:r>
          </w:p>
        </w:tc>
        <w:tc>
          <w:tcPr>
            <w:tcW w:type="dxa" w:w="3402"/>
            <w:shd w:val="clear" w:fill="F8F9FA"/>
          </w:tcPr>
          <w:p>
            <w:r/>
            <w:r>
              <w:rPr>
                <w:rFonts w:ascii="Calibri" w:hAnsi="Calibri" w:eastAsia="Calibri"/>
                <w:b w:val="0"/>
                <w:i w:val="0"/>
                <w:color w:val="000000"/>
                <w:sz w:val="18"/>
              </w:rPr>
              <w:t>Onderhoud grenswaarden TGG-8u 0,02 mg/m³ / geen afzonderlijke STEL (NL), periodieke metingen</w:t>
            </w:r>
          </w:p>
        </w:tc>
        <w:tc>
          <w:tcPr>
            <w:tcW w:type="dxa" w:w="1134"/>
            <w:shd w:val="clear" w:fill="F8F9FA"/>
          </w:tcPr>
          <w:p>
            <w:r/>
            <w:r>
              <w:rPr>
                <w:rFonts w:ascii="Calibri" w:hAnsi="Calibri" w:eastAsia="Calibri"/>
                <w:b w:val="0"/>
                <w:i w:val="0"/>
                <w:color w:val="000000"/>
                <w:sz w:val="18"/>
              </w:rPr>
              <w:t>[2][11]</w:t>
            </w:r>
          </w:p>
        </w:tc>
      </w:tr>
      <w:tr>
        <w:tc>
          <w:tcPr>
            <w:tcW w:type="dxa" w:w="567"/>
          </w:tcPr>
          <w:p>
            <w:r/>
            <w:r>
              <w:rPr>
                <w:rFonts w:ascii="Calibri" w:hAnsi="Calibri" w:eastAsia="Calibri"/>
                <w:b w:val="0"/>
                <w:i w:val="0"/>
                <w:color w:val="000000"/>
                <w:sz w:val="18"/>
              </w:rPr>
              <w:t>R7</w:t>
            </w:r>
          </w:p>
        </w:tc>
        <w:tc>
          <w:tcPr>
            <w:tcW w:type="dxa" w:w="2211"/>
          </w:tcPr>
          <w:p>
            <w:r/>
            <w:r>
              <w:rPr>
                <w:rFonts w:ascii="Calibri" w:hAnsi="Calibri" w:eastAsia="Calibri"/>
                <w:b w:val="0"/>
                <w:i w:val="0"/>
                <w:color w:val="000000"/>
                <w:sz w:val="18"/>
              </w:rPr>
              <w:t>Milieuschade bij lekkage naar zee (H410)</w:t>
            </w:r>
          </w:p>
        </w:tc>
        <w:tc>
          <w:tcPr>
            <w:tcW w:type="dxa" w:w="1644"/>
          </w:tcPr>
          <w:p>
            <w:r/>
            <w:r>
              <w:rPr>
                <w:rFonts w:ascii="Calibri" w:hAnsi="Calibri" w:eastAsia="Calibri"/>
                <w:b w:val="0"/>
                <w:i w:val="0"/>
                <w:color w:val="000000"/>
                <w:sz w:val="18"/>
              </w:rPr>
              <w:t>Emissie</w:t>
            </w:r>
          </w:p>
        </w:tc>
        <w:tc>
          <w:tcPr>
            <w:tcW w:type="dxa" w:w="3402"/>
          </w:tcPr>
          <w:p>
            <w:r/>
            <w:r>
              <w:rPr>
                <w:rFonts w:ascii="Calibri" w:hAnsi="Calibri" w:eastAsia="Calibri"/>
                <w:b w:val="0"/>
                <w:i w:val="0"/>
                <w:color w:val="000000"/>
                <w:sz w:val="18"/>
              </w:rPr>
              <w:t>Degasvormige opslagunits, lekbakken, weersgebonden transferbeslissingen</w:t>
            </w:r>
          </w:p>
        </w:tc>
        <w:tc>
          <w:tcPr>
            <w:tcW w:type="dxa" w:w="1134"/>
          </w:tcPr>
          <w:p>
            <w:r/>
            <w:r>
              <w:rPr>
                <w:rFonts w:ascii="Calibri" w:hAnsi="Calibri" w:eastAsia="Calibri"/>
                <w:b w:val="0"/>
                <w:i w:val="0"/>
                <w:color w:val="000000"/>
                <w:sz w:val="18"/>
              </w:rPr>
              <w:t>[3][7]</w:t>
            </w:r>
          </w:p>
        </w:tc>
      </w:tr>
      <w:tr>
        <w:tc>
          <w:tcPr>
            <w:tcW w:type="dxa" w:w="567"/>
            <w:shd w:val="clear" w:fill="F8F9FA"/>
          </w:tcPr>
          <w:p>
            <w:r/>
            <w:r>
              <w:rPr>
                <w:rFonts w:ascii="Calibri" w:hAnsi="Calibri" w:eastAsia="Calibri"/>
                <w:b w:val="0"/>
                <w:i w:val="0"/>
                <w:color w:val="000000"/>
                <w:sz w:val="18"/>
              </w:rPr>
              <w:t>R8</w:t>
            </w:r>
          </w:p>
        </w:tc>
        <w:tc>
          <w:tcPr>
            <w:tcW w:type="dxa" w:w="2211"/>
            <w:shd w:val="clear" w:fill="F8F9FA"/>
          </w:tcPr>
          <w:p>
            <w:r/>
            <w:r>
              <w:rPr>
                <w:rFonts w:ascii="Calibri" w:hAnsi="Calibri" w:eastAsia="Calibri"/>
                <w:b w:val="0"/>
                <w:i w:val="0"/>
                <w:color w:val="000000"/>
                <w:sz w:val="18"/>
              </w:rPr>
              <w:t>Lekkage tijdens scheeps- of wegtransport</w:t>
            </w:r>
          </w:p>
        </w:tc>
        <w:tc>
          <w:tcPr>
            <w:tcW w:type="dxa" w:w="1644"/>
            <w:shd w:val="clear" w:fill="F8F9FA"/>
          </w:tcPr>
          <w:p>
            <w:r/>
            <w:r>
              <w:rPr>
                <w:rFonts w:ascii="Calibri" w:hAnsi="Calibri" w:eastAsia="Calibri"/>
                <w:b w:val="0"/>
                <w:i w:val="0"/>
                <w:color w:val="000000"/>
                <w:sz w:val="18"/>
              </w:rPr>
              <w:t>Emissie/huid</w:t>
            </w:r>
          </w:p>
        </w:tc>
        <w:tc>
          <w:tcPr>
            <w:tcW w:type="dxa" w:w="3402"/>
            <w:shd w:val="clear" w:fill="F8F9FA"/>
          </w:tcPr>
          <w:p>
            <w:r/>
            <w:r>
              <w:rPr>
                <w:rFonts w:ascii="Calibri" w:hAnsi="Calibri" w:eastAsia="Calibri"/>
                <w:b w:val="0"/>
                <w:i w:val="0"/>
                <w:color w:val="000000"/>
                <w:sz w:val="18"/>
              </w:rPr>
              <w:t>ADR-classificatie, beveiliging lading, erkende vervoerder, inspectie vóór/na transfer</w:t>
            </w:r>
          </w:p>
        </w:tc>
        <w:tc>
          <w:tcPr>
            <w:tcW w:type="dxa" w:w="1134"/>
            <w:shd w:val="clear" w:fill="F8F9FA"/>
          </w:tcPr>
          <w:p>
            <w:r/>
            <w:r>
              <w:rPr>
                <w:rFonts w:ascii="Calibri" w:hAnsi="Calibri" w:eastAsia="Calibri"/>
                <w:b w:val="0"/>
                <w:i w:val="0"/>
                <w:color w:val="000000"/>
                <w:sz w:val="18"/>
              </w:rPr>
              <w:t>[2][3][5]</w:t>
            </w:r>
          </w:p>
        </w:tc>
      </w:tr>
      <w:tr>
        <w:tc>
          <w:tcPr>
            <w:tcW w:type="dxa" w:w="567"/>
          </w:tcPr>
          <w:p>
            <w:r/>
            <w:r>
              <w:rPr>
                <w:rFonts w:ascii="Calibri" w:hAnsi="Calibri" w:eastAsia="Calibri"/>
                <w:b w:val="0"/>
                <w:i w:val="0"/>
                <w:color w:val="000000"/>
                <w:sz w:val="18"/>
              </w:rPr>
              <w:t>R9</w:t>
            </w:r>
          </w:p>
        </w:tc>
        <w:tc>
          <w:tcPr>
            <w:tcW w:type="dxa" w:w="2211"/>
          </w:tcPr>
          <w:p>
            <w:r/>
            <w:r>
              <w:rPr>
                <w:rFonts w:ascii="Calibri" w:hAnsi="Calibri" w:eastAsia="Calibri"/>
                <w:b w:val="0"/>
                <w:i w:val="0"/>
                <w:color w:val="000000"/>
                <w:sz w:val="18"/>
              </w:rPr>
              <w:t>Beperkte ruimte en zeegang bij opslag en transfer</w:t>
            </w:r>
          </w:p>
        </w:tc>
        <w:tc>
          <w:tcPr>
            <w:tcW w:type="dxa" w:w="1644"/>
          </w:tcPr>
          <w:p>
            <w:r/>
            <w:r>
              <w:rPr>
                <w:rFonts w:ascii="Calibri" w:hAnsi="Calibri" w:eastAsia="Calibri"/>
                <w:b w:val="0"/>
                <w:i w:val="0"/>
                <w:color w:val="000000"/>
                <w:sz w:val="18"/>
              </w:rPr>
              <w:t>Fysiek/Emissie</w:t>
            </w:r>
          </w:p>
        </w:tc>
        <w:tc>
          <w:tcPr>
            <w:tcW w:type="dxa" w:w="3402"/>
          </w:tcPr>
          <w:p>
            <w:r/>
            <w:r>
              <w:rPr>
                <w:rFonts w:ascii="Calibri" w:hAnsi="Calibri" w:eastAsia="Calibri"/>
                <w:b w:val="0"/>
                <w:i w:val="0"/>
                <w:color w:val="000000"/>
                <w:sz w:val="18"/>
              </w:rPr>
              <w:t>Locatiekeuze buiten doorgangsroutes, extra inspectie bij slecht weer, maximale batchbeperking</w:t>
            </w:r>
          </w:p>
        </w:tc>
        <w:tc>
          <w:tcPr>
            <w:tcW w:type="dxa" w:w="1134"/>
          </w:tcPr>
          <w:p>
            <w:r/>
            <w:r>
              <w:rPr>
                <w:rFonts w:ascii="Calibri" w:hAnsi="Calibri" w:eastAsia="Calibri"/>
                <w:b w:val="0"/>
                <w:i w:val="0"/>
                <w:color w:val="000000"/>
                <w:sz w:val="18"/>
              </w:rPr>
              <w:t>[audit §2.3]</w:t>
            </w:r>
          </w:p>
        </w:tc>
      </w:tr>
      <w:tr>
        <w:tc>
          <w:tcPr>
            <w:tcW w:type="dxa" w:w="567"/>
            <w:shd w:val="clear" w:fill="F8F9FA"/>
          </w:tcPr>
          <w:p>
            <w:r/>
            <w:r>
              <w:rPr>
                <w:rFonts w:ascii="Calibri" w:hAnsi="Calibri" w:eastAsia="Calibri"/>
                <w:b w:val="0"/>
                <w:i w:val="0"/>
                <w:color w:val="000000"/>
                <w:sz w:val="18"/>
              </w:rPr>
              <w:t>R10</w:t>
            </w:r>
          </w:p>
        </w:tc>
        <w:tc>
          <w:tcPr>
            <w:tcW w:type="dxa" w:w="2211"/>
            <w:shd w:val="clear" w:fill="F8F9FA"/>
          </w:tcPr>
          <w:p>
            <w:r/>
            <w:r>
              <w:rPr>
                <w:rFonts w:ascii="Calibri" w:hAnsi="Calibri" w:eastAsia="Calibri"/>
                <w:b w:val="0"/>
                <w:i w:val="0"/>
                <w:color w:val="000000"/>
                <w:sz w:val="18"/>
              </w:rPr>
              <w:t>Overschrijding grenswaarde tijdens werkzaamheden</w:t>
            </w:r>
          </w:p>
        </w:tc>
        <w:tc>
          <w:tcPr>
            <w:tcW w:type="dxa" w:w="1644"/>
            <w:shd w:val="clear" w:fill="F8F9FA"/>
          </w:tcPr>
          <w:p>
            <w:r/>
            <w:r>
              <w:rPr>
                <w:rFonts w:ascii="Calibri" w:hAnsi="Calibri" w:eastAsia="Calibri"/>
                <w:b w:val="0"/>
                <w:i w:val="0"/>
                <w:color w:val="000000"/>
                <w:sz w:val="18"/>
              </w:rPr>
              <w:t>Inhalatie</w:t>
            </w:r>
          </w:p>
        </w:tc>
        <w:tc>
          <w:tcPr>
            <w:tcW w:type="dxa" w:w="3402"/>
            <w:shd w:val="clear" w:fill="F8F9FA"/>
          </w:tcPr>
          <w:p>
            <w:r/>
            <w:r>
              <w:rPr>
                <w:rFonts w:ascii="Calibri" w:hAnsi="Calibri" w:eastAsia="Calibri"/>
                <w:b w:val="0"/>
                <w:i w:val="0"/>
                <w:color w:val="000000"/>
                <w:sz w:val="18"/>
              </w:rPr>
              <w:t>Stopwerkbevoegdheid, stillegging, onderzoek conform artikel 4.10, herstart pas na herstel</w:t>
            </w:r>
          </w:p>
        </w:tc>
        <w:tc>
          <w:tcPr>
            <w:tcW w:type="dxa" w:w="1134"/>
            <w:shd w:val="clear" w:fill="F8F9FA"/>
          </w:tcPr>
          <w:p>
            <w:r/>
            <w:r>
              <w:rPr>
                <w:rFonts w:ascii="Calibri" w:hAnsi="Calibri" w:eastAsia="Calibri"/>
                <w:b w:val="0"/>
                <w:i w:val="0"/>
                <w:color w:val="000000"/>
                <w:sz w:val="18"/>
              </w:rPr>
              <w:t>[2]</w:t>
            </w:r>
          </w:p>
        </w:tc>
      </w:tr>
    </w:tbl>
    <w:p>
      <w:pPr>
        <w:spacing w:after="40"/>
      </w:pPr>
    </w:p>
    <w:p>
      <w:pPr>
        <w:pStyle w:val="Heading2"/>
        <w:keepNext/>
        <w:spacing w:before="200" w:after="160"/>
      </w:pPr>
      <w:r>
        <w:rPr>
          <w:rFonts w:ascii="Calibri" w:hAnsi="Calibri" w:eastAsia="Calibri"/>
          <w:b/>
          <w:i w:val="0"/>
          <w:color w:val="003366"/>
          <w:sz w:val="26"/>
        </w:rPr>
        <w:t>6.1 Incidentprocedure (EMVI)</w:t>
      </w:r>
    </w:p>
    <w:p>
      <w:pPr>
        <w:spacing w:after="80" w:before="0"/>
        <w:jc w:val="both"/>
      </w:pPr>
      <w:r>
        <w:rPr>
          <w:rFonts w:ascii="Calibri" w:hAnsi="Calibri" w:eastAsia="Calibri"/>
          <w:b w:val="0"/>
          <w:i w:val="0"/>
          <w:color w:val="000000"/>
          <w:sz w:val="22"/>
        </w:rPr>
        <w:t>Bij een lekkage of blootstellingsincident geldt de volgende volgorde:</w:t>
      </w:r>
    </w:p>
    <w:p>
      <w:pPr>
        <w:spacing w:after="120"/>
        <w:ind w:left="510" w:hanging="510"/>
      </w:pPr>
      <w:r>
        <w:rPr>
          <w:rFonts w:ascii="Calibri" w:hAnsi="Calibri" w:eastAsia="Calibri"/>
          <w:b/>
          <w:i w:val="0"/>
          <w:color w:val="003366"/>
          <w:sz w:val="22"/>
        </w:rPr>
        <w:t xml:space="preserve">Stap 1 — </w:t>
      </w:r>
      <w:r>
        <w:rPr>
          <w:rFonts w:ascii="Calibri" w:hAnsi="Calibri" w:eastAsia="Calibri"/>
          <w:b/>
          <w:i w:val="0"/>
          <w:color w:val="000000"/>
          <w:sz w:val="22"/>
        </w:rPr>
        <w:t xml:space="preserve">[Iedereen] </w:t>
      </w:r>
      <w:r>
        <w:rPr>
          <w:rFonts w:ascii="Calibri" w:hAnsi="Calibri" w:eastAsia="Calibri"/>
          <w:b w:val="0"/>
          <w:i w:val="0"/>
          <w:color w:val="000000"/>
          <w:sz w:val="22"/>
        </w:rPr>
        <w:t>Leg het werk onmiddellijk stil en verlaat de zone via de aangewezen route; alarmeer de OIM en de HSEQ Officer.</w:t>
      </w:r>
    </w:p>
    <w:p>
      <w:pPr>
        <w:spacing w:after="120"/>
        <w:ind w:left="510" w:hanging="510"/>
      </w:pPr>
      <w:r>
        <w:rPr>
          <w:rFonts w:ascii="Calibri" w:hAnsi="Calibri" w:eastAsia="Calibri"/>
          <w:b/>
          <w:i w:val="0"/>
          <w:color w:val="003366"/>
          <w:sz w:val="22"/>
        </w:rPr>
        <w:t xml:space="preserve">Stap 2 — </w:t>
      </w:r>
      <w:r>
        <w:rPr>
          <w:rFonts w:ascii="Calibri" w:hAnsi="Calibri" w:eastAsia="Calibri"/>
          <w:b/>
          <w:i w:val="0"/>
          <w:color w:val="000000"/>
          <w:sz w:val="22"/>
        </w:rPr>
        <w:t xml:space="preserve">[OIM] </w:t>
      </w:r>
      <w:r>
        <w:rPr>
          <w:rFonts w:ascii="Calibri" w:hAnsi="Calibri" w:eastAsia="Calibri"/>
          <w:b w:val="0"/>
          <w:i w:val="0"/>
          <w:color w:val="000000"/>
          <w:sz w:val="22"/>
        </w:rPr>
        <w:t>Activeer de EMVI-procedure conform Arbobesluit artikel 4.11 en sluit het lekgebied af [2].</w:t>
      </w:r>
    </w:p>
    <w:p>
      <w:pPr>
        <w:spacing w:after="120"/>
        <w:ind w:left="510" w:hanging="510"/>
      </w:pPr>
      <w:r>
        <w:rPr>
          <w:rFonts w:ascii="Calibri" w:hAnsi="Calibri" w:eastAsia="Calibri"/>
          <w:b/>
          <w:i w:val="0"/>
          <w:color w:val="003366"/>
          <w:sz w:val="22"/>
        </w:rPr>
        <w:t xml:space="preserve">Stap 3 — </w:t>
      </w:r>
      <w:r>
        <w:rPr>
          <w:rFonts w:ascii="Calibri" w:hAnsi="Calibri" w:eastAsia="Calibri"/>
          <w:b/>
          <w:i w:val="0"/>
          <w:color w:val="000000"/>
          <w:sz w:val="22"/>
        </w:rPr>
        <w:t xml:space="preserve">[HSEQ Officer] </w:t>
      </w:r>
      <w:r>
        <w:rPr>
          <w:rFonts w:ascii="Calibri" w:hAnsi="Calibri" w:eastAsia="Calibri"/>
          <w:b w:val="0"/>
          <w:i w:val="0"/>
          <w:color w:val="000000"/>
          <w:sz w:val="22"/>
        </w:rPr>
        <w:t>Laat het lekkende kwik uitsluitend door gekwalificeerd personeel met volledige PBM opnemen en in een gesloten containment plaatsen.</w:t>
      </w:r>
    </w:p>
    <w:p>
      <w:pPr>
        <w:spacing w:after="120"/>
        <w:ind w:left="510" w:hanging="510"/>
      </w:pPr>
      <w:r>
        <w:rPr>
          <w:rFonts w:ascii="Calibri" w:hAnsi="Calibri" w:eastAsia="Calibri"/>
          <w:b/>
          <w:i w:val="0"/>
          <w:color w:val="003366"/>
          <w:sz w:val="22"/>
        </w:rPr>
        <w:t xml:space="preserve">Stap 4 — </w:t>
      </w:r>
      <w:r>
        <w:rPr>
          <w:rFonts w:ascii="Calibri" w:hAnsi="Calibri" w:eastAsia="Calibri"/>
          <w:b/>
          <w:i w:val="0"/>
          <w:color w:val="000000"/>
          <w:sz w:val="22"/>
        </w:rPr>
        <w:t xml:space="preserve">[HSEQ Officer] </w:t>
      </w:r>
      <w:r>
        <w:rPr>
          <w:rFonts w:ascii="Calibri" w:hAnsi="Calibri" w:eastAsia="Calibri"/>
          <w:b w:val="0"/>
          <w:i w:val="0"/>
          <w:color w:val="000000"/>
          <w:sz w:val="22"/>
        </w:rPr>
        <w:t>Zorg voor decontaminatie van betrokkenen en organiseer medische beoordeling via de bedrijfsarts; spoel bij huidcontact de huid met water en verwijder besmette kleding [10].</w:t>
      </w:r>
    </w:p>
    <w:p>
      <w:pPr>
        <w:spacing w:after="120"/>
        <w:ind w:left="510" w:hanging="510"/>
      </w:pPr>
      <w:r>
        <w:rPr>
          <w:rFonts w:ascii="Calibri" w:hAnsi="Calibri" w:eastAsia="Calibri"/>
          <w:b/>
          <w:i w:val="0"/>
          <w:color w:val="003366"/>
          <w:sz w:val="22"/>
        </w:rPr>
        <w:t xml:space="preserve">Stap 5 — </w:t>
      </w:r>
      <w:r>
        <w:rPr>
          <w:rFonts w:ascii="Calibri" w:hAnsi="Calibri" w:eastAsia="Calibri"/>
          <w:b/>
          <w:i w:val="0"/>
          <w:color w:val="000000"/>
          <w:sz w:val="22"/>
        </w:rPr>
        <w:t xml:space="preserve">[HSEQ Officer] </w:t>
      </w:r>
      <w:r>
        <w:rPr>
          <w:rFonts w:ascii="Calibri" w:hAnsi="Calibri" w:eastAsia="Calibri"/>
          <w:b w:val="0"/>
          <w:i w:val="0"/>
          <w:color w:val="000000"/>
          <w:sz w:val="22"/>
        </w:rPr>
        <w:t>Registreer het incident, de metingen en de genomen maatregelen en meld conform de rapportageverplichting [2][3].</w:t>
      </w:r>
    </w:p>
    <w:p>
      <w:pPr>
        <w:spacing w:after="160" w:before="0"/>
        <w:jc w:val="both"/>
      </w:pPr>
      <w:r>
        <w:rPr>
          <w:rFonts w:ascii="Calibri" w:hAnsi="Calibri" w:eastAsia="Calibri"/>
          <w:b w:val="0"/>
          <w:i w:val="0"/>
          <w:color w:val="000000"/>
          <w:sz w:val="22"/>
        </w:rPr>
        <w:t>De eerste hulpmaatregelen volgen de P-zinnen uit de CLP-classificatie: bij inslikken (P301+P310+P330) onmiddellijk een arts raadplegen en de mond spoelen; bij inademing (P304+P340+P312) de betrokkene naar frisse lucht brengen, rustig houden en medische hulp inschakelen [7]. Betrokkenen worden na elk incident door de bedrijfsarts beoordeeld [2].</w:t>
      </w:r>
    </w:p>
    <w:p>
      <w:pPr>
        <w:pStyle w:val="Heading2"/>
        <w:keepNext/>
        <w:spacing w:before="200" w:after="160"/>
      </w:pPr>
      <w:r>
        <w:rPr>
          <w:rFonts w:ascii="Calibri" w:hAnsi="Calibri" w:eastAsia="Calibri"/>
          <w:b/>
          <w:i w:val="0"/>
          <w:color w:val="003366"/>
          <w:sz w:val="26"/>
        </w:rPr>
        <w:t>6.2 Decontaminatie</w:t>
      </w:r>
    </w:p>
    <w:p>
      <w:pPr>
        <w:spacing w:after="160" w:before="0"/>
        <w:jc w:val="both"/>
      </w:pPr>
      <w:r>
        <w:rPr>
          <w:rFonts w:ascii="Calibri" w:hAnsi="Calibri" w:eastAsia="Calibri"/>
          <w:b w:val="0"/>
          <w:i w:val="0"/>
          <w:color w:val="000000"/>
          <w:sz w:val="22"/>
        </w:rPr>
        <w:t>Decontaminatie is verplicht na elke sessie met mogelijk kwikcontact en conform EU-Kwikverordening artikel 7 [3]. De volgorde binnen de afgebakende zone is: (1) reinig gereedschap en herbruikbare PBM met daartoe bestemde middelen; (2) doff de disposables zonder kruisbesmetting en voer ze direct af als kwikbesmet afval; (3) controleer handen en gezicht; (4) registreer de decontaminatie in het logboek. Kwikbesmet materiaal wordt nimmer meegenomen naar leef- of verblijfsruimten [2][3].</w:t>
      </w:r>
    </w:p>
    <w:p>
      <w:pPr>
        <w:spacing w:after="160" w:before="0"/>
        <w:jc w:val="both"/>
      </w:pPr>
      <w:r>
        <w:rPr>
          <w:rFonts w:ascii="Calibri" w:hAnsi="Calibri" w:eastAsia="Calibri"/>
          <w:b w:val="0"/>
          <w:i w:val="0"/>
          <w:color w:val="000000"/>
          <w:sz w:val="22"/>
        </w:rPr>
        <w:t>Decontaminatievoorzieningen worden vóór de start van elke removalsessie in de werkzone geparalleld: een afgebakende doff-volgorde, gesloten afvalzakken voor disposables en een spoelvoorziening voor huidcontact. De HSEQ Officer inspecteert de paraatheid van deze voorzieningen tijdens de taakrisicobeoordeling en legt de bevinding vast bij de werkvergunning. Het ontbreken van paraat gestelde decontaminatievoorzieningen is een stopwerkreden [2][3].</w:t>
      </w:r>
    </w:p>
    <w:p>
      <w:pPr>
        <w:pStyle w:val="Heading2"/>
        <w:keepNext/>
        <w:spacing w:before="200" w:after="160"/>
      </w:pPr>
      <w:r>
        <w:rPr>
          <w:rFonts w:ascii="Calibri" w:hAnsi="Calibri" w:eastAsia="Calibri"/>
          <w:b/>
          <w:i w:val="0"/>
          <w:color w:val="003366"/>
          <w:sz w:val="26"/>
        </w:rPr>
        <w:t>6.3 Gezondheidssurveillance</w:t>
      </w:r>
    </w:p>
    <w:p>
      <w:pPr>
        <w:spacing w:after="160" w:before="0"/>
        <w:jc w:val="both"/>
      </w:pPr>
      <w:r>
        <w:rPr>
          <w:rFonts w:ascii="Calibri" w:hAnsi="Calibri" w:eastAsia="Calibri"/>
          <w:b w:val="0"/>
          <w:i w:val="0"/>
          <w:color w:val="000000"/>
          <w:sz w:val="22"/>
        </w:rPr>
        <w:t>Medewerkers met mogelijke kwikblootstelling nemen deel aan medische surveillance conform Arbobesluit artikel 4.6, uitgevoerd door een bedrijfsarts [2]. De frequentie en omvang van de onderzoeken worden door de bedrijfsarts vastgesteld op basis van de blootstellingsbeoordeling uit de RI&amp;E; resultaten worden bewaard in het medisch dossier van de medewerker [2][audit §2.5].</w:t>
      </w:r>
    </w:p>
    <w:p>
      <w:r>
        <w:br w:type="page"/>
      </w:r>
    </w:p>
    <w:p>
      <w:pPr>
        <w:pStyle w:val="Heading1"/>
        <w:keepNext/>
        <w:spacing w:before="280" w:after="160"/>
        <w:pBdr>
          <w:bottom w:val="single" w:sz="12" w:space="2" w:color="003366"/>
        </w:pBdr>
      </w:pPr>
      <w:r>
        <w:rPr>
          <w:rFonts w:ascii="Calibri" w:hAnsi="Calibri" w:eastAsia="Calibri"/>
          <w:b/>
          <w:i w:val="0"/>
          <w:color w:val="003366"/>
          <w:sz w:val="32"/>
        </w:rPr>
        <w:t>7. Registratie &amp; Bijlagen</w:t>
      </w:r>
    </w:p>
    <w:p>
      <w:pPr>
        <w:pStyle w:val="Heading2"/>
        <w:keepNext/>
        <w:spacing w:before="200" w:after="160"/>
      </w:pPr>
      <w:r>
        <w:rPr>
          <w:rFonts w:ascii="Calibri" w:hAnsi="Calibri" w:eastAsia="Calibri"/>
          <w:b/>
          <w:i w:val="0"/>
          <w:color w:val="003366"/>
          <w:sz w:val="26"/>
        </w:rPr>
        <w:t>7.1 Registraties</w:t>
      </w:r>
    </w:p>
    <w:p>
      <w:pPr>
        <w:spacing w:after="160" w:before="0"/>
        <w:jc w:val="both"/>
      </w:pPr>
      <w:r>
        <w:rPr>
          <w:rFonts w:ascii="Calibri" w:hAnsi="Calibri" w:eastAsia="Calibri"/>
          <w:b w:val="0"/>
          <w:i w:val="0"/>
          <w:color w:val="000000"/>
          <w:sz w:val="22"/>
        </w:rPr>
        <w:t>Alle registraties uit deze procedure vormen het auditieve bewijs van conformiteit en zijn conform de rapportageverplichtingen van Arbobesluit artikel 4.10 en EU-Kwikverordening artikel 9 op te vragen door toezichthouders en de opdrachtgever [2][3].</w:t>
      </w:r>
    </w:p>
    <w:p>
      <w:pPr>
        <w:spacing w:after="160" w:before="0"/>
        <w:jc w:val="left"/>
      </w:pPr>
      <w:r>
        <w:rPr>
          <w:rFonts w:ascii="Calibri" w:hAnsi="Calibri" w:eastAsia="Calibri"/>
          <w:b w:val="0"/>
          <w:i/>
          <w:color w:val="1F2937"/>
          <w:sz w:val="18"/>
        </w:rPr>
        <w:t>Tabel 7.1 — Registratie-overzicht</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3572"/>
            <w:shd w:val="clear" w:fill="003366"/>
          </w:tcPr>
          <w:p>
            <w:r/>
            <w:r>
              <w:rPr>
                <w:rFonts w:ascii="Calibri" w:hAnsi="Calibri" w:eastAsia="Calibri"/>
                <w:b/>
                <w:i w:val="0"/>
                <w:color w:val="FFFFFF"/>
                <w:sz w:val="18"/>
              </w:rPr>
              <w:t>Registratie</w:t>
            </w:r>
          </w:p>
        </w:tc>
        <w:tc>
          <w:tcPr>
            <w:tcW w:type="dxa" w:w="1928"/>
            <w:shd w:val="clear" w:fill="003366"/>
          </w:tcPr>
          <w:p>
            <w:r/>
            <w:r>
              <w:rPr>
                <w:rFonts w:ascii="Calibri" w:hAnsi="Calibri" w:eastAsia="Calibri"/>
                <w:b/>
                <w:i w:val="0"/>
                <w:color w:val="FFFFFF"/>
                <w:sz w:val="18"/>
              </w:rPr>
              <w:t>Eigenaar</w:t>
            </w:r>
          </w:p>
        </w:tc>
        <w:tc>
          <w:tcPr>
            <w:tcW w:type="dxa" w:w="2041"/>
            <w:shd w:val="clear" w:fill="003366"/>
          </w:tcPr>
          <w:p>
            <w:r/>
            <w:r>
              <w:rPr>
                <w:rFonts w:ascii="Calibri" w:hAnsi="Calibri" w:eastAsia="Calibri"/>
                <w:b/>
                <w:i w:val="0"/>
                <w:color w:val="FFFFFF"/>
                <w:sz w:val="18"/>
              </w:rPr>
              <w:t>Vorm</w:t>
            </w:r>
          </w:p>
        </w:tc>
        <w:tc>
          <w:tcPr>
            <w:tcW w:type="dxa" w:w="1814"/>
            <w:shd w:val="clear" w:fill="003366"/>
          </w:tcPr>
          <w:p>
            <w:r/>
            <w:r>
              <w:rPr>
                <w:rFonts w:ascii="Calibri" w:hAnsi="Calibri" w:eastAsia="Calibri"/>
                <w:b/>
                <w:i w:val="0"/>
                <w:color w:val="FFFFFF"/>
                <w:sz w:val="18"/>
              </w:rPr>
              <w:t>Minimale bewaartermijn</w:t>
            </w:r>
          </w:p>
        </w:tc>
      </w:tr>
      <w:tr>
        <w:tc>
          <w:tcPr>
            <w:tcW w:type="dxa" w:w="3572"/>
          </w:tcPr>
          <w:p>
            <w:r/>
            <w:r>
              <w:rPr>
                <w:rFonts w:ascii="Calibri" w:hAnsi="Calibri" w:eastAsia="Calibri"/>
                <w:b w:val="0"/>
                <w:i w:val="0"/>
                <w:color w:val="000000"/>
                <w:sz w:val="18"/>
              </w:rPr>
              <w:t>RI&amp;E met kwikartikel</w:t>
            </w:r>
          </w:p>
        </w:tc>
        <w:tc>
          <w:tcPr>
            <w:tcW w:type="dxa" w:w="1928"/>
          </w:tcPr>
          <w:p>
            <w:r/>
            <w:r>
              <w:rPr>
                <w:rFonts w:ascii="Calibri" w:hAnsi="Calibri" w:eastAsia="Calibri"/>
                <w:b w:val="0"/>
                <w:i w:val="0"/>
                <w:color w:val="000000"/>
                <w:sz w:val="18"/>
              </w:rPr>
              <w:t>HSEQ Officer</w:t>
            </w:r>
          </w:p>
        </w:tc>
        <w:tc>
          <w:tcPr>
            <w:tcW w:type="dxa" w:w="2041"/>
          </w:tcPr>
          <w:p>
            <w:r/>
            <w:r>
              <w:rPr>
                <w:rFonts w:ascii="Calibri" w:hAnsi="Calibri" w:eastAsia="Calibri"/>
                <w:b w:val="0"/>
                <w:i w:val="0"/>
                <w:color w:val="000000"/>
                <w:sz w:val="18"/>
              </w:rPr>
              <w:t>Document</w:t>
            </w:r>
          </w:p>
        </w:tc>
        <w:tc>
          <w:tcPr>
            <w:tcW w:type="dxa" w:w="1814"/>
          </w:tcPr>
          <w:p>
            <w:r/>
            <w:r>
              <w:rPr>
                <w:rFonts w:ascii="Calibri" w:hAnsi="Calibri" w:eastAsia="Calibri"/>
                <w:b w:val="0"/>
                <w:i w:val="0"/>
                <w:color w:val="000000"/>
                <w:sz w:val="18"/>
              </w:rPr>
              <w:t>Bedrijfsintern vastgesteld</w:t>
            </w:r>
          </w:p>
        </w:tc>
      </w:tr>
      <w:tr>
        <w:tc>
          <w:tcPr>
            <w:tcW w:type="dxa" w:w="3572"/>
            <w:shd w:val="clear" w:fill="F8F9FA"/>
          </w:tcPr>
          <w:p>
            <w:r/>
            <w:r>
              <w:rPr>
                <w:rFonts w:ascii="Calibri" w:hAnsi="Calibri" w:eastAsia="Calibri"/>
                <w:b w:val="0"/>
                <w:i w:val="0"/>
                <w:color w:val="000000"/>
                <w:sz w:val="18"/>
              </w:rPr>
              <w:t>Pre-removal survey + XRF-/labresultaten</w:t>
            </w:r>
          </w:p>
        </w:tc>
        <w:tc>
          <w:tcPr>
            <w:tcW w:type="dxa" w:w="1928"/>
            <w:shd w:val="clear" w:fill="F8F9FA"/>
          </w:tcPr>
          <w:p>
            <w:r/>
            <w:r>
              <w:rPr>
                <w:rFonts w:ascii="Calibri" w:hAnsi="Calibri" w:eastAsia="Calibri"/>
                <w:b w:val="0"/>
                <w:i w:val="0"/>
                <w:color w:val="000000"/>
                <w:sz w:val="18"/>
              </w:rPr>
              <w:t>HSEQ Officer</w:t>
            </w:r>
          </w:p>
        </w:tc>
        <w:tc>
          <w:tcPr>
            <w:tcW w:type="dxa" w:w="2041"/>
            <w:shd w:val="clear" w:fill="F8F9FA"/>
          </w:tcPr>
          <w:p>
            <w:r/>
            <w:r>
              <w:rPr>
                <w:rFonts w:ascii="Calibri" w:hAnsi="Calibri" w:eastAsia="Calibri"/>
                <w:b w:val="0"/>
                <w:i w:val="0"/>
                <w:color w:val="000000"/>
                <w:sz w:val="18"/>
              </w:rPr>
              <w:t>Formulier + rapport</w:t>
            </w:r>
          </w:p>
        </w:tc>
        <w:tc>
          <w:tcPr>
            <w:tcW w:type="dxa" w:w="1814"/>
            <w:shd w:val="clear" w:fill="F8F9FA"/>
          </w:tcPr>
          <w:p>
            <w:r/>
            <w:r>
              <w:rPr>
                <w:rFonts w:ascii="Calibri" w:hAnsi="Calibri" w:eastAsia="Calibri"/>
                <w:b w:val="0"/>
                <w:i w:val="0"/>
                <w:color w:val="000000"/>
                <w:sz w:val="18"/>
              </w:rPr>
              <w:t>Bedrijfsintern vastgesteld</w:t>
            </w:r>
          </w:p>
        </w:tc>
      </w:tr>
      <w:tr>
        <w:tc>
          <w:tcPr>
            <w:tcW w:type="dxa" w:w="3572"/>
          </w:tcPr>
          <w:p>
            <w:r/>
            <w:r>
              <w:rPr>
                <w:rFonts w:ascii="Calibri" w:hAnsi="Calibri" w:eastAsia="Calibri"/>
                <w:b w:val="0"/>
                <w:i w:val="0"/>
                <w:color w:val="000000"/>
                <w:sz w:val="18"/>
              </w:rPr>
              <w:t>Werkvergunningen en taak-risicabeoordelingen</w:t>
            </w:r>
          </w:p>
        </w:tc>
        <w:tc>
          <w:tcPr>
            <w:tcW w:type="dxa" w:w="1928"/>
          </w:tcPr>
          <w:p>
            <w:r/>
            <w:r>
              <w:rPr>
                <w:rFonts w:ascii="Calibri" w:hAnsi="Calibri" w:eastAsia="Calibri"/>
                <w:b w:val="0"/>
                <w:i w:val="0"/>
                <w:color w:val="000000"/>
                <w:sz w:val="18"/>
              </w:rPr>
              <w:t>OIM</w:t>
            </w:r>
          </w:p>
        </w:tc>
        <w:tc>
          <w:tcPr>
            <w:tcW w:type="dxa" w:w="2041"/>
          </w:tcPr>
          <w:p>
            <w:r/>
            <w:r>
              <w:rPr>
                <w:rFonts w:ascii="Calibri" w:hAnsi="Calibri" w:eastAsia="Calibri"/>
                <w:b w:val="0"/>
                <w:i w:val="0"/>
                <w:color w:val="000000"/>
                <w:sz w:val="18"/>
              </w:rPr>
              <w:t>Systeem/zwarte kaarten</w:t>
            </w:r>
          </w:p>
        </w:tc>
        <w:tc>
          <w:tcPr>
            <w:tcW w:type="dxa" w:w="1814"/>
          </w:tcPr>
          <w:p>
            <w:r/>
            <w:r>
              <w:rPr>
                <w:rFonts w:ascii="Calibri" w:hAnsi="Calibri" w:eastAsia="Calibri"/>
                <w:b w:val="0"/>
                <w:i w:val="0"/>
                <w:color w:val="000000"/>
                <w:sz w:val="18"/>
              </w:rPr>
              <w:t>Bedrijfsintern vastgesteld</w:t>
            </w:r>
          </w:p>
        </w:tc>
      </w:tr>
      <w:tr>
        <w:tc>
          <w:tcPr>
            <w:tcW w:type="dxa" w:w="3572"/>
            <w:shd w:val="clear" w:fill="F8F9FA"/>
          </w:tcPr>
          <w:p>
            <w:r/>
            <w:r>
              <w:rPr>
                <w:rFonts w:ascii="Calibri" w:hAnsi="Calibri" w:eastAsia="Calibri"/>
                <w:b w:val="0"/>
                <w:i w:val="0"/>
                <w:color w:val="000000"/>
                <w:sz w:val="18"/>
              </w:rPr>
              <w:t>Luchtmeetresultaten</w:t>
            </w:r>
          </w:p>
        </w:tc>
        <w:tc>
          <w:tcPr>
            <w:tcW w:type="dxa" w:w="1928"/>
            <w:shd w:val="clear" w:fill="F8F9FA"/>
          </w:tcPr>
          <w:p>
            <w:r/>
            <w:r>
              <w:rPr>
                <w:rFonts w:ascii="Calibri" w:hAnsi="Calibri" w:eastAsia="Calibri"/>
                <w:b w:val="0"/>
                <w:i w:val="0"/>
                <w:color w:val="000000"/>
                <w:sz w:val="18"/>
              </w:rPr>
              <w:t>Meetdeskundige</w:t>
            </w:r>
          </w:p>
        </w:tc>
        <w:tc>
          <w:tcPr>
            <w:tcW w:type="dxa" w:w="2041"/>
            <w:shd w:val="clear" w:fill="F8F9FA"/>
          </w:tcPr>
          <w:p>
            <w:r/>
            <w:r>
              <w:rPr>
                <w:rFonts w:ascii="Calibri" w:hAnsi="Calibri" w:eastAsia="Calibri"/>
                <w:b w:val="0"/>
                <w:i w:val="0"/>
                <w:color w:val="000000"/>
                <w:sz w:val="18"/>
              </w:rPr>
              <w:t>Meetrapport</w:t>
            </w:r>
          </w:p>
        </w:tc>
        <w:tc>
          <w:tcPr>
            <w:tcW w:type="dxa" w:w="1814"/>
            <w:shd w:val="clear" w:fill="F8F9FA"/>
          </w:tcPr>
          <w:p>
            <w:r/>
            <w:r>
              <w:rPr>
                <w:rFonts w:ascii="Calibri" w:hAnsi="Calibri" w:eastAsia="Calibri"/>
                <w:b w:val="0"/>
                <w:i w:val="0"/>
                <w:color w:val="000000"/>
                <w:sz w:val="18"/>
              </w:rPr>
              <w:t>Conform wettelijk kader [2]</w:t>
            </w:r>
          </w:p>
        </w:tc>
      </w:tr>
      <w:tr>
        <w:tc>
          <w:tcPr>
            <w:tcW w:type="dxa" w:w="3572"/>
          </w:tcPr>
          <w:p>
            <w:r/>
            <w:r>
              <w:rPr>
                <w:rFonts w:ascii="Calibri" w:hAnsi="Calibri" w:eastAsia="Calibri"/>
                <w:b w:val="0"/>
                <w:i w:val="0"/>
                <w:color w:val="000000"/>
                <w:sz w:val="18"/>
              </w:rPr>
              <w:t>Opslaglogboek offshore</w:t>
            </w:r>
          </w:p>
        </w:tc>
        <w:tc>
          <w:tcPr>
            <w:tcW w:type="dxa" w:w="1928"/>
          </w:tcPr>
          <w:p>
            <w:r/>
            <w:r>
              <w:rPr>
                <w:rFonts w:ascii="Calibri" w:hAnsi="Calibri" w:eastAsia="Calibri"/>
                <w:b w:val="0"/>
                <w:i w:val="0"/>
                <w:color w:val="000000"/>
                <w:sz w:val="18"/>
              </w:rPr>
              <w:t>HSEQ Officer</w:t>
            </w:r>
          </w:p>
        </w:tc>
        <w:tc>
          <w:tcPr>
            <w:tcW w:type="dxa" w:w="2041"/>
          </w:tcPr>
          <w:p>
            <w:r/>
            <w:r>
              <w:rPr>
                <w:rFonts w:ascii="Calibri" w:hAnsi="Calibri" w:eastAsia="Calibri"/>
                <w:b w:val="0"/>
                <w:i w:val="0"/>
                <w:color w:val="000000"/>
                <w:sz w:val="18"/>
              </w:rPr>
              <w:t>Logboek</w:t>
            </w:r>
          </w:p>
        </w:tc>
        <w:tc>
          <w:tcPr>
            <w:tcW w:type="dxa" w:w="1814"/>
          </w:tcPr>
          <w:p>
            <w:r/>
            <w:r>
              <w:rPr>
                <w:rFonts w:ascii="Calibri" w:hAnsi="Calibri" w:eastAsia="Calibri"/>
                <w:b w:val="0"/>
                <w:i w:val="0"/>
                <w:color w:val="000000"/>
                <w:sz w:val="18"/>
              </w:rPr>
              <w:t>Bedrijfsintern vastgesteld</w:t>
            </w:r>
          </w:p>
        </w:tc>
      </w:tr>
      <w:tr>
        <w:tc>
          <w:tcPr>
            <w:tcW w:type="dxa" w:w="3572"/>
            <w:shd w:val="clear" w:fill="F8F9FA"/>
          </w:tcPr>
          <w:p>
            <w:r/>
            <w:r>
              <w:rPr>
                <w:rFonts w:ascii="Calibri" w:hAnsi="Calibri" w:eastAsia="Calibri"/>
                <w:b w:val="0"/>
                <w:i w:val="0"/>
                <w:color w:val="000000"/>
                <w:sz w:val="18"/>
              </w:rPr>
              <w:t>Transport- en overdrachtsdocumenten</w:t>
            </w:r>
          </w:p>
        </w:tc>
        <w:tc>
          <w:tcPr>
            <w:tcW w:type="dxa" w:w="1928"/>
            <w:shd w:val="clear" w:fill="F8F9FA"/>
          </w:tcPr>
          <w:p>
            <w:r/>
            <w:r>
              <w:rPr>
                <w:rFonts w:ascii="Calibri" w:hAnsi="Calibri" w:eastAsia="Calibri"/>
                <w:b w:val="0"/>
                <w:i w:val="0"/>
                <w:color w:val="000000"/>
                <w:sz w:val="18"/>
              </w:rPr>
              <w:t>Logistiek Coördinator</w:t>
            </w:r>
          </w:p>
        </w:tc>
        <w:tc>
          <w:tcPr>
            <w:tcW w:type="dxa" w:w="2041"/>
            <w:shd w:val="clear" w:fill="F8F9FA"/>
          </w:tcPr>
          <w:p>
            <w:r/>
            <w:r>
              <w:rPr>
                <w:rFonts w:ascii="Calibri" w:hAnsi="Calibri" w:eastAsia="Calibri"/>
                <w:b w:val="0"/>
                <w:i w:val="0"/>
                <w:color w:val="000000"/>
                <w:sz w:val="18"/>
              </w:rPr>
              <w:t>Vervoersdocumentatie</w:t>
            </w:r>
          </w:p>
        </w:tc>
        <w:tc>
          <w:tcPr>
            <w:tcW w:type="dxa" w:w="1814"/>
            <w:shd w:val="clear" w:fill="F8F9FA"/>
          </w:tcPr>
          <w:p>
            <w:r/>
            <w:r>
              <w:rPr>
                <w:rFonts w:ascii="Calibri" w:hAnsi="Calibri" w:eastAsia="Calibri"/>
                <w:b w:val="0"/>
                <w:i w:val="0"/>
                <w:color w:val="000000"/>
                <w:sz w:val="18"/>
              </w:rPr>
              <w:t>Conform vervoersregelgeving [2][3]</w:t>
            </w:r>
          </w:p>
        </w:tc>
      </w:tr>
      <w:tr>
        <w:tc>
          <w:tcPr>
            <w:tcW w:type="dxa" w:w="3572"/>
          </w:tcPr>
          <w:p>
            <w:r/>
            <w:r>
              <w:rPr>
                <w:rFonts w:ascii="Calibri" w:hAnsi="Calibri" w:eastAsia="Calibri"/>
                <w:b w:val="0"/>
                <w:i w:val="0"/>
                <w:color w:val="000000"/>
                <w:sz w:val="18"/>
              </w:rPr>
              <w:t>Begeleidingsbrieven en verwerkingsverklaringen</w:t>
            </w:r>
          </w:p>
        </w:tc>
        <w:tc>
          <w:tcPr>
            <w:tcW w:type="dxa" w:w="1928"/>
          </w:tcPr>
          <w:p>
            <w:r/>
            <w:r>
              <w:rPr>
                <w:rFonts w:ascii="Calibri" w:hAnsi="Calibri" w:eastAsia="Calibri"/>
                <w:b w:val="0"/>
                <w:i w:val="0"/>
                <w:color w:val="000000"/>
                <w:sz w:val="18"/>
              </w:rPr>
              <w:t>Projectmanager</w:t>
            </w:r>
          </w:p>
        </w:tc>
        <w:tc>
          <w:tcPr>
            <w:tcW w:type="dxa" w:w="2041"/>
          </w:tcPr>
          <w:p>
            <w:r/>
            <w:r>
              <w:rPr>
                <w:rFonts w:ascii="Calibri" w:hAnsi="Calibri" w:eastAsia="Calibri"/>
                <w:b w:val="0"/>
                <w:i w:val="0"/>
                <w:color w:val="000000"/>
                <w:sz w:val="18"/>
              </w:rPr>
              <w:t>Correspondentie</w:t>
            </w:r>
          </w:p>
        </w:tc>
        <w:tc>
          <w:tcPr>
            <w:tcW w:type="dxa" w:w="1814"/>
          </w:tcPr>
          <w:p>
            <w:r/>
            <w:r>
              <w:rPr>
                <w:rFonts w:ascii="Calibri" w:hAnsi="Calibri" w:eastAsia="Calibri"/>
                <w:b w:val="0"/>
                <w:i w:val="0"/>
                <w:color w:val="000000"/>
                <w:sz w:val="18"/>
              </w:rPr>
              <w:t>Conform Bal [5]</w:t>
            </w:r>
          </w:p>
        </w:tc>
      </w:tr>
      <w:tr>
        <w:tc>
          <w:tcPr>
            <w:tcW w:type="dxa" w:w="3572"/>
            <w:shd w:val="clear" w:fill="F8F9FA"/>
          </w:tcPr>
          <w:p>
            <w:r/>
            <w:r>
              <w:rPr>
                <w:rFonts w:ascii="Calibri" w:hAnsi="Calibri" w:eastAsia="Calibri"/>
                <w:b w:val="0"/>
                <w:i w:val="0"/>
                <w:color w:val="000000"/>
                <w:sz w:val="18"/>
              </w:rPr>
              <w:t>Trainings- en instructieregistraties</w:t>
            </w:r>
          </w:p>
        </w:tc>
        <w:tc>
          <w:tcPr>
            <w:tcW w:type="dxa" w:w="1928"/>
            <w:shd w:val="clear" w:fill="F8F9FA"/>
          </w:tcPr>
          <w:p>
            <w:r/>
            <w:r>
              <w:rPr>
                <w:rFonts w:ascii="Calibri" w:hAnsi="Calibri" w:eastAsia="Calibri"/>
                <w:b w:val="0"/>
                <w:i w:val="0"/>
                <w:color w:val="000000"/>
                <w:sz w:val="18"/>
              </w:rPr>
              <w:t>HSEQ Officer</w:t>
            </w:r>
          </w:p>
        </w:tc>
        <w:tc>
          <w:tcPr>
            <w:tcW w:type="dxa" w:w="2041"/>
            <w:shd w:val="clear" w:fill="F8F9FA"/>
          </w:tcPr>
          <w:p>
            <w:r/>
            <w:r>
              <w:rPr>
                <w:rFonts w:ascii="Calibri" w:hAnsi="Calibri" w:eastAsia="Calibri"/>
                <w:b w:val="0"/>
                <w:i w:val="0"/>
                <w:color w:val="000000"/>
                <w:sz w:val="18"/>
              </w:rPr>
              <w:t>Presentielijsten</w:t>
            </w:r>
          </w:p>
        </w:tc>
        <w:tc>
          <w:tcPr>
            <w:tcW w:type="dxa" w:w="1814"/>
            <w:shd w:val="clear" w:fill="F8F9FA"/>
          </w:tcPr>
          <w:p>
            <w:r/>
            <w:r>
              <w:rPr>
                <w:rFonts w:ascii="Calibri" w:hAnsi="Calibri" w:eastAsia="Calibri"/>
                <w:b w:val="0"/>
                <w:i w:val="0"/>
                <w:color w:val="000000"/>
                <w:sz w:val="18"/>
              </w:rPr>
              <w:t>Bedrijfsintern vastgesteld</w:t>
            </w:r>
          </w:p>
        </w:tc>
      </w:tr>
      <w:tr>
        <w:tc>
          <w:tcPr>
            <w:tcW w:type="dxa" w:w="3572"/>
          </w:tcPr>
          <w:p>
            <w:r/>
            <w:r>
              <w:rPr>
                <w:rFonts w:ascii="Calibri" w:hAnsi="Calibri" w:eastAsia="Calibri"/>
                <w:b w:val="0"/>
                <w:i w:val="0"/>
                <w:color w:val="000000"/>
                <w:sz w:val="18"/>
              </w:rPr>
              <w:t>Medische surveillance-dossiers</w:t>
            </w:r>
          </w:p>
        </w:tc>
        <w:tc>
          <w:tcPr>
            <w:tcW w:type="dxa" w:w="1928"/>
          </w:tcPr>
          <w:p>
            <w:r/>
            <w:r>
              <w:rPr>
                <w:rFonts w:ascii="Calibri" w:hAnsi="Calibri" w:eastAsia="Calibri"/>
                <w:b w:val="0"/>
                <w:i w:val="0"/>
                <w:color w:val="000000"/>
                <w:sz w:val="18"/>
              </w:rPr>
              <w:t>Bedrijfsarts</w:t>
            </w:r>
          </w:p>
        </w:tc>
        <w:tc>
          <w:tcPr>
            <w:tcW w:type="dxa" w:w="2041"/>
          </w:tcPr>
          <w:p>
            <w:r/>
            <w:r>
              <w:rPr>
                <w:rFonts w:ascii="Calibri" w:hAnsi="Calibri" w:eastAsia="Calibri"/>
                <w:b w:val="0"/>
                <w:i w:val="0"/>
                <w:color w:val="000000"/>
                <w:sz w:val="18"/>
              </w:rPr>
              <w:t>Medisch dossier</w:t>
            </w:r>
          </w:p>
        </w:tc>
        <w:tc>
          <w:tcPr>
            <w:tcW w:type="dxa" w:w="1814"/>
          </w:tcPr>
          <w:p>
            <w:r/>
            <w:r>
              <w:rPr>
                <w:rFonts w:ascii="Calibri" w:hAnsi="Calibri" w:eastAsia="Calibri"/>
                <w:b w:val="0"/>
                <w:i w:val="0"/>
                <w:color w:val="000000"/>
                <w:sz w:val="18"/>
              </w:rPr>
              <w:t>Conform privacyregelgeving</w:t>
            </w:r>
          </w:p>
        </w:tc>
      </w:tr>
      <w:tr>
        <w:tc>
          <w:tcPr>
            <w:tcW w:type="dxa" w:w="3572"/>
            <w:shd w:val="clear" w:fill="F8F9FA"/>
          </w:tcPr>
          <w:p>
            <w:r/>
            <w:r>
              <w:rPr>
                <w:rFonts w:ascii="Calibri" w:hAnsi="Calibri" w:eastAsia="Calibri"/>
                <w:b w:val="0"/>
                <w:i w:val="0"/>
                <w:color w:val="000000"/>
                <w:sz w:val="18"/>
              </w:rPr>
              <w:t>Incidentrapportages (EMVI)</w:t>
            </w:r>
          </w:p>
        </w:tc>
        <w:tc>
          <w:tcPr>
            <w:tcW w:type="dxa" w:w="1928"/>
            <w:shd w:val="clear" w:fill="F8F9FA"/>
          </w:tcPr>
          <w:p>
            <w:r/>
            <w:r>
              <w:rPr>
                <w:rFonts w:ascii="Calibri" w:hAnsi="Calibri" w:eastAsia="Calibri"/>
                <w:b w:val="0"/>
                <w:i w:val="0"/>
                <w:color w:val="000000"/>
                <w:sz w:val="18"/>
              </w:rPr>
              <w:t>HSEQ Officer</w:t>
            </w:r>
          </w:p>
        </w:tc>
        <w:tc>
          <w:tcPr>
            <w:tcW w:type="dxa" w:w="2041"/>
            <w:shd w:val="clear" w:fill="F8F9FA"/>
          </w:tcPr>
          <w:p>
            <w:r/>
            <w:r>
              <w:rPr>
                <w:rFonts w:ascii="Calibri" w:hAnsi="Calibri" w:eastAsia="Calibri"/>
                <w:b w:val="0"/>
                <w:i w:val="0"/>
                <w:color w:val="000000"/>
                <w:sz w:val="18"/>
              </w:rPr>
              <w:t>Incidentrapport</w:t>
            </w:r>
          </w:p>
        </w:tc>
        <w:tc>
          <w:tcPr>
            <w:tcW w:type="dxa" w:w="1814"/>
            <w:shd w:val="clear" w:fill="F8F9FA"/>
          </w:tcPr>
          <w:p>
            <w:r/>
            <w:r>
              <w:rPr>
                <w:rFonts w:ascii="Calibri" w:hAnsi="Calibri" w:eastAsia="Calibri"/>
                <w:b w:val="0"/>
                <w:i w:val="0"/>
                <w:color w:val="000000"/>
                <w:sz w:val="18"/>
              </w:rPr>
              <w:t>Bedrijfsintern vastgesteld</w:t>
            </w:r>
          </w:p>
        </w:tc>
      </w:tr>
    </w:tbl>
    <w:p>
      <w:pPr>
        <w:spacing w:after="40"/>
      </w:pPr>
    </w:p>
    <w:p>
      <w:pPr>
        <w:spacing w:after="160" w:before="0"/>
        <w:jc w:val="both"/>
      </w:pPr>
      <w:r>
        <w:rPr>
          <w:rFonts w:ascii="Calibri" w:hAnsi="Calibri" w:eastAsia="Calibri"/>
          <w:b w:val="0"/>
          <w:i w:val="0"/>
          <w:color w:val="000000"/>
          <w:sz w:val="22"/>
        </w:rPr>
        <w:t>De registraties bevatten ten minste: datum, tijdstip en locatie van de activiteit, betrokken personen en functies, gebruikte PBM, meetwaarden met meetopstelling en kalibratiegegevens, classificatie van materiaal (verdacht of bevestigd besmet), hoeveelheden per afvalstroom, overdrachts- en vervoersreferenties en de handtekening van de verantwoordelijke functie. Het format wordt vastgesteld door de HSEQ Officer en sluit aan op de vereisten van de rapportageverplichtingen [2][3]. De bewaartermijnen uit tabel 7.1 volgen de wettelijke kaders en het interne bewaarbeleid; medische dossiers vallen onder de privacyregelgeving en blijven buiten het projectdossier [2].</w:t>
      </w:r>
    </w:p>
    <w:p>
      <w:pPr>
        <w:pStyle w:val="Heading2"/>
        <w:keepNext/>
        <w:spacing w:before="200" w:after="160"/>
      </w:pPr>
      <w:r>
        <w:rPr>
          <w:rFonts w:ascii="Calibri" w:hAnsi="Calibri" w:eastAsia="Calibri"/>
          <w:b/>
          <w:i w:val="0"/>
          <w:color w:val="003366"/>
          <w:sz w:val="26"/>
        </w:rPr>
        <w:t>7.2 Bijlagen</w:t>
      </w:r>
    </w:p>
    <w:p>
      <w:pPr>
        <w:pStyle w:val="ListBullet"/>
        <w:spacing w:after="80"/>
        <w:ind w:left="425"/>
      </w:pPr>
      <w:r>
        <w:rPr>
          <w:rFonts w:ascii="Calibri" w:hAnsi="Calibri" w:eastAsia="Calibri"/>
          <w:b w:val="0"/>
          <w:i w:val="0"/>
          <w:color w:val="000000"/>
          <w:sz w:val="22"/>
        </w:rPr>
        <w:t>Bijlage A — Checklist Pre-removal Survey (aparte checklist in de deliverables-map van dit project).</w:t>
      </w:r>
    </w:p>
    <w:p>
      <w:pPr>
        <w:pStyle w:val="ListBullet"/>
        <w:spacing w:after="80"/>
        <w:ind w:left="425"/>
      </w:pPr>
      <w:r>
        <w:rPr>
          <w:rFonts w:ascii="Calibri" w:hAnsi="Calibri" w:eastAsia="Calibri"/>
          <w:b w:val="0"/>
          <w:i w:val="0"/>
          <w:color w:val="000000"/>
          <w:sz w:val="22"/>
        </w:rPr>
        <w:t>Bijlage B — PBM-matrix (tabel 4.2 van deze procedure).</w:t>
      </w:r>
    </w:p>
    <w:p>
      <w:pPr>
        <w:pStyle w:val="ListBullet"/>
        <w:spacing w:after="80"/>
        <w:ind w:left="425"/>
      </w:pPr>
      <w:r>
        <w:rPr>
          <w:rFonts w:ascii="Calibri" w:hAnsi="Calibri" w:eastAsia="Calibri"/>
          <w:b w:val="0"/>
          <w:i w:val="0"/>
          <w:color w:val="000000"/>
          <w:sz w:val="22"/>
        </w:rPr>
        <w:t>Bijlage C — EMVI-kaart kwik (paragraaf 6.1 van deze procedure).</w:t>
      </w:r>
    </w:p>
    <w:p>
      <w:pPr>
        <w:pStyle w:val="ListBullet"/>
        <w:spacing w:after="80"/>
        <w:ind w:left="425"/>
      </w:pPr>
      <w:r>
        <w:rPr>
          <w:rFonts w:ascii="Calibri" w:hAnsi="Calibri" w:eastAsia="Calibri"/>
          <w:b w:val="0"/>
          <w:i w:val="0"/>
          <w:color w:val="000000"/>
          <w:sz w:val="22"/>
        </w:rPr>
        <w:t>Bijlage D — Referenties (onderstaande lijst).</w:t>
      </w:r>
    </w:p>
    <w:p>
      <w:pPr>
        <w:spacing w:after="160" w:before="0"/>
        <w:jc w:val="both"/>
      </w:pPr>
      <w:r>
        <w:rPr>
          <w:rFonts w:ascii="Calibri" w:hAnsi="Calibri" w:eastAsia="Calibri"/>
          <w:b w:val="0"/>
          <w:i w:val="0"/>
          <w:color w:val="000000"/>
          <w:sz w:val="22"/>
        </w:rPr>
        <w:t>Bijlage A (checklist pre-removal survey) is als afzonderlijk formulier opgenomen in de deliverables van dit project en volgt de acht stappen uit paragraaf 4.2. Bijlage B en Bijlage C zijn integraal onderdeel van dit document (tabel 4.2 respectievelijk paragraaf 6.1) en worden voor dagelijks gebruik afzonderlijk geprint en op het platform zichtbaar opgehangen. Bijlage D vermeldt alle referenties inclusief de artikelgranulaire toelichtingen [18] t/m [34].</w:t>
      </w:r>
    </w:p>
    <w:p>
      <w:pPr>
        <w:pStyle w:val="Heading2"/>
        <w:keepNext/>
        <w:spacing w:before="200" w:after="160"/>
      </w:pPr>
      <w:r>
        <w:rPr>
          <w:rFonts w:ascii="Calibri" w:hAnsi="Calibri" w:eastAsia="Calibri"/>
          <w:b/>
          <w:i w:val="0"/>
          <w:color w:val="003366"/>
          <w:sz w:val="26"/>
        </w:rPr>
        <w:t>7.3 Referenties</w:t>
      </w:r>
    </w:p>
    <w:p>
      <w:pPr>
        <w:spacing w:after="160" w:before="0"/>
        <w:jc w:val="both"/>
      </w:pPr>
      <w:r>
        <w:rPr>
          <w:rFonts w:ascii="Calibri" w:hAnsi="Calibri" w:eastAsia="Calibri"/>
          <w:b w:val="0"/>
          <w:i w:val="0"/>
          <w:color w:val="000000"/>
          <w:sz w:val="22"/>
        </w:rPr>
        <w:t>De referenties [1] t/m [17] volgen de referentielijst van het auditdossier. De referenties [18] t/m [34] zijn artikelgranulaire toelichtingen op dezelfde bronnen en dienen om in de praktijk rechtstreeks naar de juiste wetsartikelen te navigeren. Tabel 7.2 verbindt de belangrijkste procedureonderdelen aan hun wettelijke grondslag.</w:t>
      </w:r>
    </w:p>
    <w:p>
      <w:pPr>
        <w:spacing w:after="60"/>
        <w:ind w:left="510" w:hanging="510"/>
      </w:pPr>
      <w:r>
        <w:rPr>
          <w:rFonts w:ascii="Calibri" w:hAnsi="Calibri" w:eastAsia="Calibri"/>
          <w:b/>
          <w:i w:val="0"/>
          <w:color w:val="000000"/>
          <w:sz w:val="22"/>
        </w:rPr>
        <w:t xml:space="preserve">[1]  </w:t>
      </w:r>
      <w:r>
        <w:rPr>
          <w:rFonts w:ascii="Calibri" w:hAnsi="Calibri" w:eastAsia="Calibri"/>
          <w:b w:val="0"/>
          <w:i w:val="0"/>
          <w:color w:val="000000"/>
          <w:sz w:val="22"/>
        </w:rPr>
        <w:t>Arbeidsomstandighedenwet (Arbowet), versie 01-01-2025 tot heden.</w:t>
      </w:r>
    </w:p>
    <w:p>
      <w:pPr>
        <w:spacing w:after="60"/>
        <w:ind w:left="510" w:hanging="510"/>
      </w:pPr>
      <w:r>
        <w:rPr>
          <w:rFonts w:ascii="Calibri" w:hAnsi="Calibri" w:eastAsia="Calibri"/>
          <w:b/>
          <w:i w:val="0"/>
          <w:color w:val="000000"/>
          <w:sz w:val="22"/>
        </w:rPr>
        <w:t xml:space="preserve">[2]  </w:t>
      </w:r>
      <w:r>
        <w:rPr>
          <w:rFonts w:ascii="Calibri" w:hAnsi="Calibri" w:eastAsia="Calibri"/>
          <w:b w:val="0"/>
          <w:i w:val="0"/>
          <w:color w:val="000000"/>
          <w:sz w:val="22"/>
        </w:rPr>
        <w:t>Arbeidsomstandighedenbesluit (Arbobesluit), hoofdstuk 4 — Gevaarlijke stoffen, versie 26-05-2025.</w:t>
      </w:r>
    </w:p>
    <w:p>
      <w:pPr>
        <w:spacing w:after="60"/>
        <w:ind w:left="510" w:hanging="510"/>
      </w:pPr>
      <w:r>
        <w:rPr>
          <w:rFonts w:ascii="Calibri" w:hAnsi="Calibri" w:eastAsia="Calibri"/>
          <w:b/>
          <w:i w:val="0"/>
          <w:color w:val="000000"/>
          <w:sz w:val="22"/>
        </w:rPr>
        <w:t xml:space="preserve">[3]  </w:t>
      </w:r>
      <w:r>
        <w:rPr>
          <w:rFonts w:ascii="Calibri" w:hAnsi="Calibri" w:eastAsia="Calibri"/>
          <w:b w:val="0"/>
          <w:i w:val="0"/>
          <w:color w:val="000000"/>
          <w:sz w:val="22"/>
        </w:rPr>
        <w:t>Europese Kwikverordening (EU) 2017/852.</w:t>
      </w:r>
    </w:p>
    <w:p>
      <w:pPr>
        <w:spacing w:after="60"/>
        <w:ind w:left="510" w:hanging="510"/>
      </w:pPr>
      <w:r>
        <w:rPr>
          <w:rFonts w:ascii="Calibri" w:hAnsi="Calibri" w:eastAsia="Calibri"/>
          <w:b/>
          <w:i w:val="0"/>
          <w:color w:val="000000"/>
          <w:sz w:val="22"/>
        </w:rPr>
        <w:t xml:space="preserve">[4]  </w:t>
      </w:r>
      <w:r>
        <w:rPr>
          <w:rFonts w:ascii="Calibri" w:hAnsi="Calibri" w:eastAsia="Calibri"/>
          <w:b w:val="0"/>
          <w:i w:val="0"/>
          <w:color w:val="000000"/>
          <w:sz w:val="22"/>
        </w:rPr>
        <w:t>Besluit kwik en kwikhoudende producten.</w:t>
      </w:r>
    </w:p>
    <w:p>
      <w:pPr>
        <w:spacing w:after="60"/>
        <w:ind w:left="510" w:hanging="510"/>
      </w:pPr>
      <w:r>
        <w:rPr>
          <w:rFonts w:ascii="Calibri" w:hAnsi="Calibri" w:eastAsia="Calibri"/>
          <w:b/>
          <w:i w:val="0"/>
          <w:color w:val="000000"/>
          <w:sz w:val="22"/>
        </w:rPr>
        <w:t xml:space="preserve">[5]  </w:t>
      </w:r>
      <w:r>
        <w:rPr>
          <w:rFonts w:ascii="Calibri" w:hAnsi="Calibri" w:eastAsia="Calibri"/>
          <w:b w:val="0"/>
          <w:i w:val="0"/>
          <w:color w:val="000000"/>
          <w:sz w:val="22"/>
        </w:rPr>
        <w:t>Besluit activiteiten leefomgeving (Bal).</w:t>
      </w:r>
    </w:p>
    <w:p>
      <w:pPr>
        <w:spacing w:after="60"/>
        <w:ind w:left="510" w:hanging="510"/>
      </w:pPr>
      <w:r>
        <w:rPr>
          <w:rFonts w:ascii="Calibri" w:hAnsi="Calibri" w:eastAsia="Calibri"/>
          <w:b/>
          <w:i w:val="0"/>
          <w:color w:val="000000"/>
          <w:sz w:val="22"/>
        </w:rPr>
        <w:t xml:space="preserve">[6]  </w:t>
      </w:r>
      <w:r>
        <w:rPr>
          <w:rFonts w:ascii="Calibri" w:hAnsi="Calibri" w:eastAsia="Calibri"/>
          <w:b w:val="0"/>
          <w:i w:val="0"/>
          <w:color w:val="000000"/>
          <w:sz w:val="22"/>
        </w:rPr>
        <w:t>REACH Verordening (EG) 1907/2006.</w:t>
      </w:r>
    </w:p>
    <w:p>
      <w:pPr>
        <w:spacing w:after="60"/>
        <w:ind w:left="510" w:hanging="510"/>
      </w:pPr>
      <w:r>
        <w:rPr>
          <w:rFonts w:ascii="Calibri" w:hAnsi="Calibri" w:eastAsia="Calibri"/>
          <w:b/>
          <w:i w:val="0"/>
          <w:color w:val="000000"/>
          <w:sz w:val="22"/>
        </w:rPr>
        <w:t xml:space="preserve">[7]  </w:t>
      </w:r>
      <w:r>
        <w:rPr>
          <w:rFonts w:ascii="Calibri" w:hAnsi="Calibri" w:eastAsia="Calibri"/>
          <w:b w:val="0"/>
          <w:i w:val="0"/>
          <w:color w:val="000000"/>
          <w:sz w:val="22"/>
        </w:rPr>
        <w:t>CLP Verordening (EG) 1272/2008.</w:t>
      </w:r>
    </w:p>
    <w:p>
      <w:pPr>
        <w:spacing w:after="60"/>
        <w:ind w:left="510" w:hanging="510"/>
      </w:pPr>
      <w:r>
        <w:rPr>
          <w:rFonts w:ascii="Calibri" w:hAnsi="Calibri" w:eastAsia="Calibri"/>
          <w:b/>
          <w:i w:val="0"/>
          <w:color w:val="000000"/>
          <w:sz w:val="22"/>
        </w:rPr>
        <w:t xml:space="preserve">[8]  </w:t>
      </w:r>
      <w:r>
        <w:rPr>
          <w:rFonts w:ascii="Calibri" w:hAnsi="Calibri" w:eastAsia="Calibri"/>
          <w:b w:val="0"/>
          <w:i w:val="0"/>
          <w:color w:val="000000"/>
          <w:sz w:val="22"/>
        </w:rPr>
        <w:t>AI-blad 31: Gevaarlijke stoffen (2025).</w:t>
      </w:r>
    </w:p>
    <w:p>
      <w:pPr>
        <w:spacing w:after="60"/>
        <w:ind w:left="510" w:hanging="510"/>
      </w:pPr>
      <w:r>
        <w:rPr>
          <w:rFonts w:ascii="Calibri" w:hAnsi="Calibri" w:eastAsia="Calibri"/>
          <w:b/>
          <w:i w:val="0"/>
          <w:color w:val="000000"/>
          <w:sz w:val="22"/>
        </w:rPr>
        <w:t xml:space="preserve">[9]  </w:t>
      </w:r>
      <w:r>
        <w:rPr>
          <w:rFonts w:ascii="Calibri" w:hAnsi="Calibri" w:eastAsia="Calibri"/>
          <w:b w:val="0"/>
          <w:i w:val="0"/>
          <w:color w:val="000000"/>
          <w:sz w:val="22"/>
        </w:rPr>
        <w:t>AI-blad 18: Persoonlijke beschermingsmiddelen (2025).</w:t>
      </w:r>
    </w:p>
    <w:p>
      <w:pPr>
        <w:spacing w:after="60"/>
        <w:ind w:left="510" w:hanging="510"/>
      </w:pPr>
      <w:r>
        <w:rPr>
          <w:rFonts w:ascii="Calibri" w:hAnsi="Calibri" w:eastAsia="Calibri"/>
          <w:b/>
          <w:i w:val="0"/>
          <w:color w:val="000000"/>
          <w:sz w:val="22"/>
        </w:rPr>
        <w:t xml:space="preserve">[10]  </w:t>
      </w:r>
      <w:r>
        <w:rPr>
          <w:rFonts w:ascii="Calibri" w:hAnsi="Calibri" w:eastAsia="Calibri"/>
          <w:b w:val="0"/>
          <w:i w:val="0"/>
          <w:color w:val="000000"/>
          <w:sz w:val="22"/>
        </w:rPr>
        <w:t>AI-blad 64: Laboratoria (2025).</w:t>
      </w:r>
    </w:p>
    <w:p>
      <w:pPr>
        <w:spacing w:after="60"/>
        <w:ind w:left="510" w:hanging="510"/>
      </w:pPr>
      <w:r>
        <w:rPr>
          <w:rFonts w:ascii="Calibri" w:hAnsi="Calibri" w:eastAsia="Calibri"/>
          <w:b/>
          <w:i w:val="0"/>
          <w:color w:val="000000"/>
          <w:sz w:val="22"/>
        </w:rPr>
        <w:t xml:space="preserve">[11]  </w:t>
      </w:r>
      <w:r>
        <w:rPr>
          <w:rFonts w:ascii="Calibri" w:hAnsi="Calibri" w:eastAsia="Calibri"/>
          <w:b w:val="0"/>
          <w:i w:val="0"/>
          <w:color w:val="000000"/>
          <w:sz w:val="22"/>
        </w:rPr>
        <w:t>SER-Grenswaarden (wettelijke grenswaarden).</w:t>
      </w:r>
    </w:p>
    <w:p>
      <w:pPr>
        <w:spacing w:after="60"/>
        <w:ind w:left="510" w:hanging="510"/>
      </w:pPr>
      <w:r>
        <w:rPr>
          <w:rFonts w:ascii="Calibri" w:hAnsi="Calibri" w:eastAsia="Calibri"/>
          <w:b/>
          <w:i w:val="0"/>
          <w:color w:val="000000"/>
          <w:sz w:val="22"/>
        </w:rPr>
        <w:t xml:space="preserve">[12]  </w:t>
      </w:r>
      <w:r>
        <w:rPr>
          <w:rFonts w:ascii="Calibri" w:hAnsi="Calibri" w:eastAsia="Calibri"/>
          <w:b w:val="0"/>
          <w:i w:val="0"/>
          <w:color w:val="000000"/>
          <w:sz w:val="22"/>
        </w:rPr>
        <w:t>PGS 6: Publicatiereeks Gevaarlijke Stoffen — opslag en handling.</w:t>
      </w:r>
    </w:p>
    <w:p>
      <w:pPr>
        <w:spacing w:after="60"/>
        <w:ind w:left="510" w:hanging="510"/>
      </w:pPr>
      <w:r>
        <w:rPr>
          <w:rFonts w:ascii="Calibri" w:hAnsi="Calibri" w:eastAsia="Calibri"/>
          <w:b/>
          <w:i w:val="0"/>
          <w:color w:val="000000"/>
          <w:sz w:val="22"/>
        </w:rPr>
        <w:t xml:space="preserve">[13]  </w:t>
      </w:r>
      <w:r>
        <w:rPr>
          <w:rFonts w:ascii="Calibri" w:hAnsi="Calibri" w:eastAsia="Calibri"/>
          <w:b w:val="0"/>
          <w:i w:val="0"/>
          <w:color w:val="000000"/>
          <w:sz w:val="22"/>
        </w:rPr>
        <w:t>PGS 12: Publicatiereeks Gevaarlijke Stoffen — richtlijnen voor gevaarlijke stoffen.</w:t>
      </w:r>
    </w:p>
    <w:p>
      <w:pPr>
        <w:spacing w:after="60"/>
        <w:ind w:left="510" w:hanging="510"/>
      </w:pPr>
      <w:r>
        <w:rPr>
          <w:rFonts w:ascii="Calibri" w:hAnsi="Calibri" w:eastAsia="Calibri"/>
          <w:b/>
          <w:i w:val="0"/>
          <w:color w:val="000000"/>
          <w:sz w:val="22"/>
        </w:rPr>
        <w:t xml:space="preserve">[14]  </w:t>
      </w:r>
      <w:r>
        <w:rPr>
          <w:rFonts w:ascii="Calibri" w:hAnsi="Calibri" w:eastAsia="Calibri"/>
          <w:b w:val="0"/>
          <w:i w:val="0"/>
          <w:color w:val="000000"/>
          <w:sz w:val="22"/>
        </w:rPr>
        <w:t>RIVM / ZZS-richtlijnen voor kwik.</w:t>
      </w:r>
    </w:p>
    <w:p>
      <w:pPr>
        <w:spacing w:after="60"/>
        <w:ind w:left="510" w:hanging="510"/>
      </w:pPr>
      <w:r>
        <w:rPr>
          <w:rFonts w:ascii="Calibri" w:hAnsi="Calibri" w:eastAsia="Calibri"/>
          <w:b/>
          <w:i w:val="0"/>
          <w:color w:val="000000"/>
          <w:sz w:val="22"/>
        </w:rPr>
        <w:t xml:space="preserve">[15]  </w:t>
      </w:r>
      <w:r>
        <w:rPr>
          <w:rFonts w:ascii="Calibri" w:hAnsi="Calibri" w:eastAsia="Calibri"/>
          <w:b w:val="0"/>
          <w:i w:val="0"/>
          <w:color w:val="000000"/>
          <w:sz w:val="22"/>
        </w:rPr>
        <w:t>NOGEPA — Nederlandse brancherichtlijnen offshore.</w:t>
      </w:r>
    </w:p>
    <w:p>
      <w:pPr>
        <w:spacing w:after="60"/>
        <w:ind w:left="510" w:hanging="510"/>
      </w:pPr>
      <w:r>
        <w:rPr>
          <w:rFonts w:ascii="Calibri" w:hAnsi="Calibri" w:eastAsia="Calibri"/>
          <w:b/>
          <w:i w:val="0"/>
          <w:color w:val="000000"/>
          <w:sz w:val="22"/>
        </w:rPr>
        <w:t xml:space="preserve">[16]  </w:t>
      </w:r>
      <w:r>
        <w:rPr>
          <w:rFonts w:ascii="Calibri" w:hAnsi="Calibri" w:eastAsia="Calibri"/>
          <w:b w:val="0"/>
          <w:i w:val="0"/>
          <w:color w:val="000000"/>
          <w:sz w:val="22"/>
        </w:rPr>
        <w:t>KNMT — richtlijnen voor kwik (buiten scope, geraadpleegd ter afbakening).</w:t>
      </w:r>
    </w:p>
    <w:p>
      <w:pPr>
        <w:spacing w:after="60"/>
        <w:ind w:left="510" w:hanging="510"/>
      </w:pPr>
      <w:r>
        <w:rPr>
          <w:rFonts w:ascii="Calibri" w:hAnsi="Calibri" w:eastAsia="Calibri"/>
          <w:b/>
          <w:i w:val="0"/>
          <w:color w:val="000000"/>
          <w:sz w:val="22"/>
        </w:rPr>
        <w:t xml:space="preserve">[17]  </w:t>
      </w:r>
      <w:r>
        <w:rPr>
          <w:rFonts w:ascii="Calibri" w:hAnsi="Calibri" w:eastAsia="Calibri"/>
          <w:b w:val="0"/>
          <w:i w:val="0"/>
          <w:color w:val="000000"/>
          <w:sz w:val="22"/>
        </w:rPr>
        <w:t>Auditdossier 2026-audit-koole-mercury-003057 — HSEQ Compliance Audit Koole procedure 003.057 Safe Handling of Mercury Rev 1, JvG Consultancy, 24-08-2026.</w:t>
      </w:r>
    </w:p>
    <w:p>
      <w:pPr>
        <w:spacing w:after="60"/>
        <w:ind w:left="510" w:hanging="510"/>
      </w:pPr>
      <w:r>
        <w:rPr>
          <w:rFonts w:ascii="Calibri" w:hAnsi="Calibri" w:eastAsia="Calibri"/>
          <w:b/>
          <w:i w:val="0"/>
          <w:color w:val="000000"/>
          <w:sz w:val="22"/>
        </w:rPr>
        <w:t xml:space="preserve">[18]  </w:t>
      </w:r>
      <w:r>
        <w:rPr>
          <w:rFonts w:ascii="Calibri" w:hAnsi="Calibri" w:eastAsia="Calibri"/>
          <w:b w:val="0"/>
          <w:i w:val="0"/>
          <w:color w:val="000000"/>
          <w:sz w:val="22"/>
        </w:rPr>
        <w:t>Arbobesluit artikel 4.1 — risico-inventarisatie en -evaluatie gevaarlijke stoffen.</w:t>
      </w:r>
    </w:p>
    <w:p>
      <w:pPr>
        <w:spacing w:after="60"/>
        <w:ind w:left="510" w:hanging="510"/>
      </w:pPr>
      <w:r>
        <w:rPr>
          <w:rFonts w:ascii="Calibri" w:hAnsi="Calibri" w:eastAsia="Calibri"/>
          <w:b/>
          <w:i w:val="0"/>
          <w:color w:val="000000"/>
          <w:sz w:val="22"/>
        </w:rPr>
        <w:t xml:space="preserve">[19]  </w:t>
      </w:r>
      <w:r>
        <w:rPr>
          <w:rFonts w:ascii="Calibri" w:hAnsi="Calibri" w:eastAsia="Calibri"/>
          <w:b w:val="0"/>
          <w:i w:val="0"/>
          <w:color w:val="000000"/>
          <w:sz w:val="22"/>
        </w:rPr>
        <w:t>Arbobesluit artikel 4.2 — plan van aanpak gevaarlijke stoffen.</w:t>
      </w:r>
    </w:p>
    <w:p>
      <w:pPr>
        <w:spacing w:after="60"/>
        <w:ind w:left="510" w:hanging="510"/>
      </w:pPr>
      <w:r>
        <w:rPr>
          <w:rFonts w:ascii="Calibri" w:hAnsi="Calibri" w:eastAsia="Calibri"/>
          <w:b/>
          <w:i w:val="0"/>
          <w:color w:val="000000"/>
          <w:sz w:val="22"/>
        </w:rPr>
        <w:t xml:space="preserve">[20]  </w:t>
      </w:r>
      <w:r>
        <w:rPr>
          <w:rFonts w:ascii="Calibri" w:hAnsi="Calibri" w:eastAsia="Calibri"/>
          <w:b w:val="0"/>
          <w:i w:val="0"/>
          <w:color w:val="000000"/>
          <w:sz w:val="22"/>
        </w:rPr>
        <w:t>Arbobesluit artikel 4.3 — voorlichting en onderricht werknemers.</w:t>
      </w:r>
    </w:p>
    <w:p>
      <w:pPr>
        <w:spacing w:after="60"/>
        <w:ind w:left="510" w:hanging="510"/>
      </w:pPr>
      <w:r>
        <w:rPr>
          <w:rFonts w:ascii="Calibri" w:hAnsi="Calibri" w:eastAsia="Calibri"/>
          <w:b/>
          <w:i w:val="0"/>
          <w:color w:val="000000"/>
          <w:sz w:val="22"/>
        </w:rPr>
        <w:t xml:space="preserve">[21]  </w:t>
      </w:r>
      <w:r>
        <w:rPr>
          <w:rFonts w:ascii="Calibri" w:hAnsi="Calibri" w:eastAsia="Calibri"/>
          <w:b w:val="0"/>
          <w:i w:val="0"/>
          <w:color w:val="000000"/>
          <w:sz w:val="22"/>
        </w:rPr>
        <w:t>Arbobesluit artikel 4.5 — persoonlijke beschermingsmiddelen.</w:t>
      </w:r>
    </w:p>
    <w:p>
      <w:pPr>
        <w:spacing w:after="60"/>
        <w:ind w:left="510" w:hanging="510"/>
      </w:pPr>
      <w:r>
        <w:rPr>
          <w:rFonts w:ascii="Calibri" w:hAnsi="Calibri" w:eastAsia="Calibri"/>
          <w:b/>
          <w:i w:val="0"/>
          <w:color w:val="000000"/>
          <w:sz w:val="22"/>
        </w:rPr>
        <w:t xml:space="preserve">[22]  </w:t>
      </w:r>
      <w:r>
        <w:rPr>
          <w:rFonts w:ascii="Calibri" w:hAnsi="Calibri" w:eastAsia="Calibri"/>
          <w:b w:val="0"/>
          <w:i w:val="0"/>
          <w:color w:val="000000"/>
          <w:sz w:val="22"/>
        </w:rPr>
        <w:t>Arbobesluit artikel 4.6 — gezondheidsonderzoek werknemers.</w:t>
      </w:r>
    </w:p>
    <w:p>
      <w:pPr>
        <w:spacing w:after="60"/>
        <w:ind w:left="510" w:hanging="510"/>
      </w:pPr>
      <w:r>
        <w:rPr>
          <w:rFonts w:ascii="Calibri" w:hAnsi="Calibri" w:eastAsia="Calibri"/>
          <w:b/>
          <w:i w:val="0"/>
          <w:color w:val="000000"/>
          <w:sz w:val="22"/>
        </w:rPr>
        <w:t xml:space="preserve">[23]  </w:t>
      </w:r>
      <w:r>
        <w:rPr>
          <w:rFonts w:ascii="Calibri" w:hAnsi="Calibri" w:eastAsia="Calibri"/>
          <w:b w:val="0"/>
          <w:i w:val="0"/>
          <w:color w:val="000000"/>
          <w:sz w:val="22"/>
        </w:rPr>
        <w:t>Arbobesluit artikel 4.7 — grenswaarden blootstelling.</w:t>
      </w:r>
    </w:p>
    <w:p>
      <w:pPr>
        <w:spacing w:after="60"/>
        <w:ind w:left="510" w:hanging="510"/>
      </w:pPr>
      <w:r>
        <w:rPr>
          <w:rFonts w:ascii="Calibri" w:hAnsi="Calibri" w:eastAsia="Calibri"/>
          <w:b/>
          <w:i w:val="0"/>
          <w:color w:val="000000"/>
          <w:sz w:val="22"/>
        </w:rPr>
        <w:t xml:space="preserve">[24]  </w:t>
      </w:r>
      <w:r>
        <w:rPr>
          <w:rFonts w:ascii="Calibri" w:hAnsi="Calibri" w:eastAsia="Calibri"/>
          <w:b w:val="0"/>
          <w:i w:val="0"/>
          <w:color w:val="000000"/>
          <w:sz w:val="22"/>
        </w:rPr>
        <w:t>Arbobesluit artikel 4.10 — metingen blootstelling gevaarlijke stoffen.</w:t>
      </w:r>
    </w:p>
    <w:p>
      <w:pPr>
        <w:spacing w:after="60"/>
        <w:ind w:left="510" w:hanging="510"/>
      </w:pPr>
      <w:r>
        <w:rPr>
          <w:rFonts w:ascii="Calibri" w:hAnsi="Calibri" w:eastAsia="Calibri"/>
          <w:b/>
          <w:i w:val="0"/>
          <w:color w:val="000000"/>
          <w:sz w:val="22"/>
        </w:rPr>
        <w:t xml:space="preserve">[25]  </w:t>
      </w:r>
      <w:r>
        <w:rPr>
          <w:rFonts w:ascii="Calibri" w:hAnsi="Calibri" w:eastAsia="Calibri"/>
          <w:b w:val="0"/>
          <w:i w:val="0"/>
          <w:color w:val="000000"/>
          <w:sz w:val="22"/>
        </w:rPr>
        <w:t>Arbobesluit artikel 4.11 — nood- en eerste hulpinformatie (EMVI).</w:t>
      </w:r>
    </w:p>
    <w:p>
      <w:pPr>
        <w:spacing w:after="60"/>
        <w:ind w:left="510" w:hanging="510"/>
      </w:pPr>
      <w:r>
        <w:rPr>
          <w:rFonts w:ascii="Calibri" w:hAnsi="Calibri" w:eastAsia="Calibri"/>
          <w:b/>
          <w:i w:val="0"/>
          <w:color w:val="000000"/>
          <w:sz w:val="22"/>
        </w:rPr>
        <w:t xml:space="preserve">[26]  </w:t>
      </w:r>
      <w:r>
        <w:rPr>
          <w:rFonts w:ascii="Calibri" w:hAnsi="Calibri" w:eastAsia="Calibri"/>
          <w:b w:val="0"/>
          <w:i w:val="0"/>
          <w:color w:val="000000"/>
          <w:sz w:val="22"/>
        </w:rPr>
        <w:t>Arbobesluit artikel 4.12 — veiligheidsinformatiebladen.</w:t>
      </w:r>
    </w:p>
    <w:p>
      <w:pPr>
        <w:spacing w:after="60"/>
        <w:ind w:left="510" w:hanging="510"/>
      </w:pPr>
      <w:r>
        <w:rPr>
          <w:rFonts w:ascii="Calibri" w:hAnsi="Calibri" w:eastAsia="Calibri"/>
          <w:b/>
          <w:i w:val="0"/>
          <w:color w:val="000000"/>
          <w:sz w:val="22"/>
        </w:rPr>
        <w:t xml:space="preserve">[27]  </w:t>
      </w:r>
      <w:r>
        <w:rPr>
          <w:rFonts w:ascii="Calibri" w:hAnsi="Calibri" w:eastAsia="Calibri"/>
          <w:b w:val="0"/>
          <w:i w:val="0"/>
          <w:color w:val="000000"/>
          <w:sz w:val="22"/>
        </w:rPr>
        <w:t>Arbobesluit artikel 4.15 — etikettering, verpakking en opslag.</w:t>
      </w:r>
    </w:p>
    <w:p>
      <w:pPr>
        <w:spacing w:after="60"/>
        <w:ind w:left="510" w:hanging="510"/>
      </w:pPr>
      <w:r>
        <w:rPr>
          <w:rFonts w:ascii="Calibri" w:hAnsi="Calibri" w:eastAsia="Calibri"/>
          <w:b/>
          <w:i w:val="0"/>
          <w:color w:val="000000"/>
          <w:sz w:val="22"/>
        </w:rPr>
        <w:t xml:space="preserve">[28]  </w:t>
      </w:r>
      <w:r>
        <w:rPr>
          <w:rFonts w:ascii="Calibri" w:hAnsi="Calibri" w:eastAsia="Calibri"/>
          <w:b w:val="0"/>
          <w:i w:val="0"/>
          <w:color w:val="000000"/>
          <w:sz w:val="22"/>
        </w:rPr>
        <w:t>Arbobesluit artikel 4.17 — vervoer en afvoer gevaarlijke stoffen.</w:t>
      </w:r>
    </w:p>
    <w:p>
      <w:pPr>
        <w:spacing w:after="60"/>
        <w:ind w:left="510" w:hanging="510"/>
      </w:pPr>
      <w:r>
        <w:rPr>
          <w:rFonts w:ascii="Calibri" w:hAnsi="Calibri" w:eastAsia="Calibri"/>
          <w:b/>
          <w:i w:val="0"/>
          <w:color w:val="000000"/>
          <w:sz w:val="22"/>
        </w:rPr>
        <w:t xml:space="preserve">[29]  </w:t>
      </w:r>
      <w:r>
        <w:rPr>
          <w:rFonts w:ascii="Calibri" w:hAnsi="Calibri" w:eastAsia="Calibri"/>
          <w:b w:val="0"/>
          <w:i w:val="0"/>
          <w:color w:val="000000"/>
          <w:sz w:val="22"/>
        </w:rPr>
        <w:t>EU-Kwikverordening (EU) 2017/852, artikel 5 — voorlichting en etikettering.</w:t>
      </w:r>
    </w:p>
    <w:p>
      <w:pPr>
        <w:spacing w:after="60"/>
        <w:ind w:left="510" w:hanging="510"/>
      </w:pPr>
      <w:r>
        <w:rPr>
          <w:rFonts w:ascii="Calibri" w:hAnsi="Calibri" w:eastAsia="Calibri"/>
          <w:b/>
          <w:i w:val="0"/>
          <w:color w:val="000000"/>
          <w:sz w:val="22"/>
        </w:rPr>
        <w:t xml:space="preserve">[30]  </w:t>
      </w:r>
      <w:r>
        <w:rPr>
          <w:rFonts w:ascii="Calibri" w:hAnsi="Calibri" w:eastAsia="Calibri"/>
          <w:b w:val="0"/>
          <w:i w:val="0"/>
          <w:color w:val="000000"/>
          <w:sz w:val="22"/>
        </w:rPr>
        <w:t>EU-Kwikverordening (EU) 2017/852, artikel 7 — persoonlijke bescherming, opslag en decontaminatie.</w:t>
      </w:r>
    </w:p>
    <w:p>
      <w:pPr>
        <w:spacing w:after="60"/>
        <w:ind w:left="510" w:hanging="510"/>
      </w:pPr>
      <w:r>
        <w:rPr>
          <w:rFonts w:ascii="Calibri" w:hAnsi="Calibri" w:eastAsia="Calibri"/>
          <w:b/>
          <w:i w:val="0"/>
          <w:color w:val="000000"/>
          <w:sz w:val="22"/>
        </w:rPr>
        <w:t xml:space="preserve">[31]  </w:t>
      </w:r>
      <w:r>
        <w:rPr>
          <w:rFonts w:ascii="Calibri" w:hAnsi="Calibri" w:eastAsia="Calibri"/>
          <w:b w:val="0"/>
          <w:i w:val="0"/>
          <w:color w:val="000000"/>
          <w:sz w:val="22"/>
        </w:rPr>
        <w:t>EU-Kwikverordening (EU) 2017/852, artikel 8 — transport en afvoer.</w:t>
      </w:r>
    </w:p>
    <w:p>
      <w:pPr>
        <w:spacing w:after="60"/>
        <w:ind w:left="510" w:hanging="510"/>
      </w:pPr>
      <w:r>
        <w:rPr>
          <w:rFonts w:ascii="Calibri" w:hAnsi="Calibri" w:eastAsia="Calibri"/>
          <w:b/>
          <w:i w:val="0"/>
          <w:color w:val="000000"/>
          <w:sz w:val="22"/>
        </w:rPr>
        <w:t xml:space="preserve">[32]  </w:t>
      </w:r>
      <w:r>
        <w:rPr>
          <w:rFonts w:ascii="Calibri" w:hAnsi="Calibri" w:eastAsia="Calibri"/>
          <w:b w:val="0"/>
          <w:i w:val="0"/>
          <w:color w:val="000000"/>
          <w:sz w:val="22"/>
        </w:rPr>
        <w:t>EU-Kwikverordening (EU) 2017/852, artikel 9 — meting en rapportage.</w:t>
      </w:r>
    </w:p>
    <w:p>
      <w:pPr>
        <w:spacing w:after="60"/>
        <w:ind w:left="510" w:hanging="510"/>
      </w:pPr>
      <w:r>
        <w:rPr>
          <w:rFonts w:ascii="Calibri" w:hAnsi="Calibri" w:eastAsia="Calibri"/>
          <w:b/>
          <w:i w:val="0"/>
          <w:color w:val="000000"/>
          <w:sz w:val="22"/>
        </w:rPr>
        <w:t xml:space="preserve">[33]  </w:t>
      </w:r>
      <w:r>
        <w:rPr>
          <w:rFonts w:ascii="Calibri" w:hAnsi="Calibri" w:eastAsia="Calibri"/>
          <w:b w:val="0"/>
          <w:i w:val="0"/>
          <w:color w:val="000000"/>
          <w:sz w:val="22"/>
        </w:rPr>
        <w:t>REACH Verordening (EG) 1907/2006, artikel 31 — verstrekken veiligheidsinformatieblad.</w:t>
      </w:r>
    </w:p>
    <w:p>
      <w:pPr>
        <w:spacing w:after="60"/>
        <w:ind w:left="510" w:hanging="510"/>
      </w:pPr>
      <w:r>
        <w:rPr>
          <w:rFonts w:ascii="Calibri" w:hAnsi="Calibri" w:eastAsia="Calibri"/>
          <w:b/>
          <w:i w:val="0"/>
          <w:color w:val="000000"/>
          <w:sz w:val="22"/>
        </w:rPr>
        <w:t xml:space="preserve">[34]  </w:t>
      </w:r>
      <w:r>
        <w:rPr>
          <w:rFonts w:ascii="Calibri" w:hAnsi="Calibri" w:eastAsia="Calibri"/>
          <w:b w:val="0"/>
          <w:i w:val="0"/>
          <w:color w:val="000000"/>
          <w:sz w:val="22"/>
        </w:rPr>
        <w:t>CLP Verordening (EG) 1272/2008, artikelen 31 en 33 — etikettering en informatieverstrekking in de leveringsketen.</w:t>
      </w:r>
    </w:p>
    <w:p>
      <w:pPr>
        <w:spacing w:after="160" w:before="160"/>
        <w:jc w:val="left"/>
      </w:pPr>
      <w:r>
        <w:rPr>
          <w:rFonts w:ascii="Calibri" w:hAnsi="Calibri" w:eastAsia="Calibri"/>
          <w:b w:val="0"/>
          <w:i/>
          <w:color w:val="1F2937"/>
          <w:sz w:val="18"/>
        </w:rPr>
        <w:t>Tabel 7.2 — Wettelijke grondslag per procedureonderdeel</w:t>
      </w:r>
    </w:p>
    <w:tbl>
      <w:tblPr>
        <w:tblStyle w:val="TableGrid"/>
        <w:tblW w:type="auto" w:w="0"/>
        <w:jc w:val="center"/>
        <w:tblLook w:firstColumn="1" w:firstRow="1" w:lastColumn="0" w:lastRow="0" w:noHBand="0" w:noVBand="1" w:val="04A0"/>
      </w:tblPr>
      <w:tblGrid>
        <w:gridCol w:w="3173"/>
        <w:gridCol w:w="3173"/>
        <w:gridCol w:w="3173"/>
      </w:tblGrid>
      <w:tr>
        <w:tc>
          <w:tcPr>
            <w:tcW w:type="dxa" w:w="3628"/>
            <w:shd w:val="clear" w:fill="003366"/>
          </w:tcPr>
          <w:p>
            <w:r/>
            <w:r>
              <w:rPr>
                <w:rFonts w:ascii="Calibri" w:hAnsi="Calibri" w:eastAsia="Calibri"/>
                <w:b/>
                <w:i w:val="0"/>
                <w:color w:val="FFFFFF"/>
                <w:sz w:val="18"/>
              </w:rPr>
              <w:t>Procedureonderdeel</w:t>
            </w:r>
          </w:p>
        </w:tc>
        <w:tc>
          <w:tcPr>
            <w:tcW w:type="dxa" w:w="1814"/>
            <w:shd w:val="clear" w:fill="003366"/>
          </w:tcPr>
          <w:p>
            <w:r/>
            <w:r>
              <w:rPr>
                <w:rFonts w:ascii="Calibri" w:hAnsi="Calibri" w:eastAsia="Calibri"/>
                <w:b/>
                <w:i w:val="0"/>
                <w:color w:val="FFFFFF"/>
                <w:sz w:val="18"/>
              </w:rPr>
              <w:t>Paragraaf</w:t>
            </w:r>
          </w:p>
        </w:tc>
        <w:tc>
          <w:tcPr>
            <w:tcW w:type="dxa" w:w="3855"/>
            <w:shd w:val="clear" w:fill="003366"/>
          </w:tcPr>
          <w:p>
            <w:r/>
            <w:r>
              <w:rPr>
                <w:rFonts w:ascii="Calibri" w:hAnsi="Calibri" w:eastAsia="Calibri"/>
                <w:b/>
                <w:i w:val="0"/>
                <w:color w:val="FFFFFF"/>
                <w:sz w:val="18"/>
              </w:rPr>
              <w:t>Wettelijke grondslag</w:t>
            </w:r>
          </w:p>
        </w:tc>
      </w:tr>
      <w:tr>
        <w:tc>
          <w:tcPr>
            <w:tcW w:type="dxa" w:w="3628"/>
          </w:tcPr>
          <w:p>
            <w:r/>
            <w:r>
              <w:rPr>
                <w:rFonts w:ascii="Calibri" w:hAnsi="Calibri" w:eastAsia="Calibri"/>
                <w:b w:val="0"/>
                <w:i w:val="0"/>
                <w:color w:val="000000"/>
                <w:sz w:val="18"/>
              </w:rPr>
              <w:t>RI&amp;E met kwikartikel</w:t>
            </w:r>
          </w:p>
        </w:tc>
        <w:tc>
          <w:tcPr>
            <w:tcW w:type="dxa" w:w="1814"/>
          </w:tcPr>
          <w:p>
            <w:r/>
            <w:r>
              <w:rPr>
                <w:rFonts w:ascii="Calibri" w:hAnsi="Calibri" w:eastAsia="Calibri"/>
                <w:b w:val="0"/>
                <w:i w:val="0"/>
                <w:color w:val="000000"/>
                <w:sz w:val="18"/>
              </w:rPr>
              <w:t>4.1</w:t>
            </w:r>
          </w:p>
        </w:tc>
        <w:tc>
          <w:tcPr>
            <w:tcW w:type="dxa" w:w="3855"/>
          </w:tcPr>
          <w:p>
            <w:r/>
            <w:r>
              <w:rPr>
                <w:rFonts w:ascii="Calibri" w:hAnsi="Calibri" w:eastAsia="Calibri"/>
                <w:b w:val="0"/>
                <w:i w:val="0"/>
                <w:color w:val="000000"/>
                <w:sz w:val="18"/>
              </w:rPr>
              <w:t>Arbobesluit art. 4.1 [18]</w:t>
            </w:r>
          </w:p>
        </w:tc>
      </w:tr>
      <w:tr>
        <w:tc>
          <w:tcPr>
            <w:tcW w:type="dxa" w:w="3628"/>
            <w:shd w:val="clear" w:fill="F8F9FA"/>
          </w:tcPr>
          <w:p>
            <w:r/>
            <w:r>
              <w:rPr>
                <w:rFonts w:ascii="Calibri" w:hAnsi="Calibri" w:eastAsia="Calibri"/>
                <w:b w:val="0"/>
                <w:i w:val="0"/>
                <w:color w:val="000000"/>
                <w:sz w:val="18"/>
              </w:rPr>
              <w:t>Plan van aanpak</w:t>
            </w:r>
          </w:p>
        </w:tc>
        <w:tc>
          <w:tcPr>
            <w:tcW w:type="dxa" w:w="1814"/>
            <w:shd w:val="clear" w:fill="F8F9FA"/>
          </w:tcPr>
          <w:p>
            <w:r/>
            <w:r>
              <w:rPr>
                <w:rFonts w:ascii="Calibri" w:hAnsi="Calibri" w:eastAsia="Calibri"/>
                <w:b w:val="0"/>
                <w:i w:val="0"/>
                <w:color w:val="000000"/>
                <w:sz w:val="18"/>
              </w:rPr>
              <w:t>4.1 / 4.2</w:t>
            </w:r>
          </w:p>
        </w:tc>
        <w:tc>
          <w:tcPr>
            <w:tcW w:type="dxa" w:w="3855"/>
            <w:shd w:val="clear" w:fill="F8F9FA"/>
          </w:tcPr>
          <w:p>
            <w:r/>
            <w:r>
              <w:rPr>
                <w:rFonts w:ascii="Calibri" w:hAnsi="Calibri" w:eastAsia="Calibri"/>
                <w:b w:val="0"/>
                <w:i w:val="0"/>
                <w:color w:val="000000"/>
                <w:sz w:val="18"/>
              </w:rPr>
              <w:t>Arbobesluit art. 4.2 [19]</w:t>
            </w:r>
          </w:p>
        </w:tc>
      </w:tr>
      <w:tr>
        <w:tc>
          <w:tcPr>
            <w:tcW w:type="dxa" w:w="3628"/>
          </w:tcPr>
          <w:p>
            <w:r/>
            <w:r>
              <w:rPr>
                <w:rFonts w:ascii="Calibri" w:hAnsi="Calibri" w:eastAsia="Calibri"/>
                <w:b w:val="0"/>
                <w:i w:val="0"/>
                <w:color w:val="000000"/>
                <w:sz w:val="18"/>
              </w:rPr>
              <w:t>Voorlichting en training</w:t>
            </w:r>
          </w:p>
        </w:tc>
        <w:tc>
          <w:tcPr>
            <w:tcW w:type="dxa" w:w="1814"/>
          </w:tcPr>
          <w:p>
            <w:r/>
            <w:r>
              <w:rPr>
                <w:rFonts w:ascii="Calibri" w:hAnsi="Calibri" w:eastAsia="Calibri"/>
                <w:b w:val="0"/>
                <w:i w:val="0"/>
                <w:color w:val="000000"/>
                <w:sz w:val="18"/>
              </w:rPr>
              <w:t>4.1</w:t>
            </w:r>
          </w:p>
        </w:tc>
        <w:tc>
          <w:tcPr>
            <w:tcW w:type="dxa" w:w="3855"/>
          </w:tcPr>
          <w:p>
            <w:r/>
            <w:r>
              <w:rPr>
                <w:rFonts w:ascii="Calibri" w:hAnsi="Calibri" w:eastAsia="Calibri"/>
                <w:b w:val="0"/>
                <w:i w:val="0"/>
                <w:color w:val="000000"/>
                <w:sz w:val="18"/>
              </w:rPr>
              <w:t>Arbobesluit art. 4.3 [20]; EU 2017/852 art. 5 [29]</w:t>
            </w:r>
          </w:p>
        </w:tc>
      </w:tr>
      <w:tr>
        <w:tc>
          <w:tcPr>
            <w:tcW w:type="dxa" w:w="3628"/>
            <w:shd w:val="clear" w:fill="F8F9FA"/>
          </w:tcPr>
          <w:p>
            <w:r/>
            <w:r>
              <w:rPr>
                <w:rFonts w:ascii="Calibri" w:hAnsi="Calibri" w:eastAsia="Calibri"/>
                <w:b w:val="0"/>
                <w:i w:val="0"/>
                <w:color w:val="000000"/>
                <w:sz w:val="18"/>
              </w:rPr>
              <w:t>PBM-specificatie en beschikbaarstelling</w:t>
            </w:r>
          </w:p>
        </w:tc>
        <w:tc>
          <w:tcPr>
            <w:tcW w:type="dxa" w:w="1814"/>
            <w:shd w:val="clear" w:fill="F8F9FA"/>
          </w:tcPr>
          <w:p>
            <w:r/>
            <w:r>
              <w:rPr>
                <w:rFonts w:ascii="Calibri" w:hAnsi="Calibri" w:eastAsia="Calibri"/>
                <w:b w:val="0"/>
                <w:i w:val="0"/>
                <w:color w:val="000000"/>
                <w:sz w:val="18"/>
              </w:rPr>
              <w:t>4.1</w:t>
            </w:r>
          </w:p>
        </w:tc>
        <w:tc>
          <w:tcPr>
            <w:tcW w:type="dxa" w:w="3855"/>
            <w:shd w:val="clear" w:fill="F8F9FA"/>
          </w:tcPr>
          <w:p>
            <w:r/>
            <w:r>
              <w:rPr>
                <w:rFonts w:ascii="Calibri" w:hAnsi="Calibri" w:eastAsia="Calibri"/>
                <w:b w:val="0"/>
                <w:i w:val="0"/>
                <w:color w:val="000000"/>
                <w:sz w:val="18"/>
              </w:rPr>
              <w:t>Arbobesluit art. 4.5 [21]; EU 2017/852 art. 7 [30]</w:t>
            </w:r>
          </w:p>
        </w:tc>
      </w:tr>
      <w:tr>
        <w:tc>
          <w:tcPr>
            <w:tcW w:type="dxa" w:w="3628"/>
          </w:tcPr>
          <w:p>
            <w:r/>
            <w:r>
              <w:rPr>
                <w:rFonts w:ascii="Calibri" w:hAnsi="Calibri" w:eastAsia="Calibri"/>
                <w:b w:val="0"/>
                <w:i w:val="0"/>
                <w:color w:val="000000"/>
                <w:sz w:val="18"/>
              </w:rPr>
              <w:t>Medische surveillance</w:t>
            </w:r>
          </w:p>
        </w:tc>
        <w:tc>
          <w:tcPr>
            <w:tcW w:type="dxa" w:w="1814"/>
          </w:tcPr>
          <w:p>
            <w:r/>
            <w:r>
              <w:rPr>
                <w:rFonts w:ascii="Calibri" w:hAnsi="Calibri" w:eastAsia="Calibri"/>
                <w:b w:val="0"/>
                <w:i w:val="0"/>
                <w:color w:val="000000"/>
                <w:sz w:val="18"/>
              </w:rPr>
              <w:t>6.3</w:t>
            </w:r>
          </w:p>
        </w:tc>
        <w:tc>
          <w:tcPr>
            <w:tcW w:type="dxa" w:w="3855"/>
          </w:tcPr>
          <w:p>
            <w:r/>
            <w:r>
              <w:rPr>
                <w:rFonts w:ascii="Calibri" w:hAnsi="Calibri" w:eastAsia="Calibri"/>
                <w:b w:val="0"/>
                <w:i w:val="0"/>
                <w:color w:val="000000"/>
                <w:sz w:val="18"/>
              </w:rPr>
              <w:t>Arbobesluit art. 4.6 [22]</w:t>
            </w:r>
          </w:p>
        </w:tc>
      </w:tr>
      <w:tr>
        <w:tc>
          <w:tcPr>
            <w:tcW w:type="dxa" w:w="3628"/>
            <w:shd w:val="clear" w:fill="F8F9FA"/>
          </w:tcPr>
          <w:p>
            <w:r/>
            <w:r>
              <w:rPr>
                <w:rFonts w:ascii="Calibri" w:hAnsi="Calibri" w:eastAsia="Calibri"/>
                <w:b w:val="0"/>
                <w:i w:val="0"/>
                <w:color w:val="000000"/>
                <w:sz w:val="18"/>
              </w:rPr>
              <w:t>Grenswaarden TWA/STEL</w:t>
            </w:r>
          </w:p>
        </w:tc>
        <w:tc>
          <w:tcPr>
            <w:tcW w:type="dxa" w:w="1814"/>
            <w:shd w:val="clear" w:fill="F8F9FA"/>
          </w:tcPr>
          <w:p>
            <w:r/>
            <w:r>
              <w:rPr>
                <w:rFonts w:ascii="Calibri" w:hAnsi="Calibri" w:eastAsia="Calibri"/>
                <w:b w:val="0"/>
                <w:i w:val="0"/>
                <w:color w:val="000000"/>
                <w:sz w:val="18"/>
              </w:rPr>
              <w:t>4.1</w:t>
            </w:r>
          </w:p>
        </w:tc>
        <w:tc>
          <w:tcPr>
            <w:tcW w:type="dxa" w:w="3855"/>
            <w:shd w:val="clear" w:fill="F8F9FA"/>
          </w:tcPr>
          <w:p>
            <w:r/>
            <w:r>
              <w:rPr>
                <w:rFonts w:ascii="Calibri" w:hAnsi="Calibri" w:eastAsia="Calibri"/>
                <w:b w:val="0"/>
                <w:i w:val="0"/>
                <w:color w:val="000000"/>
                <w:sz w:val="18"/>
              </w:rPr>
              <w:t>Arbobesluit art. 4.7 [23]; SER [11]</w:t>
            </w:r>
          </w:p>
        </w:tc>
      </w:tr>
      <w:tr>
        <w:tc>
          <w:tcPr>
            <w:tcW w:type="dxa" w:w="3628"/>
          </w:tcPr>
          <w:p>
            <w:r/>
            <w:r>
              <w:rPr>
                <w:rFonts w:ascii="Calibri" w:hAnsi="Calibri" w:eastAsia="Calibri"/>
                <w:b w:val="0"/>
                <w:i w:val="0"/>
                <w:color w:val="000000"/>
                <w:sz w:val="18"/>
              </w:rPr>
              <w:t>Luchtmeetprotocol</w:t>
            </w:r>
          </w:p>
        </w:tc>
        <w:tc>
          <w:tcPr>
            <w:tcW w:type="dxa" w:w="1814"/>
          </w:tcPr>
          <w:p>
            <w:r/>
            <w:r>
              <w:rPr>
                <w:rFonts w:ascii="Calibri" w:hAnsi="Calibri" w:eastAsia="Calibri"/>
                <w:b w:val="0"/>
                <w:i w:val="0"/>
                <w:color w:val="000000"/>
                <w:sz w:val="18"/>
              </w:rPr>
              <w:t>4.2 / 4.3 / 4.4</w:t>
            </w:r>
          </w:p>
        </w:tc>
        <w:tc>
          <w:tcPr>
            <w:tcW w:type="dxa" w:w="3855"/>
          </w:tcPr>
          <w:p>
            <w:r/>
            <w:r>
              <w:rPr>
                <w:rFonts w:ascii="Calibri" w:hAnsi="Calibri" w:eastAsia="Calibri"/>
                <w:b w:val="0"/>
                <w:i w:val="0"/>
                <w:color w:val="000000"/>
                <w:sz w:val="18"/>
              </w:rPr>
              <w:t>Arbobesluit art. 4.10 [24]; EU 2017/852 art. 9 [32]</w:t>
            </w:r>
          </w:p>
        </w:tc>
      </w:tr>
      <w:tr>
        <w:tc>
          <w:tcPr>
            <w:tcW w:type="dxa" w:w="3628"/>
            <w:shd w:val="clear" w:fill="F8F9FA"/>
          </w:tcPr>
          <w:p>
            <w:r/>
            <w:r>
              <w:rPr>
                <w:rFonts w:ascii="Calibri" w:hAnsi="Calibri" w:eastAsia="Calibri"/>
                <w:b w:val="0"/>
                <w:i w:val="0"/>
                <w:color w:val="000000"/>
                <w:sz w:val="18"/>
              </w:rPr>
              <w:t>Nood- en eerste hulpinformatie</w:t>
            </w:r>
          </w:p>
        </w:tc>
        <w:tc>
          <w:tcPr>
            <w:tcW w:type="dxa" w:w="1814"/>
            <w:shd w:val="clear" w:fill="F8F9FA"/>
          </w:tcPr>
          <w:p>
            <w:r/>
            <w:r>
              <w:rPr>
                <w:rFonts w:ascii="Calibri" w:hAnsi="Calibri" w:eastAsia="Calibri"/>
                <w:b w:val="0"/>
                <w:i w:val="0"/>
                <w:color w:val="000000"/>
                <w:sz w:val="18"/>
              </w:rPr>
              <w:t>4.8 / 6.1</w:t>
            </w:r>
          </w:p>
        </w:tc>
        <w:tc>
          <w:tcPr>
            <w:tcW w:type="dxa" w:w="3855"/>
            <w:shd w:val="clear" w:fill="F8F9FA"/>
          </w:tcPr>
          <w:p>
            <w:r/>
            <w:r>
              <w:rPr>
                <w:rFonts w:ascii="Calibri" w:hAnsi="Calibri" w:eastAsia="Calibri"/>
                <w:b w:val="0"/>
                <w:i w:val="0"/>
                <w:color w:val="000000"/>
                <w:sz w:val="18"/>
              </w:rPr>
              <w:t>Arbobesluit art. 4.11 [25]</w:t>
            </w:r>
          </w:p>
        </w:tc>
      </w:tr>
      <w:tr>
        <w:tc>
          <w:tcPr>
            <w:tcW w:type="dxa" w:w="3628"/>
          </w:tcPr>
          <w:p>
            <w:r/>
            <w:r>
              <w:rPr>
                <w:rFonts w:ascii="Calibri" w:hAnsi="Calibri" w:eastAsia="Calibri"/>
                <w:b w:val="0"/>
                <w:i w:val="0"/>
                <w:color w:val="000000"/>
                <w:sz w:val="18"/>
              </w:rPr>
              <w:t>Veiligheidsinformatiebladen</w:t>
            </w:r>
          </w:p>
        </w:tc>
        <w:tc>
          <w:tcPr>
            <w:tcW w:type="dxa" w:w="1814"/>
          </w:tcPr>
          <w:p>
            <w:r/>
            <w:r>
              <w:rPr>
                <w:rFonts w:ascii="Calibri" w:hAnsi="Calibri" w:eastAsia="Calibri"/>
                <w:b w:val="0"/>
                <w:i w:val="0"/>
                <w:color w:val="000000"/>
                <w:sz w:val="18"/>
              </w:rPr>
              <w:t>4.1</w:t>
            </w:r>
          </w:p>
        </w:tc>
        <w:tc>
          <w:tcPr>
            <w:tcW w:type="dxa" w:w="3855"/>
          </w:tcPr>
          <w:p>
            <w:r/>
            <w:r>
              <w:rPr>
                <w:rFonts w:ascii="Calibri" w:hAnsi="Calibri" w:eastAsia="Calibri"/>
                <w:b w:val="0"/>
                <w:i w:val="0"/>
                <w:color w:val="000000"/>
                <w:sz w:val="18"/>
              </w:rPr>
              <w:t>Arbobesluit art. 4.12 [26]; REACH art. 31 [33]</w:t>
            </w:r>
          </w:p>
        </w:tc>
      </w:tr>
      <w:tr>
        <w:tc>
          <w:tcPr>
            <w:tcW w:type="dxa" w:w="3628"/>
            <w:shd w:val="clear" w:fill="F8F9FA"/>
          </w:tcPr>
          <w:p>
            <w:r/>
            <w:r>
              <w:rPr>
                <w:rFonts w:ascii="Calibri" w:hAnsi="Calibri" w:eastAsia="Calibri"/>
                <w:b w:val="0"/>
                <w:i w:val="0"/>
                <w:color w:val="000000"/>
                <w:sz w:val="18"/>
              </w:rPr>
              <w:t>Etikettering en opslag</w:t>
            </w:r>
          </w:p>
        </w:tc>
        <w:tc>
          <w:tcPr>
            <w:tcW w:type="dxa" w:w="1814"/>
            <w:shd w:val="clear" w:fill="F8F9FA"/>
          </w:tcPr>
          <w:p>
            <w:r/>
            <w:r>
              <w:rPr>
                <w:rFonts w:ascii="Calibri" w:hAnsi="Calibri" w:eastAsia="Calibri"/>
                <w:b w:val="0"/>
                <w:i w:val="0"/>
                <w:color w:val="000000"/>
                <w:sz w:val="18"/>
              </w:rPr>
              <w:t>4.1 / 4.5</w:t>
            </w:r>
          </w:p>
        </w:tc>
        <w:tc>
          <w:tcPr>
            <w:tcW w:type="dxa" w:w="3855"/>
            <w:shd w:val="clear" w:fill="F8F9FA"/>
          </w:tcPr>
          <w:p>
            <w:r/>
            <w:r>
              <w:rPr>
                <w:rFonts w:ascii="Calibri" w:hAnsi="Calibri" w:eastAsia="Calibri"/>
                <w:b w:val="0"/>
                <w:i w:val="0"/>
                <w:color w:val="000000"/>
                <w:sz w:val="18"/>
              </w:rPr>
              <w:t>Arbobesluit art. 4.15 [27]; CLP art. 31/33 [34]; PGS 6/12 [12][13]</w:t>
            </w:r>
          </w:p>
        </w:tc>
      </w:tr>
      <w:tr>
        <w:tc>
          <w:tcPr>
            <w:tcW w:type="dxa" w:w="3628"/>
          </w:tcPr>
          <w:p>
            <w:r/>
            <w:r>
              <w:rPr>
                <w:rFonts w:ascii="Calibri" w:hAnsi="Calibri" w:eastAsia="Calibri"/>
                <w:b w:val="0"/>
                <w:i w:val="0"/>
                <w:color w:val="000000"/>
                <w:sz w:val="18"/>
              </w:rPr>
              <w:t>Transport en afvoer</w:t>
            </w:r>
          </w:p>
        </w:tc>
        <w:tc>
          <w:tcPr>
            <w:tcW w:type="dxa" w:w="1814"/>
          </w:tcPr>
          <w:p>
            <w:r/>
            <w:r>
              <w:rPr>
                <w:rFonts w:ascii="Calibri" w:hAnsi="Calibri" w:eastAsia="Calibri"/>
                <w:b w:val="0"/>
                <w:i w:val="0"/>
                <w:color w:val="000000"/>
                <w:sz w:val="18"/>
              </w:rPr>
              <w:t>4.6 / 4.7</w:t>
            </w:r>
          </w:p>
        </w:tc>
        <w:tc>
          <w:tcPr>
            <w:tcW w:type="dxa" w:w="3855"/>
          </w:tcPr>
          <w:p>
            <w:r/>
            <w:r>
              <w:rPr>
                <w:rFonts w:ascii="Calibri" w:hAnsi="Calibri" w:eastAsia="Calibri"/>
                <w:b w:val="0"/>
                <w:i w:val="0"/>
                <w:color w:val="000000"/>
                <w:sz w:val="18"/>
              </w:rPr>
              <w:t>Arbobesluit art. 4.17 [28]; EU 2017/852 art. 8 [31]; Bal [5]</w:t>
            </w:r>
          </w:p>
        </w:tc>
      </w:tr>
    </w:tbl>
    <w:p>
      <w:pPr>
        <w:spacing w:after="40"/>
      </w:pPr>
    </w:p>
    <w:p>
      <w:pPr>
        <w:pStyle w:val="Heading2"/>
        <w:keepNext/>
        <w:spacing w:before="200" w:after="160"/>
      </w:pPr>
      <w:r>
        <w:rPr>
          <w:rFonts w:ascii="Calibri" w:hAnsi="Calibri" w:eastAsia="Calibri"/>
          <w:b/>
          <w:i w:val="0"/>
          <w:color w:val="003366"/>
          <w:sz w:val="26"/>
        </w:rPr>
        <w:t>7.4 Versiebeheer en Periodieke Evaluatie</w:t>
      </w:r>
    </w:p>
    <w:p>
      <w:pPr>
        <w:spacing w:after="160" w:before="0"/>
        <w:jc w:val="both"/>
      </w:pPr>
      <w:r>
        <w:rPr>
          <w:rFonts w:ascii="Calibri" w:hAnsi="Calibri" w:eastAsia="Calibri"/>
          <w:b w:val="0"/>
          <w:i w:val="0"/>
          <w:color w:val="000000"/>
          <w:sz w:val="22"/>
        </w:rPr>
        <w:t>Deze procedure heeft versienummer 1.0 en wordt beheerd door de HSEQ Officer. Wijzigingen worden vastgelegd in een versiehistorie en opnieuw goedgekeurd door de Director of Operations. Conform de aanbevelingen uit de compliance audit geldt een halfjaarlijkse periodieke audit op de conformiteit van uitvoering, certificaten, metingen en registraties [audit §5.2]. Daarnaast is een feedbackmechanisme ingericht waarmel het uitvoerend personeel praktische verbeterpunten kan aanmelden; deze worden bij de eerstvolgende evaluatie beoordeeld en verwerkt [audit §5.2]. Na het beschikbaar komen van de originele brondocumentatie (procedure 003.057 van de uitvoerende aannemer) en de Tier 3-bronnen (AI-bladen 2025, PGS 6/12, NOGEPA) wordt deze procedure opnieuw getoetst en zo nodig aangevuld [audit §5.2]. Vragen over de toepassing van deze procedure worden gericht aan de HSEQ Officer als beheerder van dit document.</w:t>
      </w:r>
    </w:p>
    <w:p>
      <w:pPr>
        <w:spacing w:after="160" w:before="0"/>
        <w:jc w:val="both"/>
      </w:pPr>
      <w:r>
        <w:rPr>
          <w:rFonts w:ascii="Calibri" w:hAnsi="Calibri" w:eastAsia="Calibri"/>
          <w:b w:val="0"/>
          <w:i w:val="0"/>
          <w:color w:val="000000"/>
          <w:sz w:val="22"/>
        </w:rPr>
        <w:t>Gebruik van deze procedure door derden is uitsluitend toegestaan na schriftelijke toestemming van JvG Consultancy. De procedure weerspiegelt de kennisstatus per de datum op de titelpagina; bij wijzigende wetgeving of nieuwe auditbevindingen wordt een nieuwe versie uitgegeven conform paragraaf 7.4.</w:t>
      </w:r>
    </w:p>
    <w:p>
      <w:pPr>
        <w:spacing w:after="160" w:before="360"/>
        <w:jc w:val="center"/>
      </w:pPr>
      <w:r>
        <w:rPr>
          <w:rFonts w:ascii="Calibri" w:hAnsi="Calibri" w:eastAsia="Calibri"/>
          <w:b/>
          <w:i w:val="0"/>
          <w:color w:val="003366"/>
          <w:sz w:val="22"/>
        </w:rPr>
        <w:t>EINDE VAN DE PROCEDURE</w:t>
      </w:r>
    </w:p>
    <w:sectPr w:rsidR="00FC693F" w:rsidRPr="0006063C" w:rsidSect="00034616">
      <w:headerReference w:type="default" r:id="rId9"/>
      <w:footerReference w:type="default" r:id="rId10"/>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1F2937"/>
        <w:sz w:val="16"/>
      </w:rPr>
      <w:t xml:space="preserve">JvG Consultancy — HSEQ Divisie  |  JvG-HSEQ-PRO-003057 v1.0  |  Safe Handling of Mercury  |  Pagina </w:t>
    </w:r>
    <w:r>
      <w:rPr>
        <w:rFonts w:ascii="Calibri" w:hAnsi="Calibri" w:eastAsia="Calibri"/>
        <w:b w:val="0"/>
        <w:i w:val="0"/>
        <w:color w:val="1F2937"/>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