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Calibri" w:hAnsi="Calibri"/>
          <w:b/>
          <w:i w:val="0"/>
          <w:color w:val="1F2937"/>
          <w:sz w:val="28"/>
        </w:rPr>
        <w:t>JvG Consultancy</w:t>
      </w:r>
    </w:p>
    <w:p>
      <w:pPr>
        <w:spacing w:after="360"/>
        <w:jc w:val="center"/>
      </w:pPr>
      <w:r>
        <w:rPr>
          <w:rFonts w:ascii="Calibri" w:hAnsi="Calibri"/>
          <w:b w:val="0"/>
          <w:i/>
          <w:color w:val="1F2937"/>
          <w:sz w:val="22"/>
        </w:rPr>
        <w:t>Safety • Governance • Advisory — Divisie HSEQ &amp; Support</w:t>
      </w:r>
    </w:p>
    <w:p>
      <w:pPr>
        <w:spacing w:after="360"/>
        <w:jc w:val="center"/>
      </w:pPr>
      <w:r>
        <w:drawing>
          <wp:inline xmlns:a="http://schemas.openxmlformats.org/drawingml/2006/main" xmlns:pic="http://schemas.openxmlformats.org/drawingml/2006/picture">
            <wp:extent cx="1584000" cy="1422000"/>
            <wp:docPr id="1" name="Picture 1"/>
            <wp:cNvGraphicFramePr>
              <a:graphicFrameLocks noChangeAspect="1"/>
            </wp:cNvGraphicFramePr>
            <a:graphic>
              <a:graphicData uri="http://schemas.openxmlformats.org/drawingml/2006/picture">
                <pic:pic>
                  <pic:nvPicPr>
                    <pic:cNvPr id="0" name="jvg-consultancy-logo.png"/>
                    <pic:cNvPicPr/>
                  </pic:nvPicPr>
                  <pic:blipFill>
                    <a:blip r:embed="rId11"/>
                    <a:stretch>
                      <a:fillRect/>
                    </a:stretch>
                  </pic:blipFill>
                  <pic:spPr>
                    <a:xfrm>
                      <a:off x="0" y="0"/>
                      <a:ext cx="1584000" cy="1422000"/>
                    </a:xfrm>
                    <a:prstGeom prst="rect"/>
                  </pic:spPr>
                </pic:pic>
              </a:graphicData>
            </a:graphic>
          </wp:inline>
        </w:drawing>
      </w:r>
    </w:p>
    <w:p>
      <w:pPr>
        <w:spacing w:after="120"/>
        <w:jc w:val="center"/>
      </w:pPr>
      <w:r>
        <w:rPr>
          <w:rFonts w:ascii="Calibri" w:hAnsi="Calibri"/>
          <w:b/>
          <w:i w:val="0"/>
          <w:color w:val="1F2937"/>
          <w:sz w:val="26"/>
        </w:rPr>
        <w:t>BELEIDSDOCUMENT</w:t>
      </w:r>
    </w:p>
    <w:p>
      <w:pPr>
        <w:spacing w:after="120"/>
        <w:jc w:val="center"/>
      </w:pPr>
      <w:r>
        <w:rPr>
          <w:rFonts w:ascii="Calibri" w:hAnsi="Calibri"/>
          <w:b/>
          <w:i w:val="0"/>
          <w:color w:val="1F2937"/>
          <w:sz w:val="52"/>
        </w:rPr>
        <w:t>Veilig Omgaan met Kwik bij Offshore Decommissioning</w:t>
      </w:r>
    </w:p>
    <w:p>
      <w:pPr>
        <w:spacing w:after="480"/>
        <w:jc w:val="center"/>
      </w:pPr>
      <w:r>
        <w:rPr>
          <w:rFonts w:ascii="Calibri" w:hAnsi="Calibri"/>
          <w:b w:val="0"/>
          <w:i/>
          <w:color w:val="1F2937"/>
          <w:sz w:val="26"/>
        </w:rPr>
        <w:t>Kwikbeheersing bij small piece removal op offshore platforms in de Nederlandse Noordzee</w:t>
      </w:r>
    </w:p>
    <w:tbl>
      <w:tblPr>
        <w:tblStyle w:val="TableGrid"/>
        <w:tblW w:type="auto" w:w="0"/>
        <w:jc w:val="center"/>
        <w:tblLook w:firstColumn="1" w:firstRow="1" w:lastColumn="0" w:lastRow="0" w:noHBand="0" w:noVBand="1" w:val="04A0"/>
      </w:tblPr>
      <w:tblGrid>
        <w:gridCol w:w="4536"/>
        <w:gridCol w:w="4536"/>
      </w:tblGrid>
      <w:tr>
        <w:tc>
          <w:tcPr>
            <w:tcW w:type="dxa" w:w="3118"/>
            <w:shd w:val="clear" w:fill="003366"/>
          </w:tcPr>
          <w:p>
            <w:r/>
            <w:r>
              <w:rPr>
                <w:rFonts w:ascii="Calibri" w:hAnsi="Calibri"/>
                <w:b/>
                <w:color w:val="FFFFFF"/>
                <w:sz w:val="20"/>
              </w:rPr>
              <w:t>Projectkenmerk</w:t>
            </w:r>
          </w:p>
        </w:tc>
        <w:tc>
          <w:tcPr>
            <w:tcW w:type="dxa" w:w="5669"/>
            <w:shd w:val="clear" w:fill="003366"/>
          </w:tcPr>
          <w:p>
            <w:r/>
            <w:r>
              <w:rPr>
                <w:rFonts w:ascii="Calibri" w:hAnsi="Calibri"/>
                <w:b/>
                <w:color w:val="FFFFFF"/>
                <w:sz w:val="20"/>
              </w:rPr>
              <w:t>Waarde</w:t>
            </w:r>
          </w:p>
        </w:tc>
      </w:tr>
      <w:tr>
        <w:tc>
          <w:tcPr>
            <w:tcW w:type="dxa" w:w="3118"/>
          </w:tcPr>
          <w:p>
            <w:r/>
            <w:r>
              <w:rPr>
                <w:rFonts w:ascii="Calibri" w:hAnsi="Calibri"/>
                <w:color w:val="1F2937"/>
                <w:sz w:val="20"/>
              </w:rPr>
              <w:t>Projectcode</w:t>
            </w:r>
          </w:p>
        </w:tc>
        <w:tc>
          <w:tcPr>
            <w:tcW w:type="dxa" w:w="5669"/>
          </w:tcPr>
          <w:p>
            <w:r/>
            <w:r>
              <w:rPr>
                <w:rFonts w:ascii="Calibri" w:hAnsi="Calibri"/>
                <w:color w:val="1F2937"/>
                <w:sz w:val="20"/>
              </w:rPr>
              <w:t>2026-audit-koole-mercury-003057</w:t>
            </w:r>
          </w:p>
        </w:tc>
      </w:tr>
      <w:tr>
        <w:tc>
          <w:tcPr>
            <w:tcW w:type="dxa" w:w="3118"/>
            <w:shd w:val="clear" w:fill="F8F9FA"/>
          </w:tcPr>
          <w:p>
            <w:r/>
            <w:r>
              <w:rPr>
                <w:rFonts w:ascii="Calibri" w:hAnsi="Calibri"/>
                <w:color w:val="1F2937"/>
                <w:sz w:val="20"/>
              </w:rPr>
              <w:t>Documenttype</w:t>
            </w:r>
          </w:p>
        </w:tc>
        <w:tc>
          <w:tcPr>
            <w:tcW w:type="dxa" w:w="5669"/>
            <w:shd w:val="clear" w:fill="F8F9FA"/>
          </w:tcPr>
          <w:p>
            <w:r/>
            <w:r>
              <w:rPr>
                <w:rFonts w:ascii="Calibri" w:hAnsi="Calibri"/>
                <w:color w:val="1F2937"/>
                <w:sz w:val="20"/>
              </w:rPr>
              <w:t>Beleidsdocument (compliance)</w:t>
            </w:r>
          </w:p>
        </w:tc>
      </w:tr>
      <w:tr>
        <w:tc>
          <w:tcPr>
            <w:tcW w:type="dxa" w:w="3118"/>
          </w:tcPr>
          <w:p>
            <w:r/>
            <w:r>
              <w:rPr>
                <w:rFonts w:ascii="Calibri" w:hAnsi="Calibri"/>
                <w:color w:val="1F2937"/>
                <w:sz w:val="20"/>
              </w:rPr>
              <w:t>Opdrachtgever (asset)</w:t>
            </w:r>
          </w:p>
        </w:tc>
        <w:tc>
          <w:tcPr>
            <w:tcW w:type="dxa" w:w="5669"/>
          </w:tcPr>
          <w:p>
            <w:r/>
            <w:r>
              <w:rPr>
                <w:rFonts w:ascii="Calibri" w:hAnsi="Calibri"/>
                <w:color w:val="1F2937"/>
                <w:sz w:val="20"/>
              </w:rPr>
              <w:t>Wintershall (offshore olie &amp; gas, Nederland)</w:t>
            </w:r>
          </w:p>
        </w:tc>
      </w:tr>
      <w:tr>
        <w:tc>
          <w:tcPr>
            <w:tcW w:type="dxa" w:w="3118"/>
            <w:shd w:val="clear" w:fill="F8F9FA"/>
          </w:tcPr>
          <w:p>
            <w:r/>
            <w:r>
              <w:rPr>
                <w:rFonts w:ascii="Calibri" w:hAnsi="Calibri"/>
                <w:color w:val="1F2937"/>
                <w:sz w:val="20"/>
              </w:rPr>
              <w:t>Uitvoerende aannemer</w:t>
            </w:r>
          </w:p>
        </w:tc>
        <w:tc>
          <w:tcPr>
            <w:tcW w:type="dxa" w:w="5669"/>
            <w:shd w:val="clear" w:fill="F8F9FA"/>
          </w:tcPr>
          <w:p>
            <w:r/>
            <w:r>
              <w:rPr>
                <w:rFonts w:ascii="Calibri" w:hAnsi="Calibri"/>
                <w:color w:val="1F2937"/>
                <w:sz w:val="20"/>
              </w:rPr>
              <w:t>Koole</w:t>
            </w:r>
          </w:p>
        </w:tc>
      </w:tr>
      <w:tr>
        <w:tc>
          <w:tcPr>
            <w:tcW w:type="dxa" w:w="3118"/>
          </w:tcPr>
          <w:p>
            <w:r/>
            <w:r>
              <w:rPr>
                <w:rFonts w:ascii="Calibri" w:hAnsi="Calibri"/>
                <w:color w:val="1F2937"/>
                <w:sz w:val="20"/>
              </w:rPr>
              <w:t>Referentieprocedure</w:t>
            </w:r>
          </w:p>
        </w:tc>
        <w:tc>
          <w:tcPr>
            <w:tcW w:type="dxa" w:w="5669"/>
          </w:tcPr>
          <w:p>
            <w:r/>
            <w:r>
              <w:rPr>
                <w:rFonts w:ascii="Calibri" w:hAnsi="Calibri"/>
                <w:color w:val="1F2937"/>
                <w:sz w:val="20"/>
              </w:rPr>
              <w:t>Koole procedure 003.057 “Safe Handling of Mercury” Rev 1 [32]</w:t>
            </w:r>
          </w:p>
        </w:tc>
      </w:tr>
      <w:tr>
        <w:tc>
          <w:tcPr>
            <w:tcW w:type="dxa" w:w="3118"/>
            <w:shd w:val="clear" w:fill="F8F9FA"/>
          </w:tcPr>
          <w:p>
            <w:r/>
            <w:r>
              <w:rPr>
                <w:rFonts w:ascii="Calibri" w:hAnsi="Calibri"/>
                <w:color w:val="1F2937"/>
                <w:sz w:val="20"/>
              </w:rPr>
              <w:t>Toetsingskader</w:t>
            </w:r>
          </w:p>
        </w:tc>
        <w:tc>
          <w:tcPr>
            <w:tcW w:type="dxa" w:w="5669"/>
            <w:shd w:val="clear" w:fill="F8F9FA"/>
          </w:tcPr>
          <w:p>
            <w:r/>
            <w:r>
              <w:rPr>
                <w:rFonts w:ascii="Calibri" w:hAnsi="Calibri"/>
                <w:color w:val="1F2937"/>
                <w:sz w:val="20"/>
              </w:rPr>
              <w:t>Arbowet, Arbobesluit H4, EU 2017/852, REACH, CLP, Bal [1][2][13][20][21][19]</w:t>
            </w:r>
          </w:p>
        </w:tc>
      </w:tr>
      <w:tr>
        <w:tc>
          <w:tcPr>
            <w:tcW w:type="dxa" w:w="3118"/>
          </w:tcPr>
          <w:p>
            <w:r/>
            <w:r>
              <w:rPr>
                <w:rFonts w:ascii="Calibri" w:hAnsi="Calibri"/>
                <w:color w:val="1F2937"/>
                <w:sz w:val="20"/>
              </w:rPr>
              <w:t>Status</w:t>
            </w:r>
          </w:p>
        </w:tc>
        <w:tc>
          <w:tcPr>
            <w:tcW w:type="dxa" w:w="5669"/>
          </w:tcPr>
          <w:p>
            <w:r/>
            <w:r>
              <w:rPr>
                <w:rFonts w:ascii="Calibri" w:hAnsi="Calibri"/>
                <w:color w:val="1F2937"/>
                <w:sz w:val="20"/>
              </w:rPr>
              <w:t>Final</w:t>
            </w:r>
          </w:p>
        </w:tc>
      </w:tr>
    </w:tbl>
    <w:p>
      <w:pPr>
        <w:spacing w:after="40"/>
      </w:pPr>
    </w:p>
    <w:p/>
    <w:tbl>
      <w:tblPr>
        <w:tblStyle w:val="TableGrid"/>
        <w:tblW w:type="auto" w:w="0"/>
        <w:jc w:val="center"/>
        <w:tblLook w:firstColumn="1" w:firstRow="1" w:lastColumn="0" w:lastRow="0" w:noHBand="0" w:noVBand="1" w:val="04A0"/>
      </w:tblPr>
      <w:tblGrid>
        <w:gridCol w:w="1814"/>
        <w:gridCol w:w="1814"/>
        <w:gridCol w:w="1814"/>
        <w:gridCol w:w="1814"/>
        <w:gridCol w:w="1814"/>
      </w:tblGrid>
      <w:tr>
        <w:tc>
          <w:tcPr>
            <w:tcW w:type="dxa" w:w="1020"/>
            <w:shd w:val="clear" w:fill="003366"/>
          </w:tcPr>
          <w:p>
            <w:r/>
            <w:r>
              <w:rPr>
                <w:rFonts w:ascii="Calibri" w:hAnsi="Calibri"/>
                <w:b/>
                <w:color w:val="FFFFFF"/>
                <w:sz w:val="20"/>
              </w:rPr>
              <w:t>Versie</w:t>
            </w:r>
          </w:p>
        </w:tc>
        <w:tc>
          <w:tcPr>
            <w:tcW w:type="dxa" w:w="1474"/>
            <w:shd w:val="clear" w:fill="003366"/>
          </w:tcPr>
          <w:p>
            <w:r/>
            <w:r>
              <w:rPr>
                <w:rFonts w:ascii="Calibri" w:hAnsi="Calibri"/>
                <w:b/>
                <w:color w:val="FFFFFF"/>
                <w:sz w:val="20"/>
              </w:rPr>
              <w:t>Datum</w:t>
            </w:r>
          </w:p>
        </w:tc>
        <w:tc>
          <w:tcPr>
            <w:tcW w:type="dxa" w:w="3061"/>
            <w:shd w:val="clear" w:fill="003366"/>
          </w:tcPr>
          <w:p>
            <w:r/>
            <w:r>
              <w:rPr>
                <w:rFonts w:ascii="Calibri" w:hAnsi="Calibri"/>
                <w:b/>
                <w:color w:val="FFFFFF"/>
                <w:sz w:val="20"/>
              </w:rPr>
              <w:t>Auteur</w:t>
            </w:r>
          </w:p>
        </w:tc>
        <w:tc>
          <w:tcPr>
            <w:tcW w:type="dxa" w:w="2098"/>
            <w:shd w:val="clear" w:fill="003366"/>
          </w:tcPr>
          <w:p>
            <w:r/>
            <w:r>
              <w:rPr>
                <w:rFonts w:ascii="Calibri" w:hAnsi="Calibri"/>
                <w:b/>
                <w:color w:val="FFFFFF"/>
                <w:sz w:val="20"/>
              </w:rPr>
              <w:t>Goedkeuring</w:t>
            </w:r>
          </w:p>
        </w:tc>
        <w:tc>
          <w:tcPr>
            <w:tcW w:type="dxa" w:w="1134"/>
            <w:shd w:val="clear" w:fill="003366"/>
          </w:tcPr>
          <w:p>
            <w:r/>
            <w:r>
              <w:rPr>
                <w:rFonts w:ascii="Calibri" w:hAnsi="Calibri"/>
                <w:b/>
                <w:color w:val="FFFFFF"/>
                <w:sz w:val="20"/>
              </w:rPr>
              <w:t>Status</w:t>
            </w:r>
          </w:p>
        </w:tc>
      </w:tr>
      <w:tr>
        <w:tc>
          <w:tcPr>
            <w:tcW w:type="dxa" w:w="1020"/>
          </w:tcPr>
          <w:p>
            <w:r/>
            <w:r>
              <w:rPr>
                <w:rFonts w:ascii="Calibri" w:hAnsi="Calibri"/>
                <w:color w:val="1F2937"/>
                <w:sz w:val="20"/>
              </w:rPr>
              <w:t>1.0</w:t>
            </w:r>
          </w:p>
        </w:tc>
        <w:tc>
          <w:tcPr>
            <w:tcW w:type="dxa" w:w="1474"/>
          </w:tcPr>
          <w:p>
            <w:r/>
            <w:r>
              <w:rPr>
                <w:rFonts w:ascii="Calibri" w:hAnsi="Calibri"/>
                <w:color w:val="1F2937"/>
                <w:sz w:val="20"/>
              </w:rPr>
              <w:t>24-08-2026</w:t>
            </w:r>
          </w:p>
        </w:tc>
        <w:tc>
          <w:tcPr>
            <w:tcW w:type="dxa" w:w="3061"/>
          </w:tcPr>
          <w:p>
            <w:r/>
            <w:r>
              <w:rPr>
                <w:rFonts w:ascii="Calibri" w:hAnsi="Calibri"/>
                <w:color w:val="1F2937"/>
                <w:sz w:val="20"/>
              </w:rPr>
              <w:t>HQ_04 Technical Writer (JvG Consultancy)</w:t>
            </w:r>
          </w:p>
        </w:tc>
        <w:tc>
          <w:tcPr>
            <w:tcW w:type="dxa" w:w="2098"/>
          </w:tcPr>
          <w:p>
            <w:r/>
            <w:r>
              <w:rPr>
                <w:rFonts w:ascii="Calibri" w:hAnsi="Calibri"/>
                <w:color w:val="1F2937"/>
                <w:sz w:val="20"/>
              </w:rPr>
              <w:t>Kas — Director of Operations</w:t>
            </w:r>
          </w:p>
        </w:tc>
        <w:tc>
          <w:tcPr>
            <w:tcW w:type="dxa" w:w="1134"/>
          </w:tcPr>
          <w:p>
            <w:r/>
            <w:r>
              <w:rPr>
                <w:rFonts w:ascii="Calibri" w:hAnsi="Calibri"/>
                <w:color w:val="1F2937"/>
                <w:sz w:val="20"/>
              </w:rPr>
              <w:t>Final</w:t>
            </w:r>
          </w:p>
        </w:tc>
      </w:tr>
    </w:tbl>
    <w:p>
      <w:pPr>
        <w:spacing w:after="40"/>
      </w:pPr>
    </w:p>
    <w:p>
      <w:pPr>
        <w:spacing w:after="0"/>
        <w:jc w:val="center"/>
      </w:pPr>
      <w:r>
        <w:rPr>
          <w:rFonts w:ascii="Calibri" w:hAnsi="Calibri"/>
          <w:b w:val="0"/>
          <w:i/>
          <w:color w:val="1F2937"/>
          <w:sz w:val="19"/>
        </w:rPr>
        <w:t>Dit beleidsdocument is opgesteld op basis van de documentgebonden HSEQ-complianceaudit op de genoemde referentieprocedure [33]. Alle feitelijke claims dragen een bronverwijzing tussen rechte haken; de volledige bronnenlijst is opgenomen in hoofdstuk 8.</w:t>
      </w:r>
    </w:p>
    <w:p>
      <w:r>
        <w:br w:type="page"/>
      </w:r>
    </w:p>
    <w:p>
      <w:pPr>
        <w:pStyle w:val="Heading1"/>
      </w:pPr>
      <w:r>
        <w:t>Inhoudsopgave</w:t>
      </w:r>
    </w:p>
    <w:p>
      <w:pPr>
        <w:spacing w:after="100"/>
        <w:ind w:left="340" w:hanging="340"/>
      </w:pPr>
      <w:r>
        <w:rPr>
          <w:rFonts w:ascii="Calibri" w:hAnsi="Calibri"/>
          <w:color w:val="1F2937"/>
          <w:sz w:val="22"/>
        </w:rPr>
        <w:t>1.  Doel</w:t>
      </w:r>
    </w:p>
    <w:p>
      <w:pPr>
        <w:spacing w:after="100"/>
        <w:ind w:left="340" w:hanging="340"/>
      </w:pPr>
      <w:r>
        <w:rPr>
          <w:rFonts w:ascii="Calibri" w:hAnsi="Calibri"/>
          <w:color w:val="1F2937"/>
          <w:sz w:val="22"/>
        </w:rPr>
        <w:t>2.  Toepassingsgebied</w:t>
      </w:r>
    </w:p>
    <w:p>
      <w:pPr>
        <w:spacing w:after="100"/>
        <w:ind w:left="340" w:hanging="340"/>
      </w:pPr>
      <w:r>
        <w:rPr>
          <w:rFonts w:ascii="Calibri" w:hAnsi="Calibri"/>
          <w:color w:val="1F2937"/>
          <w:sz w:val="22"/>
        </w:rPr>
        <w:t>3.  Definities &amp; Afkortingen</w:t>
      </w:r>
    </w:p>
    <w:p>
      <w:pPr>
        <w:spacing w:after="100"/>
        <w:ind w:left="340" w:hanging="340"/>
      </w:pPr>
      <w:r>
        <w:rPr>
          <w:rFonts w:ascii="Calibri" w:hAnsi="Calibri"/>
          <w:color w:val="1F2937"/>
          <w:sz w:val="22"/>
        </w:rPr>
        <w:t>4.  Werkwijze / Procedure</w:t>
      </w:r>
    </w:p>
    <w:p>
      <w:pPr>
        <w:spacing w:after="100"/>
        <w:ind w:left="340" w:hanging="340"/>
      </w:pPr>
      <w:r>
        <w:rPr>
          <w:rFonts w:ascii="Calibri" w:hAnsi="Calibri"/>
          <w:color w:val="1F2937"/>
          <w:sz w:val="22"/>
        </w:rPr>
        <w:t>5.  Verantwoordelijkheden</w:t>
      </w:r>
    </w:p>
    <w:p>
      <w:pPr>
        <w:spacing w:after="100"/>
        <w:ind w:left="340" w:hanging="340"/>
      </w:pPr>
      <w:r>
        <w:rPr>
          <w:rFonts w:ascii="Calibri" w:hAnsi="Calibri"/>
          <w:color w:val="1F2937"/>
          <w:sz w:val="22"/>
        </w:rPr>
        <w:t>6.  Risico's &amp; Mitigatie</w:t>
      </w:r>
    </w:p>
    <w:p>
      <w:pPr>
        <w:spacing w:after="100"/>
        <w:ind w:left="340" w:hanging="340"/>
      </w:pPr>
      <w:r>
        <w:rPr>
          <w:rFonts w:ascii="Calibri" w:hAnsi="Calibri"/>
          <w:color w:val="1F2937"/>
          <w:sz w:val="22"/>
        </w:rPr>
        <w:t>7.  Registratie &amp; Bijlagen</w:t>
      </w:r>
    </w:p>
    <w:p>
      <w:pPr>
        <w:spacing w:after="100"/>
        <w:ind w:left="340" w:hanging="340"/>
      </w:pPr>
      <w:r>
        <w:rPr>
          <w:rFonts w:ascii="Calibri" w:hAnsi="Calibri"/>
          <w:color w:val="1F2937"/>
          <w:sz w:val="22"/>
        </w:rPr>
        <w:t>8.  Bronnenlijst</w:t>
      </w:r>
    </w:p>
    <w:tbl>
      <w:tblPr>
        <w:tblW w:type="auto" w:w="0"/>
        <w:jc w:val="center"/>
        <w:tblLook w:firstColumn="1" w:firstRow="1" w:lastColumn="0" w:lastRow="0" w:noHBand="0" w:noVBand="1" w:val="04A0"/>
      </w:tblPr>
      <w:tblGrid>
        <w:gridCol w:w="9072"/>
      </w:tblGrid>
      <w:tr>
        <w:tc>
          <w:tcPr>
            <w:tcW w:type="dxa" w:w="8787"/>
            <w:shd w:val="clear" w:fill="FFFEBA"/>
            <w:tcBorders>
              <w:top w:val="single" w:sz="4" w:color="F59E0B"/>
              <w:left w:val="single" w:sz="12" w:color="F59E0B"/>
              <w:bottom w:val="single" w:sz="4" w:color="F59E0B"/>
              <w:right w:val="single" w:sz="4" w:color="F59E0B"/>
            </w:tcBorders>
          </w:tcPr>
          <w:p>
            <w:r>
              <w:rPr>
                <w:rFonts w:ascii="Calibri" w:hAnsi="Calibri"/>
                <w:b/>
                <w:color w:val="003366"/>
                <w:sz w:val="22"/>
              </w:rPr>
              <w:t>Leeswijzer</w:t>
            </w:r>
          </w:p>
          <w:p>
            <w:r>
              <w:rPr>
                <w:rFonts w:ascii="Calibri" w:hAnsi="Calibri"/>
                <w:color w:val="1F2937"/>
                <w:sz w:val="21"/>
              </w:rPr>
              <w:t>Dit beleidsdocument is volgens de vaste JvG-procedurestructuur opgebouwd: doel, toepassingsgebied, definities, werkwijze, verantwoordelijkheden, risico's en registratie. De inhoud is voor 100% gebaseerd op het Meta-Dossier van de complianceaudit [33] en de daarin ontsloten wettelijke toetsingskaders [1]-[31]. Waar de audit constateert dat verificatie in de praktijk nog moet plaatsvinden, is dit expliciet als verificatiepunt benoemd [33].</w:t>
            </w:r>
          </w:p>
        </w:tc>
      </w:tr>
    </w:tbl>
    <w:p>
      <w:pPr>
        <w:spacing w:after="40"/>
      </w:pPr>
    </w:p>
    <w:p>
      <w:r>
        <w:br w:type="page"/>
      </w:r>
    </w:p>
    <w:p>
      <w:pPr>
        <w:pStyle w:val="Heading1"/>
      </w:pPr>
      <w:r>
        <w:t>1. Doel</w:t>
      </w:r>
    </w:p>
    <w:p>
      <w:pPr>
        <w:spacing w:after="160"/>
      </w:pPr>
      <w:r>
        <w:rPr>
          <w:rFonts w:ascii="Calibri" w:hAnsi="Calibri"/>
          <w:b w:val="0"/>
          <w:i w:val="0"/>
          <w:color w:val="1F2937"/>
          <w:sz w:val="22"/>
        </w:rPr>
        <w:t>Dit beleidsdocument vastgesteld de kaders voor het veilig omgaan met kwik (elementair kwik, CAS-nummer 7439-97-6) tijdens decommissioningactiviteiten — in het bijzonder small piece removal — op offshore platformen in de Nederlandse Noordzee [21][32][33]. De activiteit betreft de sloop en verwijdering van een offshore productieplatform in opdracht van Wintershall, met Koole als uitvoerende aannemer [33]. Olie- en gasinstallaties kunnen historische kwikvervuiling bevatten; hierdoor is blootstelling van personeel een reëel risico bij het loskoppelen, verwijderen en afvoeren van installatiedelen [33].</w:t>
      </w:r>
    </w:p>
    <w:p>
      <w:pPr>
        <w:spacing w:after="160"/>
      </w:pPr>
      <w:r>
        <w:rPr>
          <w:rFonts w:ascii="Calibri" w:hAnsi="Calibri"/>
          <w:b w:val="0"/>
          <w:i w:val="0"/>
          <w:color w:val="1F2937"/>
          <w:sz w:val="22"/>
        </w:rPr>
        <w:t>Het beleid verplicht de uitvoerende partij alle verplichte elementen uit het wettelijke toetsingskader in de uitvoeringsprocedure op te nemen en aantoonbaar toe te passen: risicoinventarisatie en -evaluatie (RI&amp;E) [2], een plan van aanpak [3], voorlichting en training [4], persoonlijke beschermingsmiddelen (PBM) [5], medische surveillance [6], wettelijke grenswaarden [7], luchtmetingen [8], een noodprocedure bij ongevallen en incidenten (EMVI) [9], beschikbaarheid van veiligheidsinformatiebladen (SDS) [10], etikettering en opslag [11] alsmede transport en afvoer via een erkende verwerker [12]. Daarnaast implementeert dit beleid de verplichtingen uit de Europese Kwikverordening [13] en de REACH- en CLP-verordeningen [20][21].</w:t>
      </w:r>
    </w:p>
    <w:p>
      <w:pPr>
        <w:spacing w:after="160"/>
      </w:pPr>
      <w:r>
        <w:rPr>
          <w:rFonts w:ascii="Calibri" w:hAnsi="Calibri"/>
          <w:b w:val="0"/>
          <w:i w:val="0"/>
          <w:color w:val="1F2937"/>
          <w:sz w:val="22"/>
        </w:rPr>
        <w:t>De doelstelling is tweeledig: ten eerste het voorkomen van blootstelling van werknemers aan kwikdamp en kwikverbindingen boven de wettelijke grenswaarden [7][26], en ten tweede het voorkomen van emissie van kwik naar het mariene milieu tijdens offshore werkzaamheden [13][19]. Kwik is ingedeeld als stof die de vruchtbaarheid of het ongeboren kind kan schaden (H360D), organen kan beschadigen bij langdurige of herhaalde blootstelling (H372) en zeer giftig is voor in het water levende organismen met langetermijneffecten (H410) [21][22]. Deze classificatie rechtvaardigt het hoogste beschermingsniveau in dit beleid.</w:t>
      </w:r>
    </w:p>
    <w:p>
      <w:pPr>
        <w:spacing w:after="160"/>
      </w:pPr>
      <w:r>
        <w:rPr>
          <w:rFonts w:ascii="Calibri" w:hAnsi="Calibri"/>
          <w:b w:val="0"/>
          <w:i w:val="0"/>
          <w:color w:val="1F2937"/>
          <w:sz w:val="22"/>
        </w:rPr>
        <w:t>De inhoud van dit beleid is ontleend aan de documentgebonden HSEQ-complianceaudit op de referentieprocedure 003.057 [32][33]. Omdat het brondocument tijdens de audit niet fysiek beschikbaar was, berust de audit op een theoretische toetsing aan wetgeving en best practices [33]. Dit beleid formuleert daarom geen vaststelling van de bestaande praktijk, maar de eisen waaraan de praktijk bij uitvoering moet voldoen; fysieke controle van procedure, certificaten, metingen, registraties en locatiecondities blijft vereist [33].</w:t>
      </w:r>
    </w:p>
    <w:p>
      <w:pPr>
        <w:pStyle w:val="Heading1"/>
      </w:pPr>
      <w:r>
        <w:t>2. Toepassingsgebied</w:t>
      </w:r>
    </w:p>
    <w:p>
      <w:pPr>
        <w:pStyle w:val="Heading2"/>
      </w:pPr>
      <w:r>
        <w:t>2.1 Organisatorisch</w:t>
      </w:r>
    </w:p>
    <w:p>
      <w:pPr>
        <w:spacing w:after="160"/>
      </w:pPr>
      <w:r>
        <w:rPr>
          <w:rFonts w:ascii="Calibri" w:hAnsi="Calibri"/>
          <w:b w:val="0"/>
          <w:i w:val="0"/>
          <w:color w:val="1F2937"/>
          <w:sz w:val="22"/>
        </w:rPr>
        <w:t>Dit beleid geldt voor alle werkzaamheden waarmee Koole is belast in het kader van het decommissioningproject van Wintershall: het verwijderen van kleine installatiedelen (small piece removal) van een offshore platform in de Nederlandse Noordzee [33]. Het beleid is bindend voor eigen personeel, ingehuurd personeel en onderaannemers die betrokken zijn bij inspectie, verwijdering, behandeling, opslag, transport of afvoer van (mogelijk) kwikhoudende materialen [33].</w:t>
      </w:r>
    </w:p>
    <w:p>
      <w:pPr>
        <w:pStyle w:val="Heading2"/>
      </w:pPr>
      <w:r>
        <w:t>2.2 Geografisch en fysiek</w:t>
      </w:r>
    </w:p>
    <w:p>
      <w:pPr>
        <w:spacing w:after="160"/>
      </w:pPr>
      <w:r>
        <w:rPr>
          <w:rFonts w:ascii="Calibri" w:hAnsi="Calibri"/>
          <w:b w:val="0"/>
          <w:i w:val="0"/>
          <w:color w:val="1F2937"/>
          <w:sz w:val="22"/>
        </w:rPr>
        <w:t>Het toepassingsgebied beslaat het offshore platform zelf, de tijdelijke opslagfaciliteiten op het platform, het maritieme transport van en naar het platform, en de ontvangst- en verwerkingslocaties aan wal [33]. De offshore omgeving stelt bijzondere eisen: beperkte ruimte, weersomstandigheden en transportbeperkingen beïnvloeden de logistiek van containment en afvoer [33].</w:t>
      </w:r>
    </w:p>
    <w:p>
      <w:pPr>
        <w:pStyle w:val="Heading2"/>
      </w:pPr>
      <w:r>
        <w:t>2.3 Juridisch</w:t>
      </w:r>
    </w:p>
    <w:p>
      <w:pPr>
        <w:spacing w:after="160"/>
      </w:pPr>
      <w:r>
        <w:rPr>
          <w:rFonts w:ascii="Calibri" w:hAnsi="Calibri"/>
          <w:b w:val="0"/>
          <w:i w:val="0"/>
          <w:color w:val="1F2937"/>
          <w:sz w:val="22"/>
        </w:rPr>
        <w:t>Het beleid is geworteld in de Arbeidsomstandighedenwet [1] en het Arbeidsomstandighedenbesluit, hoofdstuk 4 (gevaarlijke stoffen) [2]. Aanvullende kaders zijn de Europese Kwikverordening (EU) 2017/852 [13], het Besluit kwik en kwikhoudende producten [18], het Besluit activiteiten leefomgeving (Bal) [19], de REACH-verordening (EG) 1907/2006 [20] en de CLP-verordening (EG) 1272/2008 [21]. De Arbo-informatiebladen 31 (gevaarlijke stoffen), 18 (persoonlijke beschermingsmiddelen) en 64 (laboratoria) dienen als uitvoeringsrichtsnoer [23][24][25]. Voor de offshore sector zijn de NOGEPA-brancherichtlijnen van toepassing [30].</w:t>
      </w:r>
    </w:p>
    <w:p>
      <w:pPr>
        <w:spacing w:after="160"/>
      </w:pPr>
      <w:r>
        <w:rPr>
          <w:rFonts w:ascii="Calibri" w:hAnsi="Calibri"/>
          <w:b w:val="0"/>
          <w:i w:val="0"/>
          <w:color w:val="1F2937"/>
          <w:sz w:val="22"/>
        </w:rPr>
        <w:t>Voor opslag en handling fungeren de Publicatiereeks Gevaarlijke Stoffen 6 en 12 als richtsnoer voor de inhoudelijke invulling van de opslageisen [27][28]. De RIVM-richtlijnen voor Zeer Zorgwekkende Stoffen geven het kader voor de prioritaire behandeling van kwik als zorgwekkende stof [29]. De NOGEPA-brancherichtlijnen vertalen de algemene wetgeving naar de offshore praktijk en zijn bij de uitvoering van dit beleid als minimumstandaard gehanteerd [30].</w:t>
      </w:r>
    </w:p>
    <w:p>
      <w:pPr>
        <w:pStyle w:val="Heading2"/>
      </w:pPr>
      <w:r>
        <w:t>2.4 Uitsluitingen</w:t>
      </w:r>
    </w:p>
    <w:p>
      <w:pPr>
        <w:spacing w:after="160"/>
      </w:pPr>
      <w:r>
        <w:rPr>
          <w:rFonts w:ascii="Calibri" w:hAnsi="Calibri"/>
          <w:b w:val="0"/>
          <w:i w:val="0"/>
          <w:color w:val="1F2937"/>
          <w:sz w:val="22"/>
        </w:rPr>
        <w:t>Dit beleid bestrijkt uitsluitend het omgaan met kwik in de vorm van elementair kwik en anorganische kwikverbindingen bij decommissioningwerkzaamheden [33]. Organische kwikverbindingen en kwik in laboratoriumcontext vallen buiten dit beleid; voor laboratoriumactiviteiten geldt AI-blad 64 [25] en de KNMT-richtlijnen voor specifieke kwiktoepassingen [31].</w:t>
      </w:r>
    </w:p>
    <w:p>
      <w:pPr>
        <w:pStyle w:val="Heading2"/>
      </w:pPr>
      <w:r>
        <w:t>2.5 Betrokken partijen</w:t>
      </w:r>
    </w:p>
    <w:p>
      <w:pPr>
        <w:spacing w:after="160"/>
      </w:pPr>
      <w:r>
        <w:rPr>
          <w:rFonts w:ascii="Calibri" w:hAnsi="Calibri"/>
          <w:b w:val="0"/>
          <w:i w:val="0"/>
          <w:color w:val="1F2937"/>
          <w:sz w:val="22"/>
        </w:rPr>
        <w:t>Binnen het project onderscheidt dit beleid vier partijen. Wintershall is als opdrachtgever en asseteigenaar eindverantwoordelijk voor de veilige staat van het platform en de vergunnings- en meldingsverplichtingen uit de Bal [19][33]. Koole is als uitvoerende aannemer verantwoordelijk voor de uitvoering van de werkzaamheden volgens dit beleid en de eigen procedure 003.057 [32][33]. De HSEQ-functionaris van de aannemer bewaakt de inhoudelijke naleving van het toetsingskader. De erkende verwerker ten slotte is verantwoordelijk voor de gecontroleerde verwerking van het aangeleverde kwikafval volgens de acceptatiecriteria [12][16][33].</w:t>
      </w:r>
    </w:p>
    <w:p>
      <w:pPr>
        <w:spacing w:after="160"/>
      </w:pPr>
      <w:r>
        <w:rPr>
          <w:rFonts w:ascii="Calibri" w:hAnsi="Calibri"/>
          <w:b w:val="0"/>
          <w:i w:val="0"/>
          <w:color w:val="1F2937"/>
          <w:sz w:val="22"/>
        </w:rPr>
        <w:t>De verhouding tussen de partijen is vastgelegd in het plan van aanpak [3]. Wijzigingen in de samenwerking — bijvoorbeeld inzet van een andere vervoerder of verwerker — worden vóór ingang door de projectleiding beoordeeld op de gevolgen voor de naleving van dit beleid en vastgelegd in het projectdossier [33].</w:t>
      </w:r>
    </w:p>
    <w:p>
      <w:pPr>
        <w:pStyle w:val="Heading1"/>
      </w:pPr>
      <w:r>
        <w:t>3. Definities &amp; Afkortingen</w:t>
      </w:r>
    </w:p>
    <w:p>
      <w:pPr>
        <w:spacing w:after="160"/>
      </w:pPr>
      <w:r>
        <w:rPr>
          <w:rFonts w:ascii="Calibri" w:hAnsi="Calibri"/>
          <w:b w:val="0"/>
          <w:i w:val="0"/>
          <w:color w:val="1F2937"/>
          <w:sz w:val="22"/>
        </w:rPr>
        <w:t>De definities in dit hoofdstuk zijn ontleend aan het Meta-Dossier van de complianceaudit en de daarin gehanteerde wettelijke kaders [33]. In geval van interpretatieverschillen prevaleert de wettekst van het desbetreffende kader [1]-[22]. Termen die uitsluitend in een bijlage worden gebruikt, zijn bij die bijlage toegelicht.</w:t>
      </w:r>
    </w:p>
    <w:p>
      <w:pPr>
        <w:pStyle w:val="Heading2"/>
      </w:pPr>
      <w:r>
        <w:t>3.1 Definities</w:t>
      </w:r>
    </w:p>
    <w:tbl>
      <w:tblPr>
        <w:tblStyle w:val="TableGrid"/>
        <w:tblW w:type="auto" w:w="0"/>
        <w:jc w:val="center"/>
        <w:tblLook w:firstColumn="1" w:firstRow="1" w:lastColumn="0" w:lastRow="0" w:noHBand="0" w:noVBand="1" w:val="04A0"/>
      </w:tblPr>
      <w:tblGrid>
        <w:gridCol w:w="4536"/>
        <w:gridCol w:w="4536"/>
      </w:tblGrid>
      <w:tr>
        <w:tc>
          <w:tcPr>
            <w:tcW w:type="dxa" w:w="2268"/>
            <w:shd w:val="clear" w:fill="003366"/>
          </w:tcPr>
          <w:p>
            <w:r/>
            <w:r>
              <w:rPr>
                <w:rFonts w:ascii="Calibri" w:hAnsi="Calibri"/>
                <w:b/>
                <w:color w:val="FFFFFF"/>
                <w:sz w:val="20"/>
              </w:rPr>
              <w:t>Term</w:t>
            </w:r>
          </w:p>
        </w:tc>
        <w:tc>
          <w:tcPr>
            <w:tcW w:type="dxa" w:w="6520"/>
            <w:shd w:val="clear" w:fill="003366"/>
          </w:tcPr>
          <w:p>
            <w:r/>
            <w:r>
              <w:rPr>
                <w:rFonts w:ascii="Calibri" w:hAnsi="Calibri"/>
                <w:b/>
                <w:color w:val="FFFFFF"/>
                <w:sz w:val="20"/>
              </w:rPr>
              <w:t>Definitie</w:t>
            </w:r>
          </w:p>
        </w:tc>
      </w:tr>
      <w:tr>
        <w:tc>
          <w:tcPr>
            <w:tcW w:type="dxa" w:w="2268"/>
          </w:tcPr>
          <w:p>
            <w:r/>
            <w:r>
              <w:rPr>
                <w:rFonts w:ascii="Calibri" w:hAnsi="Calibri"/>
                <w:color w:val="1F2937"/>
                <w:sz w:val="20"/>
              </w:rPr>
              <w:t>Kwik (elementair)</w:t>
            </w:r>
          </w:p>
        </w:tc>
        <w:tc>
          <w:tcPr>
            <w:tcW w:type="dxa" w:w="6520"/>
          </w:tcPr>
          <w:p>
            <w:r/>
            <w:r>
              <w:rPr>
                <w:rFonts w:ascii="Calibri" w:hAnsi="Calibri"/>
                <w:color w:val="1F2937"/>
                <w:sz w:val="20"/>
              </w:rPr>
              <w:t>Metaal met CAS-nummer 7439-97-6, geclassificeerd volgens CLP met H360D, H372 en H410 [21][22]</w:t>
            </w:r>
          </w:p>
        </w:tc>
      </w:tr>
      <w:tr>
        <w:tc>
          <w:tcPr>
            <w:tcW w:type="dxa" w:w="2268"/>
            <w:shd w:val="clear" w:fill="F8F9FA"/>
          </w:tcPr>
          <w:p>
            <w:r/>
            <w:r>
              <w:rPr>
                <w:rFonts w:ascii="Calibri" w:hAnsi="Calibri"/>
                <w:color w:val="1F2937"/>
                <w:sz w:val="20"/>
              </w:rPr>
              <w:t>Historische contaminatie</w:t>
            </w:r>
          </w:p>
        </w:tc>
        <w:tc>
          <w:tcPr>
            <w:tcW w:type="dxa" w:w="6520"/>
            <w:shd w:val="clear" w:fill="F8F9FA"/>
          </w:tcPr>
          <w:p>
            <w:r/>
            <w:r>
              <w:rPr>
                <w:rFonts w:ascii="Calibri" w:hAnsi="Calibri"/>
                <w:color w:val="1F2937"/>
                <w:sz w:val="20"/>
              </w:rPr>
              <w:t>Aanwezige kwikvervuiling in olie- en gasinstallaties als gevolg van vroegere productie [33]</w:t>
            </w:r>
          </w:p>
        </w:tc>
      </w:tr>
      <w:tr>
        <w:tc>
          <w:tcPr>
            <w:tcW w:type="dxa" w:w="2268"/>
          </w:tcPr>
          <w:p>
            <w:r/>
            <w:r>
              <w:rPr>
                <w:rFonts w:ascii="Calibri" w:hAnsi="Calibri"/>
                <w:color w:val="1F2937"/>
                <w:sz w:val="20"/>
              </w:rPr>
              <w:t>Small piece removal</w:t>
            </w:r>
          </w:p>
        </w:tc>
        <w:tc>
          <w:tcPr>
            <w:tcW w:type="dxa" w:w="6520"/>
          </w:tcPr>
          <w:p>
            <w:r/>
            <w:r>
              <w:rPr>
                <w:rFonts w:ascii="Calibri" w:hAnsi="Calibri"/>
                <w:color w:val="1F2937"/>
                <w:sz w:val="20"/>
              </w:rPr>
              <w:t>Verwijdering van kleine installatiedelen tijdens offshore decommissioning [33]</w:t>
            </w:r>
          </w:p>
        </w:tc>
      </w:tr>
      <w:tr>
        <w:tc>
          <w:tcPr>
            <w:tcW w:type="dxa" w:w="2268"/>
            <w:shd w:val="clear" w:fill="F8F9FA"/>
          </w:tcPr>
          <w:p>
            <w:r/>
            <w:r>
              <w:rPr>
                <w:rFonts w:ascii="Calibri" w:hAnsi="Calibri"/>
                <w:color w:val="1F2937"/>
                <w:sz w:val="20"/>
              </w:rPr>
              <w:t>Verdacht materiaal</w:t>
            </w:r>
          </w:p>
        </w:tc>
        <w:tc>
          <w:tcPr>
            <w:tcW w:type="dxa" w:w="6520"/>
            <w:shd w:val="clear" w:fill="F8F9FA"/>
          </w:tcPr>
          <w:p>
            <w:r/>
            <w:r>
              <w:rPr>
                <w:rFonts w:ascii="Calibri" w:hAnsi="Calibri"/>
                <w:color w:val="1F2937"/>
                <w:sz w:val="20"/>
              </w:rPr>
              <w:t>Materiaal dat op basis van de pre-removal survey of detectie als mogelijk kwikhoudend is aangemerkt, nog niet bevestigd door analyse [33]</w:t>
            </w:r>
          </w:p>
        </w:tc>
      </w:tr>
      <w:tr>
        <w:tc>
          <w:tcPr>
            <w:tcW w:type="dxa" w:w="2268"/>
          </w:tcPr>
          <w:p>
            <w:r/>
            <w:r>
              <w:rPr>
                <w:rFonts w:ascii="Calibri" w:hAnsi="Calibri"/>
                <w:color w:val="1F2937"/>
                <w:sz w:val="20"/>
              </w:rPr>
              <w:t>Bevestigd besmet</w:t>
            </w:r>
          </w:p>
        </w:tc>
        <w:tc>
          <w:tcPr>
            <w:tcW w:type="dxa" w:w="6520"/>
          </w:tcPr>
          <w:p>
            <w:r/>
            <w:r>
              <w:rPr>
                <w:rFonts w:ascii="Calibri" w:hAnsi="Calibri"/>
                <w:color w:val="1F2937"/>
                <w:sz w:val="20"/>
              </w:rPr>
              <w:t>Materiaal waarvan kwikvervuiling door XRF-meting of laboratoriumanalyse is vastgesteld [33]</w:t>
            </w:r>
          </w:p>
        </w:tc>
      </w:tr>
      <w:tr>
        <w:tc>
          <w:tcPr>
            <w:tcW w:type="dxa" w:w="2268"/>
            <w:shd w:val="clear" w:fill="F8F9FA"/>
          </w:tcPr>
          <w:p>
            <w:r/>
            <w:r>
              <w:rPr>
                <w:rFonts w:ascii="Calibri" w:hAnsi="Calibri"/>
                <w:color w:val="1F2937"/>
                <w:sz w:val="20"/>
              </w:rPr>
              <w:t>Containment</w:t>
            </w:r>
          </w:p>
        </w:tc>
        <w:tc>
          <w:tcPr>
            <w:tcW w:type="dxa" w:w="6520"/>
            <w:shd w:val="clear" w:fill="F8F9FA"/>
          </w:tcPr>
          <w:p>
            <w:r/>
            <w:r>
              <w:rPr>
                <w:rFonts w:ascii="Calibri" w:hAnsi="Calibri"/>
                <w:color w:val="1F2937"/>
                <w:sz w:val="20"/>
              </w:rPr>
              <w:t>Insluiting van kwikhoudend materiaal ter voorkoming van verspreiding naar lucht, water of bodem [13][19]</w:t>
            </w:r>
          </w:p>
        </w:tc>
      </w:tr>
      <w:tr>
        <w:tc>
          <w:tcPr>
            <w:tcW w:type="dxa" w:w="2268"/>
          </w:tcPr>
          <w:p>
            <w:r/>
            <w:r>
              <w:rPr>
                <w:rFonts w:ascii="Calibri" w:hAnsi="Calibri"/>
                <w:color w:val="1F2937"/>
                <w:sz w:val="20"/>
              </w:rPr>
              <w:t>Decontaminatie</w:t>
            </w:r>
          </w:p>
        </w:tc>
        <w:tc>
          <w:tcPr>
            <w:tcW w:type="dxa" w:w="6520"/>
          </w:tcPr>
          <w:p>
            <w:r/>
            <w:r>
              <w:rPr>
                <w:rFonts w:ascii="Calibri" w:hAnsi="Calibri"/>
                <w:color w:val="1F2937"/>
                <w:sz w:val="20"/>
              </w:rPr>
              <w:t>Reiniging van personen, PBM of materieel na (mogelijk) contact met kwik [15][23]</w:t>
            </w:r>
          </w:p>
        </w:tc>
      </w:tr>
      <w:tr>
        <w:tc>
          <w:tcPr>
            <w:tcW w:type="dxa" w:w="2268"/>
            <w:shd w:val="clear" w:fill="F8F9FA"/>
          </w:tcPr>
          <w:p>
            <w:r/>
            <w:r>
              <w:rPr>
                <w:rFonts w:ascii="Calibri" w:hAnsi="Calibri"/>
                <w:color w:val="1F2937"/>
                <w:sz w:val="20"/>
              </w:rPr>
              <w:t>Erkende verwerker</w:t>
            </w:r>
          </w:p>
        </w:tc>
        <w:tc>
          <w:tcPr>
            <w:tcW w:type="dxa" w:w="6520"/>
            <w:shd w:val="clear" w:fill="F8F9FA"/>
          </w:tcPr>
          <w:p>
            <w:r/>
            <w:r>
              <w:rPr>
                <w:rFonts w:ascii="Calibri" w:hAnsi="Calibri"/>
                <w:color w:val="1F2937"/>
                <w:sz w:val="20"/>
              </w:rPr>
              <w:t>Inrichting die kwikafval conform wettelijke eisen accepteert en verwerkt [12][16]</w:t>
            </w:r>
          </w:p>
        </w:tc>
      </w:tr>
      <w:tr>
        <w:tc>
          <w:tcPr>
            <w:tcW w:type="dxa" w:w="2268"/>
          </w:tcPr>
          <w:p>
            <w:r/>
            <w:r>
              <w:rPr>
                <w:rFonts w:ascii="Calibri" w:hAnsi="Calibri"/>
                <w:color w:val="1F2937"/>
                <w:sz w:val="20"/>
              </w:rPr>
              <w:t>Actiewaarde</w:t>
            </w:r>
          </w:p>
        </w:tc>
        <w:tc>
          <w:tcPr>
            <w:tcW w:type="dxa" w:w="6520"/>
          </w:tcPr>
          <w:p>
            <w:r/>
            <w:r>
              <w:rPr>
                <w:rFonts w:ascii="Calibri" w:hAnsi="Calibri"/>
                <w:color w:val="1F2937"/>
                <w:sz w:val="20"/>
              </w:rPr>
              <w:t>Vooraf vastgestelde concentratie-drempel uit het meetprotocol waarboven aanvullende maatregelen verplicht zijn [8][33]</w:t>
            </w:r>
          </w:p>
        </w:tc>
      </w:tr>
      <w:tr>
        <w:tc>
          <w:tcPr>
            <w:tcW w:type="dxa" w:w="2268"/>
            <w:shd w:val="clear" w:fill="F8F9FA"/>
          </w:tcPr>
          <w:p>
            <w:r/>
            <w:r>
              <w:rPr>
                <w:rFonts w:ascii="Calibri" w:hAnsi="Calibri"/>
                <w:color w:val="1F2937"/>
                <w:sz w:val="20"/>
              </w:rPr>
              <w:t>Beschermingsfactor</w:t>
            </w:r>
          </w:p>
        </w:tc>
        <w:tc>
          <w:tcPr>
            <w:tcW w:type="dxa" w:w="6520"/>
            <w:shd w:val="clear" w:fill="F8F9FA"/>
          </w:tcPr>
          <w:p>
            <w:r/>
            <w:r>
              <w:rPr>
                <w:rFonts w:ascii="Calibri" w:hAnsi="Calibri"/>
                <w:color w:val="1F2937"/>
                <w:sz w:val="20"/>
              </w:rPr>
              <w:t>Verhouding tussen concentratie buiten en binnen het ademhalingsbeschermingsmiddel; FFP3 = 50, P3 volgelaatsmasker = 1000 [33]</w:t>
            </w:r>
          </w:p>
        </w:tc>
      </w:tr>
      <w:tr>
        <w:tc>
          <w:tcPr>
            <w:tcW w:type="dxa" w:w="2268"/>
          </w:tcPr>
          <w:p>
            <w:r/>
            <w:r>
              <w:rPr>
                <w:rFonts w:ascii="Calibri" w:hAnsi="Calibri"/>
                <w:color w:val="1F2937"/>
                <w:sz w:val="20"/>
              </w:rPr>
              <w:t>Kruisbesmetting</w:t>
            </w:r>
          </w:p>
        </w:tc>
        <w:tc>
          <w:tcPr>
            <w:tcW w:type="dxa" w:w="6520"/>
          </w:tcPr>
          <w:p>
            <w:r/>
            <w:r>
              <w:rPr>
                <w:rFonts w:ascii="Calibri" w:hAnsi="Calibri"/>
                <w:color w:val="1F2937"/>
                <w:sz w:val="20"/>
              </w:rPr>
              <w:t>Overdracht van kwik van besmette naar schone zones, personen of materieel door onvoldoende scheiding [23][33]</w:t>
            </w:r>
          </w:p>
        </w:tc>
      </w:tr>
      <w:tr>
        <w:tc>
          <w:tcPr>
            <w:tcW w:type="dxa" w:w="2268"/>
            <w:shd w:val="clear" w:fill="F8F9FA"/>
          </w:tcPr>
          <w:p>
            <w:r/>
            <w:r>
              <w:rPr>
                <w:rFonts w:ascii="Calibri" w:hAnsi="Calibri"/>
                <w:color w:val="1F2937"/>
                <w:sz w:val="20"/>
              </w:rPr>
              <w:t>Pre-removal survey</w:t>
            </w:r>
          </w:p>
        </w:tc>
        <w:tc>
          <w:tcPr>
            <w:tcW w:type="dxa" w:w="6520"/>
            <w:shd w:val="clear" w:fill="F8F9FA"/>
          </w:tcPr>
          <w:p>
            <w:r/>
            <w:r>
              <w:rPr>
                <w:rFonts w:ascii="Calibri" w:hAnsi="Calibri"/>
                <w:color w:val="1F2937"/>
                <w:sz w:val="20"/>
              </w:rPr>
              <w:t>Verplichte vooronderzoek die potentiële kwikbronnen identificeert vóór de verwijdering van installatiedelen [33]</w:t>
            </w:r>
          </w:p>
        </w:tc>
      </w:tr>
      <w:tr>
        <w:tc>
          <w:tcPr>
            <w:tcW w:type="dxa" w:w="2268"/>
          </w:tcPr>
          <w:p>
            <w:r/>
            <w:r>
              <w:rPr>
                <w:rFonts w:ascii="Calibri" w:hAnsi="Calibri"/>
                <w:color w:val="1F2937"/>
                <w:sz w:val="20"/>
              </w:rPr>
              <w:t>Lekbak</w:t>
            </w:r>
          </w:p>
        </w:tc>
        <w:tc>
          <w:tcPr>
            <w:tcW w:type="dxa" w:w="6520"/>
          </w:tcPr>
          <w:p>
            <w:r/>
            <w:r>
              <w:rPr>
                <w:rFonts w:ascii="Calibri" w:hAnsi="Calibri"/>
                <w:color w:val="1F2937"/>
                <w:sz w:val="20"/>
              </w:rPr>
              <w:t>Opvangmiddel onder containers ter voorkoming van emissie naar het mariene milieu [19][33]</w:t>
            </w:r>
          </w:p>
        </w:tc>
      </w:tr>
    </w:tbl>
    <w:p>
      <w:pPr>
        <w:spacing w:after="40"/>
      </w:pPr>
    </w:p>
    <w:p>
      <w:pPr>
        <w:pStyle w:val="Heading2"/>
      </w:pPr>
      <w:r>
        <w:t>3.2 Afkortingen</w:t>
      </w:r>
    </w:p>
    <w:tbl>
      <w:tblPr>
        <w:tblStyle w:val="TableGrid"/>
        <w:tblW w:type="auto" w:w="0"/>
        <w:jc w:val="center"/>
        <w:tblLook w:firstColumn="1" w:firstRow="1" w:lastColumn="0" w:lastRow="0" w:noHBand="0" w:noVBand="1" w:val="04A0"/>
      </w:tblPr>
      <w:tblGrid>
        <w:gridCol w:w="4536"/>
        <w:gridCol w:w="4536"/>
      </w:tblGrid>
      <w:tr>
        <w:tc>
          <w:tcPr>
            <w:tcW w:type="dxa" w:w="1984"/>
            <w:shd w:val="clear" w:fill="003366"/>
          </w:tcPr>
          <w:p>
            <w:r/>
            <w:r>
              <w:rPr>
                <w:rFonts w:ascii="Calibri" w:hAnsi="Calibri"/>
                <w:b/>
                <w:color w:val="FFFFFF"/>
                <w:sz w:val="20"/>
              </w:rPr>
              <w:t>Afkorting</w:t>
            </w:r>
          </w:p>
        </w:tc>
        <w:tc>
          <w:tcPr>
            <w:tcW w:type="dxa" w:w="6803"/>
            <w:shd w:val="clear" w:fill="003366"/>
          </w:tcPr>
          <w:p>
            <w:r/>
            <w:r>
              <w:rPr>
                <w:rFonts w:ascii="Calibri" w:hAnsi="Calibri"/>
                <w:b/>
                <w:color w:val="FFFFFF"/>
                <w:sz w:val="20"/>
              </w:rPr>
              <w:t>Betekenis</w:t>
            </w:r>
          </w:p>
        </w:tc>
      </w:tr>
      <w:tr>
        <w:tc>
          <w:tcPr>
            <w:tcW w:type="dxa" w:w="1984"/>
          </w:tcPr>
          <w:p>
            <w:r/>
            <w:r>
              <w:rPr>
                <w:rFonts w:ascii="Calibri" w:hAnsi="Calibri"/>
                <w:color w:val="1F2937"/>
                <w:sz w:val="20"/>
              </w:rPr>
              <w:t>AI-blad</w:t>
            </w:r>
          </w:p>
        </w:tc>
        <w:tc>
          <w:tcPr>
            <w:tcW w:type="dxa" w:w="6803"/>
          </w:tcPr>
          <w:p>
            <w:r/>
            <w:r>
              <w:rPr>
                <w:rFonts w:ascii="Calibri" w:hAnsi="Calibri"/>
                <w:color w:val="1F2937"/>
                <w:sz w:val="20"/>
              </w:rPr>
              <w:t>Arbo-informatieblad</w:t>
            </w:r>
          </w:p>
        </w:tc>
      </w:tr>
      <w:tr>
        <w:tc>
          <w:tcPr>
            <w:tcW w:type="dxa" w:w="1984"/>
            <w:shd w:val="clear" w:fill="F8F9FA"/>
          </w:tcPr>
          <w:p>
            <w:r/>
            <w:r>
              <w:rPr>
                <w:rFonts w:ascii="Calibri" w:hAnsi="Calibri"/>
                <w:color w:val="1F2937"/>
                <w:sz w:val="20"/>
              </w:rPr>
              <w:t>Bal</w:t>
            </w:r>
          </w:p>
        </w:tc>
        <w:tc>
          <w:tcPr>
            <w:tcW w:type="dxa" w:w="6803"/>
            <w:shd w:val="clear" w:fill="F8F9FA"/>
          </w:tcPr>
          <w:p>
            <w:r/>
            <w:r>
              <w:rPr>
                <w:rFonts w:ascii="Calibri" w:hAnsi="Calibri"/>
                <w:color w:val="1F2937"/>
                <w:sz w:val="20"/>
              </w:rPr>
              <w:t>Besluit activiteiten leefomgeving</w:t>
            </w:r>
          </w:p>
        </w:tc>
      </w:tr>
      <w:tr>
        <w:tc>
          <w:tcPr>
            <w:tcW w:type="dxa" w:w="1984"/>
          </w:tcPr>
          <w:p>
            <w:r/>
            <w:r>
              <w:rPr>
                <w:rFonts w:ascii="Calibri" w:hAnsi="Calibri"/>
                <w:color w:val="1F2937"/>
                <w:sz w:val="20"/>
              </w:rPr>
              <w:t>CLP</w:t>
            </w:r>
          </w:p>
        </w:tc>
        <w:tc>
          <w:tcPr>
            <w:tcW w:type="dxa" w:w="6803"/>
          </w:tcPr>
          <w:p>
            <w:r/>
            <w:r>
              <w:rPr>
                <w:rFonts w:ascii="Calibri" w:hAnsi="Calibri"/>
                <w:color w:val="1F2937"/>
                <w:sz w:val="20"/>
              </w:rPr>
              <w:t>Verordening (EG) 1272/2008 betreffende classificatie, etikettering en verpakking van stoffen en mengsels</w:t>
            </w:r>
          </w:p>
        </w:tc>
      </w:tr>
      <w:tr>
        <w:tc>
          <w:tcPr>
            <w:tcW w:type="dxa" w:w="1984"/>
            <w:shd w:val="clear" w:fill="F8F9FA"/>
          </w:tcPr>
          <w:p>
            <w:r/>
            <w:r>
              <w:rPr>
                <w:rFonts w:ascii="Calibri" w:hAnsi="Calibri"/>
                <w:color w:val="1F2937"/>
                <w:sz w:val="20"/>
              </w:rPr>
              <w:t>EMVI</w:t>
            </w:r>
          </w:p>
        </w:tc>
        <w:tc>
          <w:tcPr>
            <w:tcW w:type="dxa" w:w="6803"/>
            <w:shd w:val="clear" w:fill="F8F9FA"/>
          </w:tcPr>
          <w:p>
            <w:r/>
            <w:r>
              <w:rPr>
                <w:rFonts w:ascii="Calibri" w:hAnsi="Calibri"/>
                <w:color w:val="1F2937"/>
                <w:sz w:val="20"/>
              </w:rPr>
              <w:t>Escalatiematrix en werkinstructie bij ongevallen en incidenten; noodprocedure</w:t>
            </w:r>
          </w:p>
        </w:tc>
      </w:tr>
      <w:tr>
        <w:tc>
          <w:tcPr>
            <w:tcW w:type="dxa" w:w="1984"/>
          </w:tcPr>
          <w:p>
            <w:r/>
            <w:r>
              <w:rPr>
                <w:rFonts w:ascii="Calibri" w:hAnsi="Calibri"/>
                <w:color w:val="1F2937"/>
                <w:sz w:val="20"/>
              </w:rPr>
              <w:t>PBM</w:t>
            </w:r>
          </w:p>
        </w:tc>
        <w:tc>
          <w:tcPr>
            <w:tcW w:type="dxa" w:w="6803"/>
          </w:tcPr>
          <w:p>
            <w:r/>
            <w:r>
              <w:rPr>
                <w:rFonts w:ascii="Calibri" w:hAnsi="Calibri"/>
                <w:color w:val="1F2937"/>
                <w:sz w:val="20"/>
              </w:rPr>
              <w:t>Persoonlijke beschermingsmiddelen</w:t>
            </w:r>
          </w:p>
        </w:tc>
      </w:tr>
      <w:tr>
        <w:tc>
          <w:tcPr>
            <w:tcW w:type="dxa" w:w="1984"/>
            <w:shd w:val="clear" w:fill="F8F9FA"/>
          </w:tcPr>
          <w:p>
            <w:r/>
            <w:r>
              <w:rPr>
                <w:rFonts w:ascii="Calibri" w:hAnsi="Calibri"/>
                <w:color w:val="1F2937"/>
                <w:sz w:val="20"/>
              </w:rPr>
              <w:t>PGS</w:t>
            </w:r>
          </w:p>
        </w:tc>
        <w:tc>
          <w:tcPr>
            <w:tcW w:type="dxa" w:w="6803"/>
            <w:shd w:val="clear" w:fill="F8F9FA"/>
          </w:tcPr>
          <w:p>
            <w:r/>
            <w:r>
              <w:rPr>
                <w:rFonts w:ascii="Calibri" w:hAnsi="Calibri"/>
                <w:color w:val="1F2937"/>
                <w:sz w:val="20"/>
              </w:rPr>
              <w:t>Publicatiereeks Gevaarlijke Stoffen</w:t>
            </w:r>
          </w:p>
        </w:tc>
      </w:tr>
      <w:tr>
        <w:tc>
          <w:tcPr>
            <w:tcW w:type="dxa" w:w="1984"/>
          </w:tcPr>
          <w:p>
            <w:r/>
            <w:r>
              <w:rPr>
                <w:rFonts w:ascii="Calibri" w:hAnsi="Calibri"/>
                <w:color w:val="1F2937"/>
                <w:sz w:val="20"/>
              </w:rPr>
              <w:t>RI&amp;E</w:t>
            </w:r>
          </w:p>
        </w:tc>
        <w:tc>
          <w:tcPr>
            <w:tcW w:type="dxa" w:w="6803"/>
          </w:tcPr>
          <w:p>
            <w:r/>
            <w:r>
              <w:rPr>
                <w:rFonts w:ascii="Calibri" w:hAnsi="Calibri"/>
                <w:color w:val="1F2937"/>
                <w:sz w:val="20"/>
              </w:rPr>
              <w:t>Risicoinventarisatie en -evaluatie</w:t>
            </w:r>
          </w:p>
        </w:tc>
      </w:tr>
      <w:tr>
        <w:tc>
          <w:tcPr>
            <w:tcW w:type="dxa" w:w="1984"/>
            <w:shd w:val="clear" w:fill="F8F9FA"/>
          </w:tcPr>
          <w:p>
            <w:r/>
            <w:r>
              <w:rPr>
                <w:rFonts w:ascii="Calibri" w:hAnsi="Calibri"/>
                <w:color w:val="1F2937"/>
                <w:sz w:val="20"/>
              </w:rPr>
              <w:t>SDS</w:t>
            </w:r>
          </w:p>
        </w:tc>
        <w:tc>
          <w:tcPr>
            <w:tcW w:type="dxa" w:w="6803"/>
            <w:shd w:val="clear" w:fill="F8F9FA"/>
          </w:tcPr>
          <w:p>
            <w:r/>
            <w:r>
              <w:rPr>
                <w:rFonts w:ascii="Calibri" w:hAnsi="Calibri"/>
                <w:color w:val="1F2937"/>
                <w:sz w:val="20"/>
              </w:rPr>
              <w:t>Safety Data Sheet / veiligheidsinformatieblad</w:t>
            </w:r>
          </w:p>
        </w:tc>
      </w:tr>
      <w:tr>
        <w:tc>
          <w:tcPr>
            <w:tcW w:type="dxa" w:w="1984"/>
          </w:tcPr>
          <w:p>
            <w:r/>
            <w:r>
              <w:rPr>
                <w:rFonts w:ascii="Calibri" w:hAnsi="Calibri"/>
                <w:color w:val="1F2937"/>
                <w:sz w:val="20"/>
              </w:rPr>
              <w:t>SER</w:t>
            </w:r>
          </w:p>
        </w:tc>
        <w:tc>
          <w:tcPr>
            <w:tcW w:type="dxa" w:w="6803"/>
          </w:tcPr>
          <w:p>
            <w:r/>
            <w:r>
              <w:rPr>
                <w:rFonts w:ascii="Calibri" w:hAnsi="Calibri"/>
                <w:color w:val="1F2937"/>
                <w:sz w:val="20"/>
              </w:rPr>
              <w:t>Sociaal-Economische Raad (wettelijke grenswaarden carbonen)</w:t>
            </w:r>
          </w:p>
        </w:tc>
      </w:tr>
      <w:tr>
        <w:tc>
          <w:tcPr>
            <w:tcW w:type="dxa" w:w="1984"/>
            <w:shd w:val="clear" w:fill="F8F9FA"/>
          </w:tcPr>
          <w:p>
            <w:r/>
            <w:r>
              <w:rPr>
                <w:rFonts w:ascii="Calibri" w:hAnsi="Calibri"/>
                <w:color w:val="1F2937"/>
                <w:sz w:val="20"/>
              </w:rPr>
              <w:t>STEL</w:t>
            </w:r>
          </w:p>
        </w:tc>
        <w:tc>
          <w:tcPr>
            <w:tcW w:type="dxa" w:w="6803"/>
            <w:shd w:val="clear" w:fill="F8F9FA"/>
          </w:tcPr>
          <w:p>
            <w:r/>
            <w:r>
              <w:rPr>
                <w:rFonts w:ascii="Calibri" w:hAnsi="Calibri"/>
                <w:color w:val="1F2937"/>
                <w:sz w:val="20"/>
              </w:rPr>
              <w:t>Short Term Exposure Limit (15 minuten)</w:t>
            </w:r>
          </w:p>
        </w:tc>
      </w:tr>
      <w:tr>
        <w:tc>
          <w:tcPr>
            <w:tcW w:type="dxa" w:w="1984"/>
          </w:tcPr>
          <w:p>
            <w:r/>
            <w:r>
              <w:rPr>
                <w:rFonts w:ascii="Calibri" w:hAnsi="Calibri"/>
                <w:color w:val="1F2937"/>
                <w:sz w:val="20"/>
              </w:rPr>
              <w:t>TWA</w:t>
            </w:r>
          </w:p>
        </w:tc>
        <w:tc>
          <w:tcPr>
            <w:tcW w:type="dxa" w:w="6803"/>
          </w:tcPr>
          <w:p>
            <w:r/>
            <w:r>
              <w:rPr>
                <w:rFonts w:ascii="Calibri" w:hAnsi="Calibri"/>
                <w:color w:val="1F2937"/>
                <w:sz w:val="20"/>
              </w:rPr>
              <w:t>Time Weighted Average (8-uurs gemiddelde)</w:t>
            </w:r>
          </w:p>
        </w:tc>
      </w:tr>
      <w:tr>
        <w:tc>
          <w:tcPr>
            <w:tcW w:type="dxa" w:w="1984"/>
            <w:shd w:val="clear" w:fill="F8F9FA"/>
          </w:tcPr>
          <w:p>
            <w:r/>
            <w:r>
              <w:rPr>
                <w:rFonts w:ascii="Calibri" w:hAnsi="Calibri"/>
                <w:color w:val="1F2937"/>
                <w:sz w:val="20"/>
              </w:rPr>
              <w:t>XRF</w:t>
            </w:r>
          </w:p>
        </w:tc>
        <w:tc>
          <w:tcPr>
            <w:tcW w:type="dxa" w:w="6803"/>
            <w:shd w:val="clear" w:fill="F8F9FA"/>
          </w:tcPr>
          <w:p>
            <w:r/>
            <w:r>
              <w:rPr>
                <w:rFonts w:ascii="Calibri" w:hAnsi="Calibri"/>
                <w:color w:val="1F2937"/>
                <w:sz w:val="20"/>
              </w:rPr>
              <w:t>X-ray fluorescence (radiometrische sneldetectie)</w:t>
            </w:r>
          </w:p>
        </w:tc>
      </w:tr>
      <w:tr>
        <w:tc>
          <w:tcPr>
            <w:tcW w:type="dxa" w:w="1984"/>
          </w:tcPr>
          <w:p>
            <w:r/>
            <w:r>
              <w:rPr>
                <w:rFonts w:ascii="Calibri" w:hAnsi="Calibri"/>
                <w:color w:val="1F2937"/>
                <w:sz w:val="20"/>
              </w:rPr>
              <w:t>ZZS</w:t>
            </w:r>
          </w:p>
        </w:tc>
        <w:tc>
          <w:tcPr>
            <w:tcW w:type="dxa" w:w="6803"/>
          </w:tcPr>
          <w:p>
            <w:r/>
            <w:r>
              <w:rPr>
                <w:rFonts w:ascii="Calibri" w:hAnsi="Calibri"/>
                <w:color w:val="1F2937"/>
                <w:sz w:val="20"/>
              </w:rPr>
              <w:t>Zeer Zorgwekkende Stoffen (RIVM-richtlijnen)</w:t>
            </w:r>
          </w:p>
        </w:tc>
      </w:tr>
      <w:tr>
        <w:tc>
          <w:tcPr>
            <w:tcW w:type="dxa" w:w="1984"/>
            <w:shd w:val="clear" w:fill="F8F9FA"/>
          </w:tcPr>
          <w:p>
            <w:r/>
            <w:r>
              <w:rPr>
                <w:rFonts w:ascii="Calibri" w:hAnsi="Calibri"/>
                <w:color w:val="1F2937"/>
                <w:sz w:val="20"/>
              </w:rPr>
              <w:t>NOGEPA</w:t>
            </w:r>
          </w:p>
        </w:tc>
        <w:tc>
          <w:tcPr>
            <w:tcW w:type="dxa" w:w="6803"/>
            <w:shd w:val="clear" w:fill="F8F9FA"/>
          </w:tcPr>
          <w:p>
            <w:r/>
            <w:r>
              <w:rPr>
                <w:rFonts w:ascii="Calibri" w:hAnsi="Calibri"/>
                <w:color w:val="1F2937"/>
                <w:sz w:val="20"/>
              </w:rPr>
              <w:t>Nederlandse Olie en Gas Exploratie en Productie Associatie</w:t>
            </w:r>
          </w:p>
        </w:tc>
      </w:tr>
      <w:tr>
        <w:tc>
          <w:tcPr>
            <w:tcW w:type="dxa" w:w="1984"/>
          </w:tcPr>
          <w:p>
            <w:r/>
            <w:r>
              <w:rPr>
                <w:rFonts w:ascii="Calibri" w:hAnsi="Calibri"/>
                <w:color w:val="1F2937"/>
                <w:sz w:val="20"/>
              </w:rPr>
              <w:t>ADR</w:t>
            </w:r>
          </w:p>
        </w:tc>
        <w:tc>
          <w:tcPr>
            <w:tcW w:type="dxa" w:w="6803"/>
          </w:tcPr>
          <w:p>
            <w:r/>
            <w:r>
              <w:rPr>
                <w:rFonts w:ascii="Calibri" w:hAnsi="Calibri"/>
                <w:color w:val="1F2937"/>
                <w:sz w:val="20"/>
              </w:rPr>
              <w:t>Europees verdrag over vervoer van gevaarlijke stoffen over de weg</w:t>
            </w:r>
          </w:p>
        </w:tc>
      </w:tr>
    </w:tbl>
    <w:p>
      <w:pPr>
        <w:spacing w:after="40"/>
      </w:pPr>
    </w:p>
    <w:p>
      <w:r>
        <w:br w:type="page"/>
      </w:r>
    </w:p>
    <w:p>
      <w:pPr>
        <w:pStyle w:val="Heading1"/>
      </w:pPr>
      <w:r>
        <w:t>4. Werkwijze / Procedure</w:t>
      </w:r>
    </w:p>
    <w:p>
      <w:pPr>
        <w:spacing w:after="160"/>
      </w:pPr>
      <w:r>
        <w:rPr>
          <w:rFonts w:ascii="Calibri" w:hAnsi="Calibri"/>
          <w:b w:val="0"/>
          <w:i w:val="0"/>
          <w:color w:val="1F2937"/>
          <w:sz w:val="22"/>
        </w:rPr>
        <w:t>Dit hoofdstuk beschrijft de werkwijze in opeenvolgende fasen: risicoinventarisatie, pre-removal survey, detectie en classificatie, verwijdering, persoonlijke bescherming, metingen, opslag, transport en afvoer, decontaminatie en noodprocedures. Elke fase noemt de wettelijke grondslag uit het toetsingskader van de complianceaudit [33].</w:t>
      </w:r>
    </w:p>
    <w:p>
      <w:pPr>
        <w:spacing w:after="160"/>
      </w:pPr>
      <w:r>
        <w:rPr>
          <w:rFonts w:ascii="Calibri" w:hAnsi="Calibri"/>
          <w:b w:val="0"/>
          <w:i w:val="0"/>
          <w:color w:val="1F2937"/>
          <w:sz w:val="22"/>
        </w:rPr>
        <w:t>De fasering volgt de levenscyclus van het kwikprobleem tijdens decommissioning. In de voorfase staan identificatie en planning centraal; in de uitvoeringsfase komen verwijdering, bescherming en meting samen; in de afvoerfase wordt het besmette materiaal gecontroleerd overgedragen aan de erkende verwerker [12][33]. Elke fase sluit af met een vast registratiemoment, zodat de volledige keten van bron tot verwerking aantoonbaar is [8][17][33]. De fasering is opgebouwd conform de eis van een stapsgewijze procedure per fase — pre-removal, removal en post-removal — zoals de audit die voorschrijft [33].</w:t>
      </w:r>
    </w:p>
    <w:tbl>
      <w:tblPr>
        <w:tblStyle w:val="TableGrid"/>
        <w:tblW w:type="auto" w:w="0"/>
        <w:jc w:val="center"/>
        <w:tblLook w:firstColumn="1" w:firstRow="1" w:lastColumn="0" w:lastRow="0" w:noHBand="0" w:noVBand="1" w:val="04A0"/>
      </w:tblPr>
      <w:tblGrid>
        <w:gridCol w:w="3024"/>
        <w:gridCol w:w="3024"/>
        <w:gridCol w:w="3024"/>
      </w:tblGrid>
      <w:tr>
        <w:tc>
          <w:tcPr>
            <w:tcW w:type="dxa" w:w="1701"/>
            <w:shd w:val="clear" w:fill="003366"/>
          </w:tcPr>
          <w:p>
            <w:r/>
            <w:r>
              <w:rPr>
                <w:rFonts w:ascii="Calibri" w:hAnsi="Calibri"/>
                <w:b/>
                <w:color w:val="FFFFFF"/>
                <w:sz w:val="20"/>
              </w:rPr>
              <w:t>Fase</w:t>
            </w:r>
          </w:p>
        </w:tc>
        <w:tc>
          <w:tcPr>
            <w:tcW w:type="dxa" w:w="4535"/>
            <w:shd w:val="clear" w:fill="003366"/>
          </w:tcPr>
          <w:p>
            <w:r/>
            <w:r>
              <w:rPr>
                <w:rFonts w:ascii="Calibri" w:hAnsi="Calibri"/>
                <w:b/>
                <w:color w:val="FFFFFF"/>
                <w:sz w:val="20"/>
              </w:rPr>
              <w:t>Kernactiviteiten</w:t>
            </w:r>
          </w:p>
        </w:tc>
        <w:tc>
          <w:tcPr>
            <w:tcW w:type="dxa" w:w="2551"/>
            <w:shd w:val="clear" w:fill="003366"/>
          </w:tcPr>
          <w:p>
            <w:r/>
            <w:r>
              <w:rPr>
                <w:rFonts w:ascii="Calibri" w:hAnsi="Calibri"/>
                <w:b/>
                <w:color w:val="FFFFFF"/>
                <w:sz w:val="20"/>
              </w:rPr>
              <w:t>Wettelijk kader</w:t>
            </w:r>
          </w:p>
        </w:tc>
      </w:tr>
      <w:tr>
        <w:tc>
          <w:tcPr>
            <w:tcW w:type="dxa" w:w="1701"/>
          </w:tcPr>
          <w:p>
            <w:r/>
            <w:r>
              <w:rPr>
                <w:rFonts w:ascii="Calibri" w:hAnsi="Calibri"/>
                <w:color w:val="1F2937"/>
                <w:sz w:val="20"/>
              </w:rPr>
              <w:t>1. Voorfase</w:t>
            </w:r>
          </w:p>
        </w:tc>
        <w:tc>
          <w:tcPr>
            <w:tcW w:type="dxa" w:w="4535"/>
          </w:tcPr>
          <w:p>
            <w:r/>
            <w:r>
              <w:rPr>
                <w:rFonts w:ascii="Calibri" w:hAnsi="Calibri"/>
                <w:color w:val="1F2937"/>
                <w:sz w:val="20"/>
              </w:rPr>
              <w:t>RI&amp;E, plan van aanpak, training, medische surveillance</w:t>
            </w:r>
          </w:p>
        </w:tc>
        <w:tc>
          <w:tcPr>
            <w:tcW w:type="dxa" w:w="2551"/>
          </w:tcPr>
          <w:p>
            <w:r/>
            <w:r>
              <w:rPr>
                <w:rFonts w:ascii="Calibri" w:hAnsi="Calibri"/>
                <w:color w:val="1F2937"/>
                <w:sz w:val="20"/>
              </w:rPr>
              <w:t>[2][3][4][6]</w:t>
            </w:r>
          </w:p>
        </w:tc>
      </w:tr>
      <w:tr>
        <w:tc>
          <w:tcPr>
            <w:tcW w:type="dxa" w:w="1701"/>
            <w:shd w:val="clear" w:fill="F8F9FA"/>
          </w:tcPr>
          <w:p>
            <w:r/>
            <w:r>
              <w:rPr>
                <w:rFonts w:ascii="Calibri" w:hAnsi="Calibri"/>
                <w:color w:val="1F2937"/>
                <w:sz w:val="20"/>
              </w:rPr>
              <w:t>2. Pre-removal</w:t>
            </w:r>
          </w:p>
        </w:tc>
        <w:tc>
          <w:tcPr>
            <w:tcW w:type="dxa" w:w="4535"/>
            <w:shd w:val="clear" w:fill="F8F9FA"/>
          </w:tcPr>
          <w:p>
            <w:r/>
            <w:r>
              <w:rPr>
                <w:rFonts w:ascii="Calibri" w:hAnsi="Calibri"/>
                <w:color w:val="1F2937"/>
                <w:sz w:val="20"/>
              </w:rPr>
              <w:t>Survey, detectie (XRF/lab), classificatie</w:t>
            </w:r>
          </w:p>
        </w:tc>
        <w:tc>
          <w:tcPr>
            <w:tcW w:type="dxa" w:w="2551"/>
            <w:shd w:val="clear" w:fill="F8F9FA"/>
          </w:tcPr>
          <w:p>
            <w:r/>
            <w:r>
              <w:rPr>
                <w:rFonts w:ascii="Calibri" w:hAnsi="Calibri"/>
                <w:color w:val="1F2937"/>
                <w:sz w:val="20"/>
              </w:rPr>
              <w:t>[33]</w:t>
            </w:r>
          </w:p>
        </w:tc>
      </w:tr>
      <w:tr>
        <w:tc>
          <w:tcPr>
            <w:tcW w:type="dxa" w:w="1701"/>
          </w:tcPr>
          <w:p>
            <w:r/>
            <w:r>
              <w:rPr>
                <w:rFonts w:ascii="Calibri" w:hAnsi="Calibri"/>
                <w:color w:val="1F2937"/>
                <w:sz w:val="20"/>
              </w:rPr>
              <w:t>3. Removal</w:t>
            </w:r>
          </w:p>
        </w:tc>
        <w:tc>
          <w:tcPr>
            <w:tcW w:type="dxa" w:w="4535"/>
          </w:tcPr>
          <w:p>
            <w:r/>
            <w:r>
              <w:rPr>
                <w:rFonts w:ascii="Calibri" w:hAnsi="Calibri"/>
                <w:color w:val="1F2937"/>
                <w:sz w:val="20"/>
              </w:rPr>
              <w:t>Verwijdering, containment, PBM, luchtmetingen</w:t>
            </w:r>
          </w:p>
        </w:tc>
        <w:tc>
          <w:tcPr>
            <w:tcW w:type="dxa" w:w="2551"/>
          </w:tcPr>
          <w:p>
            <w:r/>
            <w:r>
              <w:rPr>
                <w:rFonts w:ascii="Calibri" w:hAnsi="Calibri"/>
                <w:color w:val="1F2937"/>
                <w:sz w:val="20"/>
              </w:rPr>
              <w:t>[5][8][33]</w:t>
            </w:r>
          </w:p>
        </w:tc>
      </w:tr>
      <w:tr>
        <w:tc>
          <w:tcPr>
            <w:tcW w:type="dxa" w:w="1701"/>
            <w:shd w:val="clear" w:fill="F8F9FA"/>
          </w:tcPr>
          <w:p>
            <w:r/>
            <w:r>
              <w:rPr>
                <w:rFonts w:ascii="Calibri" w:hAnsi="Calibri"/>
                <w:color w:val="1F2937"/>
                <w:sz w:val="20"/>
              </w:rPr>
              <w:t>4. Post-removal</w:t>
            </w:r>
          </w:p>
        </w:tc>
        <w:tc>
          <w:tcPr>
            <w:tcW w:type="dxa" w:w="4535"/>
            <w:shd w:val="clear" w:fill="F8F9FA"/>
          </w:tcPr>
          <w:p>
            <w:r/>
            <w:r>
              <w:rPr>
                <w:rFonts w:ascii="Calibri" w:hAnsi="Calibri"/>
                <w:color w:val="1F2937"/>
                <w:sz w:val="20"/>
              </w:rPr>
              <w:t>Opslag, decontaminatie, transport, afvoer, rapportage</w:t>
            </w:r>
          </w:p>
        </w:tc>
        <w:tc>
          <w:tcPr>
            <w:tcW w:type="dxa" w:w="2551"/>
            <w:shd w:val="clear" w:fill="F8F9FA"/>
          </w:tcPr>
          <w:p>
            <w:r/>
            <w:r>
              <w:rPr>
                <w:rFonts w:ascii="Calibri" w:hAnsi="Calibri"/>
                <w:color w:val="1F2937"/>
                <w:sz w:val="20"/>
              </w:rPr>
              <w:t>[11][12][15][16]</w:t>
            </w:r>
          </w:p>
        </w:tc>
      </w:tr>
    </w:tbl>
    <w:p>
      <w:pPr>
        <w:spacing w:after="40"/>
      </w:pPr>
    </w:p>
    <w:p>
      <w:pPr>
        <w:pStyle w:val="Heading2"/>
      </w:pPr>
      <w:r>
        <w:t>4.1 Risicoinventarisatie en -evaluatie (RI&amp;E)</w:t>
      </w:r>
    </w:p>
    <w:p>
      <w:pPr>
        <w:spacing w:after="160"/>
      </w:pPr>
      <w:r>
        <w:rPr>
          <w:rFonts w:ascii="Calibri" w:hAnsi="Calibri"/>
          <w:b w:val="0"/>
          <w:i w:val="0"/>
          <w:color w:val="1F2937"/>
          <w:sz w:val="22"/>
        </w:rPr>
        <w:t>Voor aanvang van het werk stelt de aannemer een specifieke risicoinventarisatie en -evaluatie voor kwik op, conform artikel 4.1 van het Arbobesluit [2] en AI-blad 31 [23]. De RI&amp;E bevat ten minste:</w:t>
      </w:r>
    </w:p>
    <w:p>
      <w:pPr>
        <w:pStyle w:val="ListBullet"/>
        <w:spacing w:after="80"/>
      </w:pPr>
      <w:r>
        <w:rPr>
          <w:rFonts w:ascii="Calibri" w:hAnsi="Calibri"/>
          <w:color w:val="1F2937"/>
          <w:sz w:val="22"/>
        </w:rPr>
        <w:t>Identificatie van potentiële kwikbronnen op het platform, waaronder manometers, kleppen en separators [33];</w:t>
      </w:r>
    </w:p>
    <w:p>
      <w:pPr>
        <w:pStyle w:val="ListBullet"/>
        <w:spacing w:after="80"/>
      </w:pPr>
      <w:r>
        <w:rPr>
          <w:rFonts w:ascii="Calibri" w:hAnsi="Calibri"/>
          <w:color w:val="1F2937"/>
          <w:sz w:val="22"/>
        </w:rPr>
        <w:t>Risicoschatting per activiteit: inspectie, verwijdering en transport [33];</w:t>
      </w:r>
    </w:p>
    <w:p>
      <w:pPr>
        <w:pStyle w:val="ListBullet"/>
        <w:spacing w:after="80"/>
      </w:pPr>
      <w:r>
        <w:rPr>
          <w:rFonts w:ascii="Calibri" w:hAnsi="Calibri"/>
          <w:color w:val="1F2937"/>
          <w:sz w:val="22"/>
        </w:rPr>
        <w:t>Beoordeling van blootstellingsroutes: inhalatie, huidcontact en inslikken [33];</w:t>
      </w:r>
    </w:p>
    <w:p>
      <w:pPr>
        <w:pStyle w:val="ListBullet"/>
        <w:spacing w:after="80"/>
      </w:pPr>
      <w:r>
        <w:rPr>
          <w:rFonts w:ascii="Calibri" w:hAnsi="Calibri"/>
          <w:color w:val="1F2937"/>
          <w:sz w:val="22"/>
        </w:rPr>
        <w:t>Specifieke risico's van offshore decommissioning: historische contaminatie en de aard van small piece removal [33].</w:t>
      </w:r>
    </w:p>
    <w:p>
      <w:pPr>
        <w:spacing w:after="160"/>
      </w:pPr>
      <w:r>
        <w:rPr>
          <w:rFonts w:ascii="Calibri" w:hAnsi="Calibri"/>
          <w:b w:val="0"/>
          <w:i w:val="0"/>
          <w:color w:val="1F2937"/>
          <w:sz w:val="22"/>
        </w:rPr>
        <w:t>De RI&amp;E vormt de basis voor het plan van aanpak conform artikel 4.2 van het Arbobesluit [3]. In dit plan is vastgelegd welke maatregelen genomen worden, wie deze uitvoert en op welk moment [3][23].</w:t>
      </w:r>
    </w:p>
    <w:p>
      <w:pPr>
        <w:spacing w:after="160"/>
      </w:pPr>
      <w:r>
        <w:rPr>
          <w:rFonts w:ascii="Calibri" w:hAnsi="Calibri"/>
          <w:b w:val="0"/>
          <w:i w:val="0"/>
          <w:color w:val="1F2937"/>
          <w:sz w:val="22"/>
        </w:rPr>
        <w:t>Methodisch volgt de RI&amp;E de vaste volgorde: eerst bronnen inventariseren, daarna per activiteit de blootstelling inschatten over alle routes — inhalatie van kwikdamp, huidcontact met elementair kwik en inslikken — en vervolgens maatregelen hiërarchisch kiezen: bronmaatregelen (containment), collectieve maatregelen (ventilatie) en individuele maatregelen (PBM) [2][23][33]. De RI&amp;E bevat tevens de onderbouwing van de keuze tussen FFP3 en het P3-volgelaatsmasker op basis van de verwachte concentraties [33]. De vastgestelde risico's en maatregelen zijn direct herleidbaar naar het risicoregister in hoofdstuk 6 van dit beleid.</w:t>
      </w:r>
    </w:p>
    <w:p>
      <w:pPr>
        <w:pStyle w:val="Heading2"/>
      </w:pPr>
      <w:r>
        <w:t>4.2 Pre-removal survey</w:t>
      </w:r>
    </w:p>
    <w:p>
      <w:pPr>
        <w:spacing w:after="160"/>
      </w:pPr>
      <w:r>
        <w:rPr>
          <w:rFonts w:ascii="Calibri" w:hAnsi="Calibri"/>
          <w:b w:val="0"/>
          <w:i w:val="0"/>
          <w:color w:val="1F2937"/>
          <w:sz w:val="22"/>
        </w:rPr>
        <w:t>Vóór de verwijdering van installatiedelen vindt een pre-removal survey plaats waarin potentiële kwikbronnen worden geïdentificeerd [33]. Deze survey is offshore specifiek verplicht omdat olie- en gasinstallaties historische kwikvervuiling kunnen bevatten [33]. Installatiedelen die typisch kwik kunnen bevatten — manometers, kleppen en separators — worden hierbij expliciet gecontroleerd [33].</w:t>
      </w:r>
    </w:p>
    <w:p>
      <w:pPr>
        <w:spacing w:after="100"/>
        <w:ind w:left="340" w:hanging="340"/>
      </w:pPr>
      <w:r>
        <w:rPr>
          <w:rFonts w:ascii="Calibri" w:hAnsi="Calibri"/>
          <w:color w:val="1F2937"/>
          <w:sz w:val="22"/>
        </w:rPr>
        <w:t>1.  Inventariseer op basis van tekeningen en procesinformatie welke onderdelen in aanmerking komen als kwikbron [33].</w:t>
      </w:r>
    </w:p>
    <w:p>
      <w:pPr>
        <w:spacing w:after="100"/>
        <w:ind w:left="340" w:hanging="340"/>
      </w:pPr>
      <w:r>
        <w:rPr>
          <w:rFonts w:ascii="Calibri" w:hAnsi="Calibri"/>
          <w:color w:val="1F2937"/>
          <w:sz w:val="22"/>
        </w:rPr>
        <w:t>2.  Voer een visuele inspectie uit op zichtbare sporen van elementair kwik (druppels, verkleuring) [33].</w:t>
      </w:r>
    </w:p>
    <w:p>
      <w:pPr>
        <w:spacing w:after="100"/>
        <w:ind w:left="340" w:hanging="340"/>
      </w:pPr>
      <w:r>
        <w:rPr>
          <w:rFonts w:ascii="Calibri" w:hAnsi="Calibri"/>
          <w:color w:val="1F2937"/>
          <w:sz w:val="22"/>
        </w:rPr>
        <w:t>3.  Markeer verdachte onderdelen en neem deze op in het kwikregister [33].</w:t>
      </w:r>
    </w:p>
    <w:p>
      <w:pPr>
        <w:spacing w:after="100"/>
        <w:ind w:left="340" w:hanging="340"/>
      </w:pPr>
      <w:r>
        <w:rPr>
          <w:rFonts w:ascii="Calibri" w:hAnsi="Calibri"/>
          <w:color w:val="1F2937"/>
          <w:sz w:val="22"/>
        </w:rPr>
        <w:t>4.  Bepaal per onderdeel de teststrategie: XRF-scan op locatie of bemonstering voor laboratoriumanalyse [33].</w:t>
      </w:r>
    </w:p>
    <w:p>
      <w:pPr>
        <w:spacing w:after="160"/>
      </w:pPr>
      <w:r>
        <w:rPr>
          <w:rFonts w:ascii="Calibri" w:hAnsi="Calibri"/>
          <w:b w:val="0"/>
          <w:i w:val="0"/>
          <w:color w:val="1F2937"/>
          <w:sz w:val="22"/>
        </w:rPr>
        <w:t>De resultaten van de survey worden vastgelegd in het kwikregister en vormen het vertrekpunt voor het meet- en inspectieplan van de removalfase [33]. Onderdelen die tijdens de survey niet als verdacht zijn aangemerkt, maar bij latere werkzaamheden toch kwiksporen vertonen, worden alsnog door de volledige procedure van detectie, containment en registratie gehaald [33]. De survey wordt uitgevoerd door daartoe opgeleid personeel onder verantwoordelijkheid van de projectleiding [33].</w:t>
      </w:r>
    </w:p>
    <w:p>
      <w:pPr>
        <w:pStyle w:val="Heading2"/>
      </w:pPr>
      <w:r>
        <w:t>4.3 Detectie en classificatie van materiaal</w:t>
      </w:r>
    </w:p>
    <w:p>
      <w:pPr>
        <w:spacing w:after="160"/>
      </w:pPr>
      <w:r>
        <w:rPr>
          <w:rFonts w:ascii="Calibri" w:hAnsi="Calibri"/>
          <w:b w:val="0"/>
          <w:i w:val="0"/>
          <w:color w:val="1F2937"/>
          <w:sz w:val="22"/>
        </w:rPr>
        <w:t>De audit schrijft als detectiemethoden XRF en laboratoriumanalyse voor [33]. De classificatie kent twee categorieën: verdacht materiaal en bevestigd besmet materiaal [33]. De criteria voor beide categorieën worden in het plan van aanpak vastgelegd [3][33].</w:t>
      </w:r>
    </w:p>
    <w:tbl>
      <w:tblPr>
        <w:tblStyle w:val="TableGrid"/>
        <w:tblW w:type="auto" w:w="0"/>
        <w:jc w:val="center"/>
        <w:tblLook w:firstColumn="1" w:firstRow="1" w:lastColumn="0" w:lastRow="0" w:noHBand="0" w:noVBand="1" w:val="04A0"/>
      </w:tblPr>
      <w:tblGrid>
        <w:gridCol w:w="3024"/>
        <w:gridCol w:w="3024"/>
        <w:gridCol w:w="3024"/>
      </w:tblGrid>
      <w:tr>
        <w:tc>
          <w:tcPr>
            <w:tcW w:type="dxa" w:w="1984"/>
            <w:shd w:val="clear" w:fill="003366"/>
          </w:tcPr>
          <w:p>
            <w:r/>
            <w:r>
              <w:rPr>
                <w:rFonts w:ascii="Calibri" w:hAnsi="Calibri"/>
                <w:b/>
                <w:color w:val="FFFFFF"/>
                <w:sz w:val="20"/>
              </w:rPr>
              <w:t>Categorie</w:t>
            </w:r>
          </w:p>
        </w:tc>
        <w:tc>
          <w:tcPr>
            <w:tcW w:type="dxa" w:w="3402"/>
            <w:shd w:val="clear" w:fill="003366"/>
          </w:tcPr>
          <w:p>
            <w:r/>
            <w:r>
              <w:rPr>
                <w:rFonts w:ascii="Calibri" w:hAnsi="Calibri"/>
                <w:b/>
                <w:color w:val="FFFFFF"/>
                <w:sz w:val="20"/>
              </w:rPr>
              <w:t>Criterium</w:t>
            </w:r>
          </w:p>
        </w:tc>
        <w:tc>
          <w:tcPr>
            <w:tcW w:type="dxa" w:w="3402"/>
            <w:shd w:val="clear" w:fill="003366"/>
          </w:tcPr>
          <w:p>
            <w:r/>
            <w:r>
              <w:rPr>
                <w:rFonts w:ascii="Calibri" w:hAnsi="Calibri"/>
                <w:b/>
                <w:color w:val="FFFFFF"/>
                <w:sz w:val="20"/>
              </w:rPr>
              <w:t>Vereiste behandeling</w:t>
            </w:r>
          </w:p>
        </w:tc>
      </w:tr>
      <w:tr>
        <w:tc>
          <w:tcPr>
            <w:tcW w:type="dxa" w:w="1984"/>
          </w:tcPr>
          <w:p>
            <w:r/>
            <w:r>
              <w:rPr>
                <w:rFonts w:ascii="Calibri" w:hAnsi="Calibri"/>
                <w:color w:val="1F2937"/>
                <w:sz w:val="20"/>
              </w:rPr>
              <w:t>Verdacht materiaal</w:t>
            </w:r>
          </w:p>
        </w:tc>
        <w:tc>
          <w:tcPr>
            <w:tcW w:type="dxa" w:w="3402"/>
          </w:tcPr>
          <w:p>
            <w:r/>
            <w:r>
              <w:rPr>
                <w:rFonts w:ascii="Calibri" w:hAnsi="Calibri"/>
                <w:color w:val="1F2937"/>
                <w:sz w:val="20"/>
              </w:rPr>
              <w:t>Voortgekomen uit de pre-removal survey; besmetting nog niet bevestigd</w:t>
            </w:r>
          </w:p>
        </w:tc>
        <w:tc>
          <w:tcPr>
            <w:tcW w:type="dxa" w:w="3402"/>
          </w:tcPr>
          <w:p>
            <w:r/>
            <w:r>
              <w:rPr>
                <w:rFonts w:ascii="Calibri" w:hAnsi="Calibri"/>
                <w:color w:val="1F2937"/>
                <w:sz w:val="20"/>
              </w:rPr>
              <w:t>Behandelen als besmet totdat analyse anders uitwijst [33]</w:t>
            </w:r>
          </w:p>
        </w:tc>
      </w:tr>
      <w:tr>
        <w:tc>
          <w:tcPr>
            <w:tcW w:type="dxa" w:w="1984"/>
            <w:shd w:val="clear" w:fill="F8F9FA"/>
          </w:tcPr>
          <w:p>
            <w:r/>
            <w:r>
              <w:rPr>
                <w:rFonts w:ascii="Calibri" w:hAnsi="Calibri"/>
                <w:color w:val="1F2937"/>
                <w:sz w:val="20"/>
              </w:rPr>
              <w:t>Bevestigd besmet</w:t>
            </w:r>
          </w:p>
        </w:tc>
        <w:tc>
          <w:tcPr>
            <w:tcW w:type="dxa" w:w="3402"/>
            <w:shd w:val="clear" w:fill="F8F9FA"/>
          </w:tcPr>
          <w:p>
            <w:r/>
            <w:r>
              <w:rPr>
                <w:rFonts w:ascii="Calibri" w:hAnsi="Calibri"/>
                <w:color w:val="1F2937"/>
                <w:sz w:val="20"/>
              </w:rPr>
              <w:t>Kwikvervuiling aangetoond via XRF of laboratoriumanalyse</w:t>
            </w:r>
          </w:p>
        </w:tc>
        <w:tc>
          <w:tcPr>
            <w:tcW w:type="dxa" w:w="3402"/>
            <w:shd w:val="clear" w:fill="F8F9FA"/>
          </w:tcPr>
          <w:p>
            <w:r/>
            <w:r>
              <w:rPr>
                <w:rFonts w:ascii="Calibri" w:hAnsi="Calibri"/>
                <w:color w:val="1F2937"/>
                <w:sz w:val="20"/>
              </w:rPr>
              <w:t>Volledige containmentprocedure, registratie en afvoer als kwikafval [33]</w:t>
            </w:r>
          </w:p>
        </w:tc>
      </w:tr>
    </w:tbl>
    <w:p>
      <w:pPr>
        <w:spacing w:after="40"/>
      </w:pPr>
    </w:p>
    <w:p>
      <w:pPr>
        <w:pStyle w:val="Heading2"/>
      </w:pPr>
      <w:r>
        <w:t>4.4 Verwijdering en containment</w:t>
      </w:r>
    </w:p>
    <w:p>
      <w:pPr>
        <w:spacing w:after="160"/>
      </w:pPr>
      <w:r>
        <w:rPr>
          <w:rFonts w:ascii="Calibri" w:hAnsi="Calibri"/>
          <w:b w:val="0"/>
          <w:i w:val="0"/>
          <w:color w:val="1F2937"/>
          <w:sz w:val="22"/>
        </w:rPr>
        <w:t>De verwijdering van besmette delen verloopt volgens een stapsgewijze procedure per fase: pre-removal, removal en post-removal [33]. Tijdelijke opslag offshore en overdracht naar land zijn onderdeel van de containmentprocedures [33]. De offshore logistiek — beperkte ruimte, weersomstandigheden en transportbeperkingen — is daarbij meegenomen in de planning [33].</w:t>
      </w:r>
    </w:p>
    <w:p>
      <w:pPr>
        <w:spacing w:after="100"/>
        <w:ind w:left="340" w:hanging="340"/>
      </w:pPr>
      <w:r>
        <w:rPr>
          <w:rFonts w:ascii="Calibri" w:hAnsi="Calibri"/>
          <w:color w:val="1F2937"/>
          <w:sz w:val="22"/>
        </w:rPr>
        <w:t>1.  Isoleer het installatiedeel van het proces en maak het drukloos [33].</w:t>
      </w:r>
    </w:p>
    <w:p>
      <w:pPr>
        <w:spacing w:after="100"/>
        <w:ind w:left="340" w:hanging="340"/>
      </w:pPr>
      <w:r>
        <w:rPr>
          <w:rFonts w:ascii="Calibri" w:hAnsi="Calibri"/>
          <w:color w:val="1F2937"/>
          <w:sz w:val="22"/>
        </w:rPr>
        <w:t>2.  Breng lokale containment aan rond de snij- of loskoppelpunten ter voorkoming van kwikdampvorming en verspreiding [13][33].</w:t>
      </w:r>
    </w:p>
    <w:p>
      <w:pPr>
        <w:spacing w:after="100"/>
        <w:ind w:left="340" w:hanging="340"/>
      </w:pPr>
      <w:r>
        <w:rPr>
          <w:rFonts w:ascii="Calibri" w:hAnsi="Calibri"/>
          <w:color w:val="1F2937"/>
          <w:sz w:val="22"/>
        </w:rPr>
        <w:t>3.  Verwijder het deel volgens de werkinstructie uit het plan van aanpak [3][33].</w:t>
      </w:r>
    </w:p>
    <w:p>
      <w:pPr>
        <w:spacing w:after="100"/>
        <w:ind w:left="340" w:hanging="340"/>
      </w:pPr>
      <w:r>
        <w:rPr>
          <w:rFonts w:ascii="Calibri" w:hAnsi="Calibri"/>
          <w:color w:val="1F2937"/>
          <w:sz w:val="22"/>
        </w:rPr>
        <w:t>4.  Verpak bevestigd besmet materiaal direct in daartoe geschikte, gelabelde containers [11][33].</w:t>
      </w:r>
    </w:p>
    <w:p>
      <w:pPr>
        <w:spacing w:after="100"/>
        <w:ind w:left="340" w:hanging="340"/>
      </w:pPr>
      <w:r>
        <w:rPr>
          <w:rFonts w:ascii="Calibri" w:hAnsi="Calibri"/>
          <w:color w:val="1F2937"/>
          <w:sz w:val="22"/>
        </w:rPr>
        <w:t>5.  Sla de containers op de daartoe aangewezen locatie op het platform op [11][33].</w:t>
      </w:r>
    </w:p>
    <w:p>
      <w:pPr>
        <w:spacing w:after="100"/>
        <w:ind w:left="340" w:hanging="340"/>
      </w:pPr>
      <w:r>
        <w:rPr>
          <w:rFonts w:ascii="Calibri" w:hAnsi="Calibri"/>
          <w:color w:val="1F2937"/>
          <w:sz w:val="22"/>
        </w:rPr>
        <w:t>6.  Documenteer elke overdracht van materiaal naar de wal in het kwikregister [33].</w:t>
      </w:r>
    </w:p>
    <w:p>
      <w:pPr>
        <w:spacing w:after="160"/>
      </w:pPr>
      <w:r>
        <w:rPr>
          <w:rFonts w:ascii="Calibri" w:hAnsi="Calibri"/>
          <w:b w:val="0"/>
          <w:i w:val="0"/>
          <w:color w:val="1F2937"/>
          <w:sz w:val="22"/>
        </w:rPr>
        <w:t>Tijdens de removalfase worden de werkzaamheden zodanig gepland dat besmette en vermoedelijk besmette delen niet tegelijk met reguliere sloopstroom worden verwerkt [33]. Snijwerkzaamheden aan besmette delen vinden uitsluitend plaats nadat de lokale containment is geïnstalleerd en gecontroleerd [33]. Na elke verwijdering wordt de werkplek gecontroleerd op achtergebleven kwikresten; bij een positieve bevinding volgt schoonmaking volgens de decontaminatieprocedure en registratie in het kwikregister [15][33]. In de post-removalfase worden de containers geïnventariseerd, gecontroleerd op integriteit en voorbereid op transport met bijbehorende documenten [12][33].</w:t>
      </w:r>
    </w:p>
    <w:p>
      <w:pPr>
        <w:pStyle w:val="Heading2"/>
      </w:pPr>
      <w:r>
        <w:t>4.5 Persoonlijke beschermingsmiddelen (PBM)</w:t>
      </w:r>
    </w:p>
    <w:p>
      <w:pPr>
        <w:spacing w:after="160"/>
      </w:pPr>
      <w:r>
        <w:rPr>
          <w:rFonts w:ascii="Calibri" w:hAnsi="Calibri"/>
          <w:b w:val="0"/>
          <w:i w:val="0"/>
          <w:color w:val="1F2937"/>
          <w:sz w:val="22"/>
        </w:rPr>
        <w:t>Bij werkzaamheden met (mogelijk) kwikhoudend materiaal is PBM voorgeschreven conform artikel 4.5 van het Arbobesluit [5], artikel 7 van de Kwikverordening [15] en AI-blad 18 [24]. De minimale specificatie:</w:t>
      </w:r>
    </w:p>
    <w:tbl>
      <w:tblPr>
        <w:tblStyle w:val="TableGrid"/>
        <w:tblW w:type="auto" w:w="0"/>
        <w:jc w:val="center"/>
        <w:tblLook w:firstColumn="1" w:firstRow="1" w:lastColumn="0" w:lastRow="0" w:noHBand="0" w:noVBand="1" w:val="04A0"/>
      </w:tblPr>
      <w:tblGrid>
        <w:gridCol w:w="4536"/>
        <w:gridCol w:w="4536"/>
      </w:tblGrid>
      <w:tr>
        <w:tc>
          <w:tcPr>
            <w:tcW w:type="dxa" w:w="2835"/>
            <w:shd w:val="clear" w:fill="003366"/>
          </w:tcPr>
          <w:p>
            <w:r/>
            <w:r>
              <w:rPr>
                <w:rFonts w:ascii="Calibri" w:hAnsi="Calibri"/>
                <w:b/>
                <w:color w:val="FFFFFF"/>
                <w:sz w:val="20"/>
              </w:rPr>
              <w:t>Beschermingsmiddel</w:t>
            </w:r>
          </w:p>
        </w:tc>
        <w:tc>
          <w:tcPr>
            <w:tcW w:type="dxa" w:w="5953"/>
            <w:shd w:val="clear" w:fill="003366"/>
          </w:tcPr>
          <w:p>
            <w:r/>
            <w:r>
              <w:rPr>
                <w:rFonts w:ascii="Calibri" w:hAnsi="Calibri"/>
                <w:b/>
                <w:color w:val="FFFFFF"/>
                <w:sz w:val="20"/>
              </w:rPr>
              <w:t>Specificatie</w:t>
            </w:r>
          </w:p>
        </w:tc>
      </w:tr>
      <w:tr>
        <w:tc>
          <w:tcPr>
            <w:tcW w:type="dxa" w:w="2835"/>
          </w:tcPr>
          <w:p>
            <w:r/>
            <w:r>
              <w:rPr>
                <w:rFonts w:ascii="Calibri" w:hAnsi="Calibri"/>
                <w:color w:val="1F2937"/>
                <w:sz w:val="20"/>
              </w:rPr>
              <w:t>Ademhalingsbescherming</w:t>
            </w:r>
          </w:p>
        </w:tc>
        <w:tc>
          <w:tcPr>
            <w:tcW w:type="dxa" w:w="5953"/>
          </w:tcPr>
          <w:p>
            <w:r/>
            <w:r>
              <w:rPr>
                <w:rFonts w:ascii="Calibri" w:hAnsi="Calibri"/>
                <w:color w:val="1F2937"/>
                <w:sz w:val="20"/>
              </w:rPr>
              <w:t>FFP3 (beschermingsfactor 50) of P3 volgelaatsmasker (beschermingsfactor 1000) [33]</w:t>
            </w:r>
          </w:p>
        </w:tc>
      </w:tr>
      <w:tr>
        <w:tc>
          <w:tcPr>
            <w:tcW w:type="dxa" w:w="2835"/>
            <w:shd w:val="clear" w:fill="F8F9FA"/>
          </w:tcPr>
          <w:p>
            <w:r/>
            <w:r>
              <w:rPr>
                <w:rFonts w:ascii="Calibri" w:hAnsi="Calibri"/>
                <w:color w:val="1F2937"/>
                <w:sz w:val="20"/>
              </w:rPr>
              <w:t>Handschoenen</w:t>
            </w:r>
          </w:p>
        </w:tc>
        <w:tc>
          <w:tcPr>
            <w:tcW w:type="dxa" w:w="5953"/>
            <w:shd w:val="clear" w:fill="F8F9FA"/>
          </w:tcPr>
          <w:p>
            <w:r/>
            <w:r>
              <w:rPr>
                <w:rFonts w:ascii="Calibri" w:hAnsi="Calibri"/>
                <w:color w:val="1F2937"/>
                <w:sz w:val="20"/>
              </w:rPr>
              <w:t>Nitril, voldoende dikte voor het werken met vloeibare stoffen [33]</w:t>
            </w:r>
          </w:p>
        </w:tc>
      </w:tr>
      <w:tr>
        <w:tc>
          <w:tcPr>
            <w:tcW w:type="dxa" w:w="2835"/>
          </w:tcPr>
          <w:p>
            <w:r/>
            <w:r>
              <w:rPr>
                <w:rFonts w:ascii="Calibri" w:hAnsi="Calibri"/>
                <w:color w:val="1F2937"/>
                <w:sz w:val="20"/>
              </w:rPr>
              <w:t>Beschermende kleding</w:t>
            </w:r>
          </w:p>
        </w:tc>
        <w:tc>
          <w:tcPr>
            <w:tcW w:type="dxa" w:w="5953"/>
          </w:tcPr>
          <w:p>
            <w:r/>
            <w:r>
              <w:rPr>
                <w:rFonts w:ascii="Calibri" w:hAnsi="Calibri"/>
                <w:color w:val="1F2937"/>
                <w:sz w:val="20"/>
              </w:rPr>
              <w:t>Disposable type 5/6 [33]</w:t>
            </w:r>
          </w:p>
        </w:tc>
      </w:tr>
      <w:tr>
        <w:tc>
          <w:tcPr>
            <w:tcW w:type="dxa" w:w="2835"/>
            <w:shd w:val="clear" w:fill="F8F9FA"/>
          </w:tcPr>
          <w:p>
            <w:r/>
            <w:r>
              <w:rPr>
                <w:rFonts w:ascii="Calibri" w:hAnsi="Calibri"/>
                <w:color w:val="1F2937"/>
                <w:sz w:val="20"/>
              </w:rPr>
              <w:t>Oogbescherming</w:t>
            </w:r>
          </w:p>
        </w:tc>
        <w:tc>
          <w:tcPr>
            <w:tcW w:type="dxa" w:w="5953"/>
            <w:shd w:val="clear" w:fill="F8F9FA"/>
          </w:tcPr>
          <w:p>
            <w:r/>
            <w:r>
              <w:rPr>
                <w:rFonts w:ascii="Calibri" w:hAnsi="Calibri"/>
                <w:color w:val="1F2937"/>
                <w:sz w:val="20"/>
              </w:rPr>
              <w:t>Afgesloten veiligheidsbril of goggle [33]</w:t>
            </w:r>
          </w:p>
        </w:tc>
      </w:tr>
      <w:tr>
        <w:tc>
          <w:tcPr>
            <w:tcW w:type="dxa" w:w="2835"/>
          </w:tcPr>
          <w:p>
            <w:r/>
            <w:r>
              <w:rPr>
                <w:rFonts w:ascii="Calibri" w:hAnsi="Calibri"/>
                <w:color w:val="1F2937"/>
                <w:sz w:val="20"/>
              </w:rPr>
              <w:t>Voetbescherming</w:t>
            </w:r>
          </w:p>
        </w:tc>
        <w:tc>
          <w:tcPr>
            <w:tcW w:type="dxa" w:w="5953"/>
          </w:tcPr>
          <w:p>
            <w:r/>
            <w:r>
              <w:rPr>
                <w:rFonts w:ascii="Calibri" w:hAnsi="Calibri"/>
                <w:color w:val="1F2937"/>
                <w:sz w:val="20"/>
              </w:rPr>
              <w:t>Laarzen met overschoenen [33]</w:t>
            </w:r>
          </w:p>
        </w:tc>
      </w:tr>
    </w:tbl>
    <w:p>
      <w:pPr>
        <w:spacing w:after="40"/>
      </w:pPr>
    </w:p>
    <w:p>
      <w:pPr>
        <w:spacing w:after="160"/>
      </w:pPr>
      <w:r>
        <w:rPr>
          <w:rFonts w:ascii="Calibri" w:hAnsi="Calibri"/>
          <w:b w:val="0"/>
          <w:i w:val="0"/>
          <w:color w:val="1F2937"/>
          <w:sz w:val="22"/>
        </w:rPr>
        <w:t>De keuze tussen FFP3 en het volgelaatsmasker wordt bepaald door de te verwachten concentratie en de resultaten van de luchtmetingen [8][33]. Het verplichte beschermingsniveau geldt voor alle categorieën personen zoals omschreven in hoofdstuk 2.1 [33].</w:t>
      </w:r>
    </w:p>
    <w:p>
      <w:pPr>
        <w:spacing w:after="160"/>
      </w:pPr>
      <w:r>
        <w:rPr>
          <w:rFonts w:ascii="Calibri" w:hAnsi="Calibri"/>
          <w:b w:val="0"/>
          <w:i w:val="0"/>
          <w:color w:val="1F2937"/>
          <w:sz w:val="22"/>
        </w:rPr>
        <w:t>Het beheer van de PBM is geregistreerd in het PBM-log [33]. Ademhalingsbescherming wordt uitsluitend uitgegeven aan personeel dat hiervoor getraind en fit-getest is; de fit-test en de instructie worden in het trainingsregister vastgelegd [4][33]. Filters worden volgens de aanwijzing van de fabrikant en de meetresultaten vervangen; gebruikte disposables en filters worden als kwikhoudend afval afgevoerd [12][33]. Voor het aan- en uittrekken gelden vaste volgordes om kruisbesmetting te voorkomen [23][33].</w:t>
      </w:r>
    </w:p>
    <w:p>
      <w:pPr>
        <w:pStyle w:val="Heading2"/>
      </w:pPr>
      <w:r>
        <w:t>4.6 Grenswaarden en luchtmetingen</w:t>
      </w:r>
    </w:p>
    <w:p>
      <w:pPr>
        <w:spacing w:after="160"/>
      </w:pPr>
      <w:r>
        <w:rPr>
          <w:rFonts w:ascii="Calibri" w:hAnsi="Calibri"/>
          <w:b w:val="0"/>
          <w:i w:val="0"/>
          <w:color w:val="1F2937"/>
          <w:sz w:val="22"/>
        </w:rPr>
        <w:t>De wettelijke grenswaarden voor kwik en anorganische kwikverbindingen zijn vastgelegd conform artikel 4.7 van het Arbobesluit en de SER-grenswaarden [7][26]:</w:t>
      </w:r>
    </w:p>
    <w:tbl>
      <w:tblPr>
        <w:tblStyle w:val="TableGrid"/>
        <w:tblW w:type="auto" w:w="0"/>
        <w:jc w:val="center"/>
        <w:tblLook w:firstColumn="1" w:firstRow="1" w:lastColumn="0" w:lastRow="0" w:noHBand="0" w:noVBand="1" w:val="04A0"/>
      </w:tblPr>
      <w:tblGrid>
        <w:gridCol w:w="3024"/>
        <w:gridCol w:w="3024"/>
        <w:gridCol w:w="3024"/>
      </w:tblGrid>
      <w:tr>
        <w:tc>
          <w:tcPr>
            <w:tcW w:type="dxa" w:w="2835"/>
            <w:shd w:val="clear" w:fill="003366"/>
          </w:tcPr>
          <w:p>
            <w:r/>
            <w:r>
              <w:rPr>
                <w:rFonts w:ascii="Calibri" w:hAnsi="Calibri"/>
                <w:b/>
                <w:color w:val="FFFFFF"/>
                <w:sz w:val="20"/>
              </w:rPr>
              <w:t>Parameter</w:t>
            </w:r>
          </w:p>
        </w:tc>
        <w:tc>
          <w:tcPr>
            <w:tcW w:type="dxa" w:w="2268"/>
            <w:shd w:val="clear" w:fill="003366"/>
          </w:tcPr>
          <w:p>
            <w:r/>
            <w:r>
              <w:rPr>
                <w:rFonts w:ascii="Calibri" w:hAnsi="Calibri"/>
                <w:b/>
                <w:color w:val="FFFFFF"/>
                <w:sz w:val="20"/>
              </w:rPr>
              <w:t>Waarde</w:t>
            </w:r>
          </w:p>
        </w:tc>
        <w:tc>
          <w:tcPr>
            <w:tcW w:type="dxa" w:w="3685"/>
            <w:shd w:val="clear" w:fill="003366"/>
          </w:tcPr>
          <w:p>
            <w:r/>
            <w:r>
              <w:rPr>
                <w:rFonts w:ascii="Calibri" w:hAnsi="Calibri"/>
                <w:b/>
                <w:color w:val="FFFFFF"/>
                <w:sz w:val="20"/>
              </w:rPr>
              <w:t>Grondslag</w:t>
            </w:r>
          </w:p>
        </w:tc>
      </w:tr>
      <w:tr>
        <w:tc>
          <w:tcPr>
            <w:tcW w:type="dxa" w:w="2835"/>
          </w:tcPr>
          <w:p>
            <w:r/>
            <w:r>
              <w:rPr>
                <w:rFonts w:ascii="Calibri" w:hAnsi="Calibri"/>
                <w:color w:val="1F2937"/>
                <w:sz w:val="20"/>
              </w:rPr>
              <w:t>8-uurs TWA</w:t>
            </w:r>
          </w:p>
        </w:tc>
        <w:tc>
          <w:tcPr>
            <w:tcW w:type="dxa" w:w="2268"/>
          </w:tcPr>
          <w:p>
            <w:r/>
            <w:r>
              <w:rPr>
                <w:rFonts w:ascii="Calibri" w:hAnsi="Calibri"/>
                <w:color w:val="1F2937"/>
                <w:sz w:val="20"/>
              </w:rPr>
              <w:t>0,02 mg/m³</w:t>
            </w:r>
          </w:p>
        </w:tc>
        <w:tc>
          <w:tcPr>
            <w:tcW w:type="dxa" w:w="3685"/>
          </w:tcPr>
          <w:p>
            <w:r/>
            <w:r>
              <w:rPr>
                <w:rFonts w:ascii="Calibri" w:hAnsi="Calibri"/>
                <w:color w:val="1F2937"/>
                <w:sz w:val="20"/>
              </w:rPr>
              <w:t>Arbobesluit art. 4.7 / SER [7][26]</w:t>
            </w:r>
          </w:p>
        </w:tc>
      </w:tr>
      <w:tr>
        <w:tc>
          <w:tcPr>
            <w:tcW w:type="dxa" w:w="2835"/>
            <w:shd w:val="clear" w:fill="F8F9FA"/>
          </w:tcPr>
          <w:p>
            <w:r/>
            <w:r>
              <w:rPr>
                <w:rFonts w:ascii="Calibri" w:hAnsi="Calibri"/>
                <w:color w:val="1F2937"/>
                <w:sz w:val="20"/>
              </w:rPr>
              <w:t>STEL (15 minuten)</w:t>
            </w:r>
          </w:p>
        </w:tc>
        <w:tc>
          <w:tcPr>
            <w:tcW w:type="dxa" w:w="2268"/>
            <w:shd w:val="clear" w:fill="F8F9FA"/>
          </w:tcPr>
          <w:p>
            <w:r/>
            <w:r>
              <w:rPr>
                <w:rFonts w:ascii="Calibri" w:hAnsi="Calibri"/>
                <w:color w:val="1F2937"/>
                <w:sz w:val="20"/>
              </w:rPr>
              <w:t>— (geen STEL in NL)</w:t>
            </w:r>
          </w:p>
        </w:tc>
        <w:tc>
          <w:tcPr>
            <w:tcW w:type="dxa" w:w="3685"/>
            <w:shd w:val="clear" w:fill="F8F9FA"/>
          </w:tcPr>
          <w:p>
            <w:r/>
            <w:r>
              <w:rPr>
                <w:rFonts w:ascii="Calibri" w:hAnsi="Calibri"/>
                <w:color w:val="1F2937"/>
                <w:sz w:val="20"/>
              </w:rPr>
              <w:t>Arbobesluit art. 4.7 / SER [7][26]</w:t>
            </w:r>
          </w:p>
        </w:tc>
      </w:tr>
    </w:tbl>
    <w:p>
      <w:pPr>
        <w:spacing w:after="40"/>
      </w:pPr>
    </w:p>
    <w:p>
      <w:pPr>
        <w:spacing w:after="160"/>
      </w:pPr>
      <w:r>
        <w:rPr>
          <w:rFonts w:ascii="Calibri" w:hAnsi="Calibri"/>
          <w:b w:val="0"/>
          <w:i w:val="0"/>
          <w:color w:val="1F2937"/>
          <w:sz w:val="22"/>
        </w:rPr>
        <w:t>Luchtmetingen zijn verplicht volgens artikel 4.10 van het Arbobesluit [8] en artikel 9 van de Kwikverordening [17]. Het meetprotocol beschrijft ten minste: de methodiek, het tijdstip en de frequentie van metingen, de meetlocaties en wie de metingen uitvoert en beoordeelt [33]. Vooraf worden actiewaarden vastgesteld: bij overschrijding hiervan volgen direct aanvullende maatregelen, zoals verhoging van het PBM-niveau, extra ventilatie of stillegging van het werk [33]. Metingsresultaten worden gerapporteerd conform artikel 4.10 van het Arbobesluit en artikel 9 van de Kwikverordening [8][17] en bewaard in het kwikregister [33].</w:t>
      </w:r>
    </w:p>
    <w:p>
      <w:pPr>
        <w:spacing w:after="160"/>
      </w:pPr>
      <w:r>
        <w:rPr>
          <w:rFonts w:ascii="Calibri" w:hAnsi="Calibri"/>
          <w:b w:val="0"/>
          <w:i w:val="0"/>
          <w:color w:val="1F2937"/>
          <w:sz w:val="22"/>
        </w:rPr>
        <w:t>De meetstrategie onderscheidt basismetingen (vóór aanvang, ter bepaling van de achtergrondconcentratie op het platform), taakmetingen (tijdens verwijderingswerkzaamheden aan verdacht of besmet materiaal) en controlemetingen (na afronding van de werkzaamheden en vóór vrijgave van de werkplek) [8][33]. Personengebonden metingen worden ingezet wanneer taakmetingen wijzen op mogelijke overschrijding van de actiewaarden [8][33]. Bij een meetresultaat boven de wettelijke grenswaarden wordt het werk stilgelegd, wordt de oorzaak geanalyseerd en wordt de situatie pas na herstelmaatregelen en een controlemeting hervat [8][33]. Alle meetresultaten zijn herleidbaar aan locatie, tijdstip, methode en uitvoerder [8][17][33].</w:t>
      </w:r>
    </w:p>
    <w:p>
      <w:pPr>
        <w:pStyle w:val="Heading2"/>
      </w:pPr>
      <w:r>
        <w:t>4.7 Veiligheidsinformatie en etikettering</w:t>
      </w:r>
    </w:p>
    <w:p>
      <w:pPr>
        <w:spacing w:after="160"/>
      </w:pPr>
      <w:r>
        <w:rPr>
          <w:rFonts w:ascii="Calibri" w:hAnsi="Calibri"/>
          <w:b w:val="0"/>
          <w:i w:val="0"/>
          <w:color w:val="1F2937"/>
          <w:sz w:val="22"/>
        </w:rPr>
        <w:t>Van kwik is een SDS beschikbaar op de werklocatie en digitaal raadpleegbaar, conform artikel 4.12 van het Arbobesluit en artikel 31 van REACH [10][20]. De etikettering van kwik en kwikhoudende containers voldoet aan de CLP-verordening [21]. De classificatie van elementair kwik [21][22]:</w:t>
      </w:r>
    </w:p>
    <w:tbl>
      <w:tblPr>
        <w:tblStyle w:val="TableGrid"/>
        <w:tblW w:type="auto" w:w="0"/>
        <w:jc w:val="center"/>
        <w:tblLook w:firstColumn="1" w:firstRow="1" w:lastColumn="0" w:lastRow="0" w:noHBand="0" w:noVBand="1" w:val="04A0"/>
      </w:tblPr>
      <w:tblGrid>
        <w:gridCol w:w="4536"/>
        <w:gridCol w:w="4536"/>
      </w:tblGrid>
      <w:tr>
        <w:tc>
          <w:tcPr>
            <w:tcW w:type="dxa" w:w="1984"/>
            <w:shd w:val="clear" w:fill="003366"/>
          </w:tcPr>
          <w:p>
            <w:r/>
            <w:r>
              <w:rPr>
                <w:rFonts w:ascii="Calibri" w:hAnsi="Calibri"/>
                <w:b/>
                <w:color w:val="FFFFFF"/>
                <w:sz w:val="20"/>
              </w:rPr>
              <w:t>Element</w:t>
            </w:r>
          </w:p>
        </w:tc>
        <w:tc>
          <w:tcPr>
            <w:tcW w:type="dxa" w:w="6803"/>
            <w:shd w:val="clear" w:fill="003366"/>
          </w:tcPr>
          <w:p>
            <w:r/>
            <w:r>
              <w:rPr>
                <w:rFonts w:ascii="Calibri" w:hAnsi="Calibri"/>
                <w:b/>
                <w:color w:val="FFFFFF"/>
                <w:sz w:val="20"/>
              </w:rPr>
              <w:t>Inhoud</w:t>
            </w:r>
          </w:p>
        </w:tc>
      </w:tr>
      <w:tr>
        <w:tc>
          <w:tcPr>
            <w:tcW w:type="dxa" w:w="1984"/>
          </w:tcPr>
          <w:p>
            <w:r/>
            <w:r>
              <w:rPr>
                <w:rFonts w:ascii="Calibri" w:hAnsi="Calibri"/>
                <w:color w:val="1F2937"/>
                <w:sz w:val="20"/>
              </w:rPr>
              <w:t>Stof</w:t>
            </w:r>
          </w:p>
        </w:tc>
        <w:tc>
          <w:tcPr>
            <w:tcW w:type="dxa" w:w="6803"/>
          </w:tcPr>
          <w:p>
            <w:r/>
            <w:r>
              <w:rPr>
                <w:rFonts w:ascii="Calibri" w:hAnsi="Calibri"/>
                <w:color w:val="1F2937"/>
                <w:sz w:val="20"/>
              </w:rPr>
              <w:t>Kwik (elementair), CAS 7439-97-6 [21]</w:t>
            </w:r>
          </w:p>
        </w:tc>
      </w:tr>
      <w:tr>
        <w:tc>
          <w:tcPr>
            <w:tcW w:type="dxa" w:w="1984"/>
            <w:shd w:val="clear" w:fill="F8F9FA"/>
          </w:tcPr>
          <w:p>
            <w:r/>
            <w:r>
              <w:rPr>
                <w:rFonts w:ascii="Calibri" w:hAnsi="Calibri"/>
                <w:color w:val="1F2937"/>
                <w:sz w:val="20"/>
              </w:rPr>
              <w:t>H-zinnen</w:t>
            </w:r>
          </w:p>
        </w:tc>
        <w:tc>
          <w:tcPr>
            <w:tcW w:type="dxa" w:w="6803"/>
            <w:shd w:val="clear" w:fill="F8F9FA"/>
          </w:tcPr>
          <w:p>
            <w:r/>
            <w:r>
              <w:rPr>
                <w:rFonts w:ascii="Calibri" w:hAnsi="Calibri"/>
                <w:color w:val="1F2937"/>
                <w:sz w:val="20"/>
              </w:rPr>
              <w:t>H360D — kan de vruchtbaarheid of het ongeboren kind schaden; H372 — kan de organen beschadigen bij langdurige of herhaalde blootstelling; H410 — zeer giftig voor waterorganismen met langetermijneffecten [21][22]</w:t>
            </w:r>
          </w:p>
        </w:tc>
      </w:tr>
      <w:tr>
        <w:tc>
          <w:tcPr>
            <w:tcW w:type="dxa" w:w="1984"/>
          </w:tcPr>
          <w:p>
            <w:r/>
            <w:r>
              <w:rPr>
                <w:rFonts w:ascii="Calibri" w:hAnsi="Calibri"/>
                <w:color w:val="1F2937"/>
                <w:sz w:val="20"/>
              </w:rPr>
              <w:t>P-zinnen</w:t>
            </w:r>
          </w:p>
        </w:tc>
        <w:tc>
          <w:tcPr>
            <w:tcW w:type="dxa" w:w="6803"/>
          </w:tcPr>
          <w:p>
            <w:r/>
            <w:r>
              <w:rPr>
                <w:rFonts w:ascii="Calibri" w:hAnsi="Calibri"/>
                <w:color w:val="1F2937"/>
                <w:sz w:val="20"/>
              </w:rPr>
              <w:t>P201, P260, P281, P301+P310+P330, P304+P340+P312, P405, P501 [21]</w:t>
            </w:r>
          </w:p>
        </w:tc>
      </w:tr>
    </w:tbl>
    <w:p>
      <w:pPr>
        <w:spacing w:after="40"/>
      </w:pPr>
    </w:p>
    <w:p>
      <w:pPr>
        <w:spacing w:after="160"/>
      </w:pPr>
      <w:r>
        <w:rPr>
          <w:rFonts w:ascii="Calibri" w:hAnsi="Calibri"/>
          <w:b w:val="0"/>
          <w:i w:val="0"/>
          <w:color w:val="1F2937"/>
          <w:sz w:val="22"/>
        </w:rPr>
        <w:t>Alle opslag- en transportcontainers voor kwikhoudend materiaal dragen deze etikettering; dit is verplicht volgens artikel 4.15 van het Arbobesluit, artikel 5 van de Kwikverordening en de CLP-etiketteringseisen [11][14][21].</w:t>
      </w:r>
    </w:p>
    <w:p>
      <w:pPr>
        <w:pStyle w:val="Heading2"/>
      </w:pPr>
      <w:r>
        <w:t>4.8 Opslag</w:t>
      </w:r>
    </w:p>
    <w:p>
      <w:pPr>
        <w:spacing w:after="160"/>
      </w:pPr>
      <w:r>
        <w:rPr>
          <w:rFonts w:ascii="Calibri" w:hAnsi="Calibri"/>
          <w:b w:val="0"/>
          <w:i w:val="0"/>
          <w:color w:val="1F2937"/>
          <w:sz w:val="22"/>
        </w:rPr>
        <w:t>De opslag van kwikhoudend materiaal offshore voldoet aan artikel 4.15 van het Arbobesluit [11], artikel 7 van de Kwikverordening [15], de Bal [19] en de PGS-richtlijnen 6 en 12 voor opslag en handling van gevaarlijke stoffen [27][28]. De opslageisen omvatten: het type container, de etikettering, temperatuurbeheersing en ventilatie van de opslaglocatie [33]. De opslaglocatie is afgeschermd, alleen toegankelijk voor bevoegd personeel en voorzien van lekbakken [33].</w:t>
      </w:r>
    </w:p>
    <w:p>
      <w:pPr>
        <w:spacing w:after="160"/>
      </w:pPr>
      <w:r>
        <w:rPr>
          <w:rFonts w:ascii="Calibri" w:hAnsi="Calibri"/>
          <w:b w:val="0"/>
          <w:i w:val="0"/>
          <w:color w:val="1F2937"/>
          <w:sz w:val="22"/>
        </w:rPr>
        <w:t>Gezien de beperkte ruimte op het platform wordt de opslagcapaciteit in het plan van aanpak afgestemd op de verwachte hoeveelheid kwikhoudend materiaal en de afvoerfrequentie naar de wal [3][33]. Containers worden zodanig gestapeld en vastgezet dat verplaatsing door scheepsbewegingen wordt voorkomen [33]. De opslaglocatie wordt periodiek geïnspecteerd op de integriteit van containers en etikettering; bevindingen worden in het kwikregister genoteerd [33]. Bij voorziene langere opslagduur worden aanvullende eisen uit PGS 6 en PGS 12 toegepast [27][28].</w:t>
      </w:r>
    </w:p>
    <w:p>
      <w:pPr>
        <w:pStyle w:val="Heading2"/>
      </w:pPr>
      <w:r>
        <w:t>4.9 Transport en afvoer</w:t>
      </w:r>
    </w:p>
    <w:p>
      <w:pPr>
        <w:spacing w:after="160"/>
      </w:pPr>
      <w:r>
        <w:rPr>
          <w:rFonts w:ascii="Calibri" w:hAnsi="Calibri"/>
          <w:b w:val="0"/>
          <w:i w:val="0"/>
          <w:color w:val="1F2937"/>
          <w:sz w:val="22"/>
        </w:rPr>
        <w:t>Transport en afvoer van kwikafval volgen artikel 4.17 van het Arbobesluit [12] en artikel 8 van de Kwikverordening [16]. Het maritieme en wegtransport voldoen aan de ADR-classificatie; de vervoersdocumenten zijn volledig en de vervoerder is erkend voor het vervoer van gevaarlijke stoffen [33]. De afvoer geschiedt uitsluitend naar een erkende verwerker, waarbij de acceptatiecriteria van de verwerker vooraf zijn vastgesteld en de volledige documentatie van afgifte tot verwerking wordt bewaard [33]. Begeleidende transportdocumenten vermelden de CLP-classificatie en de aard van het afval [21][33].</w:t>
      </w:r>
    </w:p>
    <w:p>
      <w:pPr>
        <w:spacing w:after="160"/>
      </w:pPr>
      <w:r>
        <w:rPr>
          <w:rFonts w:ascii="Calibri" w:hAnsi="Calibri"/>
          <w:b w:val="0"/>
          <w:i w:val="0"/>
          <w:color w:val="1F2937"/>
          <w:sz w:val="22"/>
        </w:rPr>
        <w:t>De volledige logistieke keten — van container op het platform, via scheepstransport en wegtransport, tot ontvangst bij de verwerker — is gedocumenteerd en voorzien van overdrachtsmomenten met handtekening van beide partijen [12][33]. Vooraf wordt geverifieerd dat de verwerker de aangeboden afvalcategorie mag accepteren; de bevestiging van de acceptatiecriteria maakt deel uit van het projectdossier [33]. Bij weersomstandigheden die transport onveilig maken, wordt het overdrachtsmoment verplaatst; de opslag op het platform blijft gedurende die periode voldoen aan de eisen uit paragraaf 4.8 [33].</w:t>
      </w:r>
    </w:p>
    <w:p>
      <w:pPr>
        <w:pStyle w:val="Heading2"/>
      </w:pPr>
      <w:r>
        <w:t>4.10 Decontaminatie</w:t>
      </w:r>
    </w:p>
    <w:p>
      <w:pPr>
        <w:spacing w:after="160"/>
      </w:pPr>
      <w:r>
        <w:rPr>
          <w:rFonts w:ascii="Calibri" w:hAnsi="Calibri"/>
          <w:b w:val="0"/>
          <w:i w:val="0"/>
          <w:color w:val="1F2937"/>
          <w:sz w:val="22"/>
        </w:rPr>
        <w:t>Na contact met kwik of bij beëindiging van de werkzaamheden vindt decontaminatie plaats van personen, PBM en materieel [33]. De decontaminatieprocedure is vastgelegd conform artikel 7 van de Kwikverordening [15] en AI-blad 31 [23]. Gebruikte disposable PBM worden als kwikhoudend afval afgevoerd [33]. De was- en douchefaciliteiten op het platform zijn zodanig ingericht dat kruisbesmetting wordt voorkomen [33]. Voor laboratoriumondersteunende activiteiten gelden de aanvullende eisen uit AI-blad 64 [25].</w:t>
      </w:r>
    </w:p>
    <w:p>
      <w:pPr>
        <w:spacing w:after="100"/>
        <w:ind w:left="340" w:hanging="340"/>
      </w:pPr>
      <w:r>
        <w:rPr>
          <w:rFonts w:ascii="Calibri" w:hAnsi="Calibri"/>
          <w:color w:val="1F2937"/>
          <w:sz w:val="22"/>
        </w:rPr>
        <w:t>1.  Verlaat de besmette zone via de daarvoor bestemde route; verwijder disposable kleding en overschoenen in de daartoe aangewezen afvalcontainers [15][33].</w:t>
      </w:r>
    </w:p>
    <w:p>
      <w:pPr>
        <w:spacing w:after="100"/>
        <w:ind w:left="340" w:hanging="340"/>
      </w:pPr>
      <w:r>
        <w:rPr>
          <w:rFonts w:ascii="Calibri" w:hAnsi="Calibri"/>
          <w:color w:val="1F2937"/>
          <w:sz w:val="22"/>
        </w:rPr>
        <w:t>2.  Reinig gereedschap en herbruikbaar materieel volgens de werkinstructie; controleer op kwikresten [33].</w:t>
      </w:r>
    </w:p>
    <w:p>
      <w:pPr>
        <w:spacing w:after="100"/>
        <w:ind w:left="340" w:hanging="340"/>
      </w:pPr>
      <w:r>
        <w:rPr>
          <w:rFonts w:ascii="Calibri" w:hAnsi="Calibri"/>
          <w:color w:val="1F2937"/>
          <w:sz w:val="22"/>
        </w:rPr>
        <w:t>3.  Was handen en onderarmen en douche bij zichtbare besmetting of na afloop van werk aan bevestigd besmet materiaal [23][33].</w:t>
      </w:r>
    </w:p>
    <w:p>
      <w:pPr>
        <w:spacing w:after="100"/>
        <w:ind w:left="340" w:hanging="340"/>
      </w:pPr>
      <w:r>
        <w:rPr>
          <w:rFonts w:ascii="Calibri" w:hAnsi="Calibri"/>
          <w:color w:val="1F2937"/>
          <w:sz w:val="22"/>
        </w:rPr>
        <w:t>4.  Voer alle reinigingsmaterialen en disposables af als kwikhoudend afval [12][33].</w:t>
      </w:r>
    </w:p>
    <w:p>
      <w:pPr>
        <w:spacing w:after="100"/>
        <w:ind w:left="340" w:hanging="340"/>
      </w:pPr>
      <w:r>
        <w:rPr>
          <w:rFonts w:ascii="Calibri" w:hAnsi="Calibri"/>
          <w:color w:val="1F2937"/>
          <w:sz w:val="22"/>
        </w:rPr>
        <w:t>5.  Registreer de decontaminatie in het kwikregister [33].</w:t>
      </w:r>
    </w:p>
    <w:p>
      <w:pPr>
        <w:pStyle w:val="Heading2"/>
      </w:pPr>
      <w:r>
        <w:t>4.11 Noodprocedure (EMVI)</w:t>
      </w:r>
    </w:p>
    <w:p>
      <w:pPr>
        <w:spacing w:after="160"/>
      </w:pPr>
      <w:r>
        <w:rPr>
          <w:rFonts w:ascii="Calibri" w:hAnsi="Calibri"/>
          <w:b w:val="0"/>
          <w:i w:val="0"/>
          <w:color w:val="1F2937"/>
          <w:sz w:val="22"/>
        </w:rPr>
        <w:t>Er is een EMVI-procedure voor ongevallen en incidenten met kwik, verplicht volgens artikel 4.11 van het Arbobesluit [9] en AI-blad 31 [23]. De procedure beschrijft ten minste: de handelingen bij lekkage of kwikdampemissie, de alarmeringslijn (wie wordt gewaarschuwd), de eerste hulp bij blootstelling via inhalatie, huid of inslikken, en de medische opvang [33]. Bij symptomen van blootstelling wordt de blootgestelde persoon uit de besmette zone gehaald en medisch beoordeeld [33]. Elk kwikincident wordt geregistreerd en gerapporteerd conform de rapportageverplichtingen [8][17].</w:t>
      </w:r>
    </w:p>
    <w:p>
      <w:pPr>
        <w:spacing w:after="100"/>
        <w:ind w:left="340" w:hanging="340"/>
      </w:pPr>
      <w:r>
        <w:rPr>
          <w:rFonts w:ascii="Calibri" w:hAnsi="Calibri"/>
          <w:color w:val="1F2937"/>
          <w:sz w:val="22"/>
        </w:rPr>
        <w:t>1.  Stop de werkzaamheden en waarschuw direct de directe leidinggevende en de HSEQ-functionaris [9][33].</w:t>
      </w:r>
    </w:p>
    <w:p>
      <w:pPr>
        <w:spacing w:after="100"/>
        <w:ind w:left="340" w:hanging="340"/>
      </w:pPr>
      <w:r>
        <w:rPr>
          <w:rFonts w:ascii="Calibri" w:hAnsi="Calibri"/>
          <w:color w:val="1F2937"/>
          <w:sz w:val="22"/>
        </w:rPr>
        <w:t>2.  Breng de omgeving in veiligheid: verwijder personen uit de besmette zone, isoleer de lekkage en voorkom verspreiding naar het mariene milieu [9][33].</w:t>
      </w:r>
    </w:p>
    <w:p>
      <w:pPr>
        <w:spacing w:after="100"/>
        <w:ind w:left="340" w:hanging="340"/>
      </w:pPr>
      <w:r>
        <w:rPr>
          <w:rFonts w:ascii="Calibri" w:hAnsi="Calibri"/>
          <w:color w:val="1F2937"/>
          <w:sz w:val="22"/>
        </w:rPr>
        <w:t>3.  Verleen eerste hulp: bij inhalatie frisse lucht en medische beoordeling; bij huidcontact decontaminatie; bij inslikken direct medische hulp [33].</w:t>
      </w:r>
    </w:p>
    <w:p>
      <w:pPr>
        <w:spacing w:after="100"/>
        <w:ind w:left="340" w:hanging="340"/>
      </w:pPr>
      <w:r>
        <w:rPr>
          <w:rFonts w:ascii="Calibri" w:hAnsi="Calibri"/>
          <w:color w:val="1F2937"/>
          <w:sz w:val="22"/>
        </w:rPr>
        <w:t>4.  Activeer de alarmeringslijn zoals vastgelegd in de EMVI, inclusief medische opvang [33].</w:t>
      </w:r>
    </w:p>
    <w:p>
      <w:pPr>
        <w:spacing w:after="100"/>
        <w:ind w:left="340" w:hanging="340"/>
      </w:pPr>
      <w:r>
        <w:rPr>
          <w:rFonts w:ascii="Calibri" w:hAnsi="Calibri"/>
          <w:color w:val="1F2937"/>
          <w:sz w:val="22"/>
        </w:rPr>
        <w:t>5.  Registreer het incident, onderzoek de oorzaak en leg corrigerende maatregelen vast [9][33].</w:t>
      </w:r>
    </w:p>
    <w:p>
      <w:pPr>
        <w:pStyle w:val="Heading2"/>
      </w:pPr>
      <w:r>
        <w:t>4.12 Voorlichting, training en medische surveillance</w:t>
      </w:r>
    </w:p>
    <w:p>
      <w:pPr>
        <w:spacing w:after="160"/>
      </w:pPr>
      <w:r>
        <w:rPr>
          <w:rFonts w:ascii="Calibri" w:hAnsi="Calibri"/>
          <w:b w:val="0"/>
          <w:i w:val="0"/>
          <w:color w:val="1F2937"/>
          <w:sz w:val="22"/>
        </w:rPr>
        <w:t>Alle betrokken medewerkers ontvangen voorlichting en training over de risico's van kwik en de toepasselijke werkmethoden, verplicht volgens artikel 4.3 van het Arbobesluit [4] en artikel 5 van de Kwikverordening [14]. De training omvat ten minste de inhoud van dit beleid, de interpretatie van de H- en P-zinnen, het gebruik van ademhalingsbescherming en de EMVI-procedure [33]. Voor offshore inzet geldt aanvullende platformspecifieke training, waaronder helikopter safety en boat transfers [33]. De training wordt verzorgd door daartoe bevoegde instructeurs [33].</w:t>
      </w:r>
    </w:p>
    <w:p>
      <w:pPr>
        <w:spacing w:after="160"/>
      </w:pPr>
      <w:r>
        <w:rPr>
          <w:rFonts w:ascii="Calibri" w:hAnsi="Calibri"/>
          <w:b w:val="0"/>
          <w:i w:val="0"/>
          <w:color w:val="1F2937"/>
          <w:sz w:val="22"/>
        </w:rPr>
        <w:t>Medewerkers met mogelijk blootstelling aan kwik nemen deel aan medische surveillance conform artikel 4.6 van het Arbobesluit [6]. Het surveillanceprogramma beschrijft de aard van de onderzoeken, de frequentie en de arts die het programma uitvoert [33]. Gezien de H360D-classificatie (reprotoxiciteit) is bijzondere aandacht voor de bescherming van zwangere werknemers verplicht [21][22].</w:t>
      </w:r>
    </w:p>
    <w:p>
      <w:pPr>
        <w:pStyle w:val="Heading2"/>
      </w:pPr>
      <w:r>
        <w:t>4.13 Kritieke beheersmaatregelen op een rij</w:t>
      </w:r>
    </w:p>
    <w:p>
      <w:pPr>
        <w:spacing w:after="160"/>
      </w:pPr>
      <w:r>
        <w:rPr>
          <w:rFonts w:ascii="Calibri" w:hAnsi="Calibri"/>
          <w:b w:val="0"/>
          <w:i w:val="0"/>
          <w:color w:val="1F2937"/>
          <w:sz w:val="22"/>
        </w:rPr>
        <w:t>De complianceaudit benoemt twaalf hoogprioritaire elementen die in de uitvoeringsprocedure aantoonbaar moeten zijn opgenomen [33]. Dit beleid schrijft die elementen als harde eisen voor:</w:t>
      </w:r>
    </w:p>
    <w:p>
      <w:pPr>
        <w:pStyle w:val="ListBullet"/>
        <w:spacing w:after="80"/>
      </w:pPr>
      <w:r>
        <w:rPr>
          <w:rFonts w:ascii="Calibri" w:hAnsi="Calibri"/>
          <w:color w:val="1F2937"/>
          <w:sz w:val="22"/>
        </w:rPr>
        <w:t>Een concreet RI&amp;E-artikel voor kwik met de specifieke risico's van offshore decommissioning [2][33];</w:t>
      </w:r>
    </w:p>
    <w:p>
      <w:pPr>
        <w:pStyle w:val="ListBullet"/>
        <w:spacing w:after="80"/>
      </w:pPr>
      <w:r>
        <w:rPr>
          <w:rFonts w:ascii="Calibri" w:hAnsi="Calibri"/>
          <w:color w:val="1F2937"/>
          <w:sz w:val="22"/>
        </w:rPr>
        <w:t>Een gedetailleerd, stapsgewijs plan van aanpak voor identificatie, verwijdering, opslag en transport [3][33];</w:t>
      </w:r>
    </w:p>
    <w:p>
      <w:pPr>
        <w:pStyle w:val="ListBullet"/>
        <w:spacing w:after="80"/>
      </w:pPr>
      <w:r>
        <w:rPr>
          <w:rFonts w:ascii="Calibri" w:hAnsi="Calibri"/>
          <w:color w:val="1F2937"/>
          <w:sz w:val="22"/>
        </w:rPr>
        <w:t>Een expliciete PBM-specificatie: type respirator, beschermingsfactor, handschoenen, kleding, oog- en voetbescherming [5][33];</w:t>
      </w:r>
    </w:p>
    <w:p>
      <w:pPr>
        <w:pStyle w:val="ListBullet"/>
        <w:spacing w:after="80"/>
      </w:pPr>
      <w:r>
        <w:rPr>
          <w:rFonts w:ascii="Calibri" w:hAnsi="Calibri"/>
          <w:color w:val="1F2937"/>
          <w:sz w:val="22"/>
        </w:rPr>
        <w:t>Documentatie van de grenswaarden, inclusief de 8-uurs TWA van 0,02 mg/m³ [7][26][33];</w:t>
      </w:r>
    </w:p>
    <w:p>
      <w:pPr>
        <w:pStyle w:val="ListBullet"/>
        <w:spacing w:after="80"/>
      </w:pPr>
      <w:r>
        <w:rPr>
          <w:rFonts w:ascii="Calibri" w:hAnsi="Calibri"/>
          <w:color w:val="1F2937"/>
          <w:sz w:val="22"/>
        </w:rPr>
        <w:t>Een luchtmeetprotocol met methodiek, frequentie, uitvoerder en actiewaarden [8][33];</w:t>
      </w:r>
    </w:p>
    <w:p>
      <w:pPr>
        <w:pStyle w:val="ListBullet"/>
        <w:spacing w:after="80"/>
      </w:pPr>
      <w:r>
        <w:rPr>
          <w:rFonts w:ascii="Calibri" w:hAnsi="Calibri"/>
          <w:color w:val="1F2937"/>
          <w:sz w:val="22"/>
        </w:rPr>
        <w:t>Aantoonbare beschikbaarheid van de SDS voor kwik op de werklocatie [10][20][33];</w:t>
      </w:r>
    </w:p>
    <w:p>
      <w:pPr>
        <w:pStyle w:val="ListBullet"/>
        <w:spacing w:after="80"/>
      </w:pPr>
      <w:r>
        <w:rPr>
          <w:rFonts w:ascii="Calibri" w:hAnsi="Calibri"/>
          <w:color w:val="1F2937"/>
          <w:sz w:val="22"/>
        </w:rPr>
        <w:t>Opslageisen: containertype, etikettering en temperatuur [11][33];</w:t>
      </w:r>
    </w:p>
    <w:p>
      <w:pPr>
        <w:pStyle w:val="ListBullet"/>
        <w:spacing w:after="80"/>
      </w:pPr>
      <w:r>
        <w:rPr>
          <w:rFonts w:ascii="Calibri" w:hAnsi="Calibri"/>
          <w:color w:val="1F2937"/>
          <w:sz w:val="22"/>
        </w:rPr>
        <w:t>Transporteisen: ADR-classificatie, vervoersdocumenten en erkende vervoerder [12][33];</w:t>
      </w:r>
    </w:p>
    <w:p>
      <w:pPr>
        <w:pStyle w:val="ListBullet"/>
        <w:spacing w:after="80"/>
      </w:pPr>
      <w:r>
        <w:rPr>
          <w:rFonts w:ascii="Calibri" w:hAnsi="Calibri"/>
          <w:color w:val="1F2937"/>
          <w:sz w:val="22"/>
        </w:rPr>
        <w:t>Een afvoerprocedure naar een erkende verwerker met vooraf vastgestelde acceptatiecriteria [12][16][33];</w:t>
      </w:r>
    </w:p>
    <w:p>
      <w:pPr>
        <w:pStyle w:val="ListBullet"/>
        <w:spacing w:after="80"/>
      </w:pPr>
      <w:r>
        <w:rPr>
          <w:rFonts w:ascii="Calibri" w:hAnsi="Calibri"/>
          <w:color w:val="1F2937"/>
          <w:sz w:val="22"/>
        </w:rPr>
        <w:t>Een incidentprocedure met lekkage- en alarmeringsscenario's en EHBO-maatregelen [9][33];</w:t>
      </w:r>
    </w:p>
    <w:p>
      <w:pPr>
        <w:pStyle w:val="ListBullet"/>
        <w:spacing w:after="80"/>
      </w:pPr>
      <w:r>
        <w:rPr>
          <w:rFonts w:ascii="Calibri" w:hAnsi="Calibri"/>
          <w:color w:val="1F2937"/>
          <w:sz w:val="22"/>
        </w:rPr>
        <w:t>Een decontaminatieprocedure voor personen, PBM en materieel [15][33];</w:t>
      </w:r>
    </w:p>
    <w:p>
      <w:pPr>
        <w:pStyle w:val="ListBullet"/>
        <w:spacing w:after="80"/>
      </w:pPr>
      <w:r>
        <w:rPr>
          <w:rFonts w:ascii="Calibri" w:hAnsi="Calibri"/>
          <w:color w:val="1F2937"/>
          <w:sz w:val="22"/>
        </w:rPr>
        <w:t>Een trainingprogramma met minimuminhoud en bevoegde trainers [4][33].</w:t>
      </w:r>
    </w:p>
    <w:p>
      <w:r>
        <w:br w:type="page"/>
      </w:r>
    </w:p>
    <w:p>
      <w:pPr>
        <w:pStyle w:val="Heading1"/>
      </w:pPr>
      <w:r>
        <w:t>5. Verantwoordelijkheden</w:t>
      </w:r>
    </w:p>
    <w:p>
      <w:pPr>
        <w:spacing w:after="160"/>
      </w:pPr>
      <w:r>
        <w:rPr>
          <w:rFonts w:ascii="Calibri" w:hAnsi="Calibri"/>
          <w:b w:val="0"/>
          <w:i w:val="0"/>
          <w:color w:val="1F2937"/>
          <w:sz w:val="22"/>
        </w:rPr>
        <w:t>De verantwoordelijkheden zijn vastgelegd in een RACI-matrix. R = Responsible (uitvoerend), A = Accountable (eindverantwoordelijk), C = Consulted (geconsulteerd), I = Informed (geïnformeerd). De rollen sluiten aan op de partijen uit de projectcontext: Wintershall als opdrachtgever en eigenaar van het platform, Koole als uitvoerende aannemer [33].</w:t>
      </w:r>
    </w:p>
    <w:tbl>
      <w:tblPr>
        <w:tblStyle w:val="TableGrid"/>
        <w:tblW w:type="auto" w:w="0"/>
        <w:jc w:val="center"/>
        <w:tblLook w:firstColumn="1" w:firstRow="1" w:lastColumn="0" w:lastRow="0" w:noHBand="0" w:noVBand="1" w:val="04A0"/>
      </w:tblPr>
      <w:tblGrid>
        <w:gridCol w:w="1512"/>
        <w:gridCol w:w="1512"/>
        <w:gridCol w:w="1512"/>
        <w:gridCol w:w="1512"/>
        <w:gridCol w:w="1512"/>
        <w:gridCol w:w="1512"/>
      </w:tblGrid>
      <w:tr>
        <w:tc>
          <w:tcPr>
            <w:tcW w:type="dxa" w:w="2835"/>
            <w:shd w:val="clear" w:fill="003366"/>
          </w:tcPr>
          <w:p>
            <w:r/>
            <w:r>
              <w:rPr>
                <w:rFonts w:ascii="Calibri" w:hAnsi="Calibri"/>
                <w:b/>
                <w:color w:val="FFFFFF"/>
                <w:sz w:val="18"/>
              </w:rPr>
              <w:t>Activiteit</w:t>
            </w:r>
          </w:p>
        </w:tc>
        <w:tc>
          <w:tcPr>
            <w:tcW w:type="dxa" w:w="1191"/>
            <w:shd w:val="clear" w:fill="003366"/>
          </w:tcPr>
          <w:p>
            <w:r/>
            <w:r>
              <w:rPr>
                <w:rFonts w:ascii="Calibri" w:hAnsi="Calibri"/>
                <w:b/>
                <w:color w:val="FFFFFF"/>
                <w:sz w:val="18"/>
              </w:rPr>
              <w:t>Wintershall</w:t>
            </w:r>
          </w:p>
        </w:tc>
        <w:tc>
          <w:tcPr>
            <w:tcW w:type="dxa" w:w="1191"/>
            <w:shd w:val="clear" w:fill="003366"/>
          </w:tcPr>
          <w:p>
            <w:r/>
            <w:r>
              <w:rPr>
                <w:rFonts w:ascii="Calibri" w:hAnsi="Calibri"/>
                <w:b/>
                <w:color w:val="FFFFFF"/>
                <w:sz w:val="18"/>
              </w:rPr>
              <w:t>Koole (projectleiding)</w:t>
            </w:r>
          </w:p>
        </w:tc>
        <w:tc>
          <w:tcPr>
            <w:tcW w:type="dxa" w:w="1191"/>
            <w:shd w:val="clear" w:fill="003366"/>
          </w:tcPr>
          <w:p>
            <w:r/>
            <w:r>
              <w:rPr>
                <w:rFonts w:ascii="Calibri" w:hAnsi="Calibri"/>
                <w:b/>
                <w:color w:val="FFFFFF"/>
                <w:sz w:val="18"/>
              </w:rPr>
              <w:t>HSEQ-functionaris</w:t>
            </w:r>
          </w:p>
        </w:tc>
        <w:tc>
          <w:tcPr>
            <w:tcW w:type="dxa" w:w="1191"/>
            <w:shd w:val="clear" w:fill="003366"/>
          </w:tcPr>
          <w:p>
            <w:r/>
            <w:r>
              <w:rPr>
                <w:rFonts w:ascii="Calibri" w:hAnsi="Calibri"/>
                <w:b/>
                <w:color w:val="FFFFFF"/>
                <w:sz w:val="18"/>
              </w:rPr>
              <w:t>Uitvoerend personeel</w:t>
            </w:r>
          </w:p>
        </w:tc>
        <w:tc>
          <w:tcPr>
            <w:tcW w:type="dxa" w:w="1191"/>
            <w:shd w:val="clear" w:fill="003366"/>
          </w:tcPr>
          <w:p>
            <w:r/>
            <w:r>
              <w:rPr>
                <w:rFonts w:ascii="Calibri" w:hAnsi="Calibri"/>
                <w:b/>
                <w:color w:val="FFFFFF"/>
                <w:sz w:val="18"/>
              </w:rPr>
              <w:t>Erkende verwerker</w:t>
            </w:r>
          </w:p>
        </w:tc>
      </w:tr>
      <w:tr>
        <w:tc>
          <w:tcPr>
            <w:tcW w:type="dxa" w:w="2835"/>
          </w:tcPr>
          <w:p>
            <w:r/>
            <w:r>
              <w:rPr>
                <w:rFonts w:ascii="Calibri" w:hAnsi="Calibri"/>
                <w:color w:val="1F2937"/>
                <w:sz w:val="18"/>
              </w:rPr>
              <w:t>RI&amp;E kwik [2]</w:t>
            </w:r>
          </w:p>
        </w:tc>
        <w:tc>
          <w:tcPr>
            <w:tcW w:type="dxa" w:w="1191"/>
          </w:tcPr>
          <w:p>
            <w:r/>
            <w:r>
              <w:rPr>
                <w:rFonts w:ascii="Calibri" w:hAnsi="Calibri"/>
                <w:color w:val="1F2937"/>
                <w:sz w:val="18"/>
              </w:rPr>
              <w:t>A</w:t>
            </w:r>
          </w:p>
        </w:tc>
        <w:tc>
          <w:tcPr>
            <w:tcW w:type="dxa" w:w="1191"/>
          </w:tcPr>
          <w:p>
            <w:r/>
            <w:r>
              <w:rPr>
                <w:rFonts w:ascii="Calibri" w:hAnsi="Calibri"/>
                <w:color w:val="1F2937"/>
                <w:sz w:val="18"/>
              </w:rPr>
              <w:t>R</w:t>
            </w:r>
          </w:p>
        </w:tc>
        <w:tc>
          <w:tcPr>
            <w:tcW w:type="dxa" w:w="1191"/>
          </w:tcPr>
          <w:p>
            <w:r/>
            <w:r>
              <w:rPr>
                <w:rFonts w:ascii="Calibri" w:hAnsi="Calibri"/>
                <w:color w:val="1F2937"/>
                <w:sz w:val="18"/>
              </w:rPr>
              <w:t>C</w:t>
            </w:r>
          </w:p>
        </w:tc>
        <w:tc>
          <w:tcPr>
            <w:tcW w:type="dxa" w:w="1191"/>
          </w:tcPr>
          <w:p>
            <w:r/>
            <w:r>
              <w:rPr>
                <w:rFonts w:ascii="Calibri" w:hAnsi="Calibri"/>
                <w:color w:val="1F2937"/>
                <w:sz w:val="18"/>
              </w:rPr>
              <w:t>I</w:t>
            </w:r>
          </w:p>
        </w:tc>
        <w:tc>
          <w:tcPr>
            <w:tcW w:type="dxa" w:w="1191"/>
          </w:tcPr>
          <w:p>
            <w:r/>
            <w:r>
              <w:rPr>
                <w:rFonts w:ascii="Calibri" w:hAnsi="Calibri"/>
                <w:color w:val="1F2937"/>
                <w:sz w:val="18"/>
              </w:rPr>
              <w:t>—</w:t>
            </w:r>
          </w:p>
        </w:tc>
      </w:tr>
      <w:tr>
        <w:tc>
          <w:tcPr>
            <w:tcW w:type="dxa" w:w="2835"/>
            <w:shd w:val="clear" w:fill="F8F9FA"/>
          </w:tcPr>
          <w:p>
            <w:r/>
            <w:r>
              <w:rPr>
                <w:rFonts w:ascii="Calibri" w:hAnsi="Calibri"/>
                <w:color w:val="1F2937"/>
                <w:sz w:val="18"/>
              </w:rPr>
              <w:t>Plan van aanpak [3]</w:t>
            </w:r>
          </w:p>
        </w:tc>
        <w:tc>
          <w:tcPr>
            <w:tcW w:type="dxa" w:w="1191"/>
            <w:shd w:val="clear" w:fill="F8F9FA"/>
          </w:tcPr>
          <w:p>
            <w:r/>
            <w:r>
              <w:rPr>
                <w:rFonts w:ascii="Calibri" w:hAnsi="Calibri"/>
                <w:color w:val="1F2937"/>
                <w:sz w:val="18"/>
              </w:rPr>
              <w:t>A</w:t>
            </w:r>
          </w:p>
        </w:tc>
        <w:tc>
          <w:tcPr>
            <w:tcW w:type="dxa" w:w="1191"/>
            <w:shd w:val="clear" w:fill="F8F9FA"/>
          </w:tcPr>
          <w:p>
            <w:r/>
            <w:r>
              <w:rPr>
                <w:rFonts w:ascii="Calibri" w:hAnsi="Calibri"/>
                <w:color w:val="1F2937"/>
                <w:sz w:val="18"/>
              </w:rPr>
              <w:t>R</w:t>
            </w:r>
          </w:p>
        </w:tc>
        <w:tc>
          <w:tcPr>
            <w:tcW w:type="dxa" w:w="1191"/>
            <w:shd w:val="clear" w:fill="F8F9FA"/>
          </w:tcPr>
          <w:p>
            <w:r/>
            <w:r>
              <w:rPr>
                <w:rFonts w:ascii="Calibri" w:hAnsi="Calibri"/>
                <w:color w:val="1F2937"/>
                <w:sz w:val="18"/>
              </w:rPr>
              <w:t>C</w:t>
            </w:r>
          </w:p>
        </w:tc>
        <w:tc>
          <w:tcPr>
            <w:tcW w:type="dxa" w:w="1191"/>
            <w:shd w:val="clear" w:fill="F8F9FA"/>
          </w:tcPr>
          <w:p>
            <w:r/>
            <w:r>
              <w:rPr>
                <w:rFonts w:ascii="Calibri" w:hAnsi="Calibri"/>
                <w:color w:val="1F2937"/>
                <w:sz w:val="18"/>
              </w:rPr>
              <w:t>I</w:t>
            </w:r>
          </w:p>
        </w:tc>
        <w:tc>
          <w:tcPr>
            <w:tcW w:type="dxa" w:w="1191"/>
            <w:shd w:val="clear" w:fill="F8F9FA"/>
          </w:tcPr>
          <w:p>
            <w:r/>
            <w:r>
              <w:rPr>
                <w:rFonts w:ascii="Calibri" w:hAnsi="Calibri"/>
                <w:color w:val="1F2937"/>
                <w:sz w:val="18"/>
              </w:rPr>
              <w:t>—</w:t>
            </w:r>
          </w:p>
        </w:tc>
      </w:tr>
      <w:tr>
        <w:tc>
          <w:tcPr>
            <w:tcW w:type="dxa" w:w="2835"/>
          </w:tcPr>
          <w:p>
            <w:r/>
            <w:r>
              <w:rPr>
                <w:rFonts w:ascii="Calibri" w:hAnsi="Calibri"/>
                <w:color w:val="1F2937"/>
                <w:sz w:val="18"/>
              </w:rPr>
              <w:t>Pre-removal survey [33]</w:t>
            </w:r>
          </w:p>
        </w:tc>
        <w:tc>
          <w:tcPr>
            <w:tcW w:type="dxa" w:w="1191"/>
          </w:tcPr>
          <w:p>
            <w:r/>
            <w:r>
              <w:rPr>
                <w:rFonts w:ascii="Calibri" w:hAnsi="Calibri"/>
                <w:color w:val="1F2937"/>
                <w:sz w:val="18"/>
              </w:rPr>
              <w:t>I</w:t>
            </w:r>
          </w:p>
        </w:tc>
        <w:tc>
          <w:tcPr>
            <w:tcW w:type="dxa" w:w="1191"/>
          </w:tcPr>
          <w:p>
            <w:r/>
            <w:r>
              <w:rPr>
                <w:rFonts w:ascii="Calibri" w:hAnsi="Calibri"/>
                <w:color w:val="1F2937"/>
                <w:sz w:val="18"/>
              </w:rPr>
              <w:t>A</w:t>
            </w:r>
          </w:p>
        </w:tc>
        <w:tc>
          <w:tcPr>
            <w:tcW w:type="dxa" w:w="1191"/>
          </w:tcPr>
          <w:p>
            <w:r/>
            <w:r>
              <w:rPr>
                <w:rFonts w:ascii="Calibri" w:hAnsi="Calibri"/>
                <w:color w:val="1F2937"/>
                <w:sz w:val="18"/>
              </w:rPr>
              <w:t>C</w:t>
            </w:r>
          </w:p>
        </w:tc>
        <w:tc>
          <w:tcPr>
            <w:tcW w:type="dxa" w:w="1191"/>
          </w:tcPr>
          <w:p>
            <w:r/>
            <w:r>
              <w:rPr>
                <w:rFonts w:ascii="Calibri" w:hAnsi="Calibri"/>
                <w:color w:val="1F2937"/>
                <w:sz w:val="18"/>
              </w:rPr>
              <w:t>R</w:t>
            </w:r>
          </w:p>
        </w:tc>
        <w:tc>
          <w:tcPr>
            <w:tcW w:type="dxa" w:w="1191"/>
          </w:tcPr>
          <w:p>
            <w:r/>
            <w:r>
              <w:rPr>
                <w:rFonts w:ascii="Calibri" w:hAnsi="Calibri"/>
                <w:color w:val="1F2937"/>
                <w:sz w:val="18"/>
              </w:rPr>
              <w:t>—</w:t>
            </w:r>
          </w:p>
        </w:tc>
      </w:tr>
      <w:tr>
        <w:tc>
          <w:tcPr>
            <w:tcW w:type="dxa" w:w="2835"/>
            <w:shd w:val="clear" w:fill="F8F9FA"/>
          </w:tcPr>
          <w:p>
            <w:r/>
            <w:r>
              <w:rPr>
                <w:rFonts w:ascii="Calibri" w:hAnsi="Calibri"/>
                <w:color w:val="1F2937"/>
                <w:sz w:val="18"/>
              </w:rPr>
              <w:t>Detectie (XRF / lab) [33]</w:t>
            </w:r>
          </w:p>
        </w:tc>
        <w:tc>
          <w:tcPr>
            <w:tcW w:type="dxa" w:w="1191"/>
            <w:shd w:val="clear" w:fill="F8F9FA"/>
          </w:tcPr>
          <w:p>
            <w:r/>
            <w:r>
              <w:rPr>
                <w:rFonts w:ascii="Calibri" w:hAnsi="Calibri"/>
                <w:color w:val="1F2937"/>
                <w:sz w:val="18"/>
              </w:rPr>
              <w:t>I</w:t>
            </w:r>
          </w:p>
        </w:tc>
        <w:tc>
          <w:tcPr>
            <w:tcW w:type="dxa" w:w="1191"/>
            <w:shd w:val="clear" w:fill="F8F9FA"/>
          </w:tcPr>
          <w:p>
            <w:r/>
            <w:r>
              <w:rPr>
                <w:rFonts w:ascii="Calibri" w:hAnsi="Calibri"/>
                <w:color w:val="1F2937"/>
                <w:sz w:val="18"/>
              </w:rPr>
              <w:t>A</w:t>
            </w:r>
          </w:p>
        </w:tc>
        <w:tc>
          <w:tcPr>
            <w:tcW w:type="dxa" w:w="1191"/>
            <w:shd w:val="clear" w:fill="F8F9FA"/>
          </w:tcPr>
          <w:p>
            <w:r/>
            <w:r>
              <w:rPr>
                <w:rFonts w:ascii="Calibri" w:hAnsi="Calibri"/>
                <w:color w:val="1F2937"/>
                <w:sz w:val="18"/>
              </w:rPr>
              <w:t>C</w:t>
            </w:r>
          </w:p>
        </w:tc>
        <w:tc>
          <w:tcPr>
            <w:tcW w:type="dxa" w:w="1191"/>
            <w:shd w:val="clear" w:fill="F8F9FA"/>
          </w:tcPr>
          <w:p>
            <w:r/>
            <w:r>
              <w:rPr>
                <w:rFonts w:ascii="Calibri" w:hAnsi="Calibri"/>
                <w:color w:val="1F2937"/>
                <w:sz w:val="18"/>
              </w:rPr>
              <w:t>R</w:t>
            </w:r>
          </w:p>
        </w:tc>
        <w:tc>
          <w:tcPr>
            <w:tcW w:type="dxa" w:w="1191"/>
            <w:shd w:val="clear" w:fill="F8F9FA"/>
          </w:tcPr>
          <w:p>
            <w:r/>
            <w:r>
              <w:rPr>
                <w:rFonts w:ascii="Calibri" w:hAnsi="Calibri"/>
                <w:color w:val="1F2937"/>
                <w:sz w:val="18"/>
              </w:rPr>
              <w:t>C</w:t>
            </w:r>
          </w:p>
        </w:tc>
      </w:tr>
      <w:tr>
        <w:tc>
          <w:tcPr>
            <w:tcW w:type="dxa" w:w="2835"/>
          </w:tcPr>
          <w:p>
            <w:r/>
            <w:r>
              <w:rPr>
                <w:rFonts w:ascii="Calibri" w:hAnsi="Calibri"/>
                <w:color w:val="1F2937"/>
                <w:sz w:val="18"/>
              </w:rPr>
              <w:t>Verwijdering en containment [33]</w:t>
            </w:r>
          </w:p>
        </w:tc>
        <w:tc>
          <w:tcPr>
            <w:tcW w:type="dxa" w:w="1191"/>
          </w:tcPr>
          <w:p>
            <w:r/>
            <w:r>
              <w:rPr>
                <w:rFonts w:ascii="Calibri" w:hAnsi="Calibri"/>
                <w:color w:val="1F2937"/>
                <w:sz w:val="18"/>
              </w:rPr>
              <w:t>I</w:t>
            </w:r>
          </w:p>
        </w:tc>
        <w:tc>
          <w:tcPr>
            <w:tcW w:type="dxa" w:w="1191"/>
          </w:tcPr>
          <w:p>
            <w:r/>
            <w:r>
              <w:rPr>
                <w:rFonts w:ascii="Calibri" w:hAnsi="Calibri"/>
                <w:color w:val="1F2937"/>
                <w:sz w:val="18"/>
              </w:rPr>
              <w:t>A</w:t>
            </w:r>
          </w:p>
        </w:tc>
        <w:tc>
          <w:tcPr>
            <w:tcW w:type="dxa" w:w="1191"/>
          </w:tcPr>
          <w:p>
            <w:r/>
            <w:r>
              <w:rPr>
                <w:rFonts w:ascii="Calibri" w:hAnsi="Calibri"/>
                <w:color w:val="1F2937"/>
                <w:sz w:val="18"/>
              </w:rPr>
              <w:t>C</w:t>
            </w:r>
          </w:p>
        </w:tc>
        <w:tc>
          <w:tcPr>
            <w:tcW w:type="dxa" w:w="1191"/>
          </w:tcPr>
          <w:p>
            <w:r/>
            <w:r>
              <w:rPr>
                <w:rFonts w:ascii="Calibri" w:hAnsi="Calibri"/>
                <w:color w:val="1F2937"/>
                <w:sz w:val="18"/>
              </w:rPr>
              <w:t>R</w:t>
            </w:r>
          </w:p>
        </w:tc>
        <w:tc>
          <w:tcPr>
            <w:tcW w:type="dxa" w:w="1191"/>
          </w:tcPr>
          <w:p>
            <w:r/>
            <w:r>
              <w:rPr>
                <w:rFonts w:ascii="Calibri" w:hAnsi="Calibri"/>
                <w:color w:val="1F2937"/>
                <w:sz w:val="18"/>
              </w:rPr>
              <w:t>—</w:t>
            </w:r>
          </w:p>
        </w:tc>
      </w:tr>
      <w:tr>
        <w:tc>
          <w:tcPr>
            <w:tcW w:type="dxa" w:w="2835"/>
            <w:shd w:val="clear" w:fill="F8F9FA"/>
          </w:tcPr>
          <w:p>
            <w:r/>
            <w:r>
              <w:rPr>
                <w:rFonts w:ascii="Calibri" w:hAnsi="Calibri"/>
                <w:color w:val="1F2937"/>
                <w:sz w:val="18"/>
              </w:rPr>
              <w:t>PBM-beheer [5]</w:t>
            </w:r>
          </w:p>
        </w:tc>
        <w:tc>
          <w:tcPr>
            <w:tcW w:type="dxa" w:w="1191"/>
            <w:shd w:val="clear" w:fill="F8F9FA"/>
          </w:tcPr>
          <w:p>
            <w:r/>
            <w:r>
              <w:rPr>
                <w:rFonts w:ascii="Calibri" w:hAnsi="Calibri"/>
                <w:color w:val="1F2937"/>
                <w:sz w:val="18"/>
              </w:rPr>
              <w:t>I</w:t>
            </w:r>
          </w:p>
        </w:tc>
        <w:tc>
          <w:tcPr>
            <w:tcW w:type="dxa" w:w="1191"/>
            <w:shd w:val="clear" w:fill="F8F9FA"/>
          </w:tcPr>
          <w:p>
            <w:r/>
            <w:r>
              <w:rPr>
                <w:rFonts w:ascii="Calibri" w:hAnsi="Calibri"/>
                <w:color w:val="1F2937"/>
                <w:sz w:val="18"/>
              </w:rPr>
              <w:t>A</w:t>
            </w:r>
          </w:p>
        </w:tc>
        <w:tc>
          <w:tcPr>
            <w:tcW w:type="dxa" w:w="1191"/>
            <w:shd w:val="clear" w:fill="F8F9FA"/>
          </w:tcPr>
          <w:p>
            <w:r/>
            <w:r>
              <w:rPr>
                <w:rFonts w:ascii="Calibri" w:hAnsi="Calibri"/>
                <w:color w:val="1F2937"/>
                <w:sz w:val="18"/>
              </w:rPr>
              <w:t>R</w:t>
            </w:r>
          </w:p>
        </w:tc>
        <w:tc>
          <w:tcPr>
            <w:tcW w:type="dxa" w:w="1191"/>
            <w:shd w:val="clear" w:fill="F8F9FA"/>
          </w:tcPr>
          <w:p>
            <w:r/>
            <w:r>
              <w:rPr>
                <w:rFonts w:ascii="Calibri" w:hAnsi="Calibri"/>
                <w:color w:val="1F2937"/>
                <w:sz w:val="18"/>
              </w:rPr>
              <w:t>R</w:t>
            </w:r>
          </w:p>
        </w:tc>
        <w:tc>
          <w:tcPr>
            <w:tcW w:type="dxa" w:w="1191"/>
            <w:shd w:val="clear" w:fill="F8F9FA"/>
          </w:tcPr>
          <w:p>
            <w:r/>
            <w:r>
              <w:rPr>
                <w:rFonts w:ascii="Calibri" w:hAnsi="Calibri"/>
                <w:color w:val="1F2937"/>
                <w:sz w:val="18"/>
              </w:rPr>
              <w:t>—</w:t>
            </w:r>
          </w:p>
        </w:tc>
      </w:tr>
      <w:tr>
        <w:tc>
          <w:tcPr>
            <w:tcW w:type="dxa" w:w="2835"/>
          </w:tcPr>
          <w:p>
            <w:r/>
            <w:r>
              <w:rPr>
                <w:rFonts w:ascii="Calibri" w:hAnsi="Calibri"/>
                <w:color w:val="1F2937"/>
                <w:sz w:val="18"/>
              </w:rPr>
              <w:t>Luchtmetingen [8]</w:t>
            </w:r>
          </w:p>
        </w:tc>
        <w:tc>
          <w:tcPr>
            <w:tcW w:type="dxa" w:w="1191"/>
          </w:tcPr>
          <w:p>
            <w:r/>
            <w:r>
              <w:rPr>
                <w:rFonts w:ascii="Calibri" w:hAnsi="Calibri"/>
                <w:color w:val="1F2937"/>
                <w:sz w:val="18"/>
              </w:rPr>
              <w:t>I</w:t>
            </w:r>
          </w:p>
        </w:tc>
        <w:tc>
          <w:tcPr>
            <w:tcW w:type="dxa" w:w="1191"/>
          </w:tcPr>
          <w:p>
            <w:r/>
            <w:r>
              <w:rPr>
                <w:rFonts w:ascii="Calibri" w:hAnsi="Calibri"/>
                <w:color w:val="1F2937"/>
                <w:sz w:val="18"/>
              </w:rPr>
              <w:t>A</w:t>
            </w:r>
          </w:p>
        </w:tc>
        <w:tc>
          <w:tcPr>
            <w:tcW w:type="dxa" w:w="1191"/>
          </w:tcPr>
          <w:p>
            <w:r/>
            <w:r>
              <w:rPr>
                <w:rFonts w:ascii="Calibri" w:hAnsi="Calibri"/>
                <w:color w:val="1F2937"/>
                <w:sz w:val="18"/>
              </w:rPr>
              <w:t>R</w:t>
            </w:r>
          </w:p>
        </w:tc>
        <w:tc>
          <w:tcPr>
            <w:tcW w:type="dxa" w:w="1191"/>
          </w:tcPr>
          <w:p>
            <w:r/>
            <w:r>
              <w:rPr>
                <w:rFonts w:ascii="Calibri" w:hAnsi="Calibri"/>
                <w:color w:val="1F2937"/>
                <w:sz w:val="18"/>
              </w:rPr>
              <w:t>C</w:t>
            </w:r>
          </w:p>
        </w:tc>
        <w:tc>
          <w:tcPr>
            <w:tcW w:type="dxa" w:w="1191"/>
          </w:tcPr>
          <w:p>
            <w:r/>
            <w:r>
              <w:rPr>
                <w:rFonts w:ascii="Calibri" w:hAnsi="Calibri"/>
                <w:color w:val="1F2937"/>
                <w:sz w:val="18"/>
              </w:rPr>
              <w:t>—</w:t>
            </w:r>
          </w:p>
        </w:tc>
      </w:tr>
      <w:tr>
        <w:tc>
          <w:tcPr>
            <w:tcW w:type="dxa" w:w="2835"/>
            <w:shd w:val="clear" w:fill="F8F9FA"/>
          </w:tcPr>
          <w:p>
            <w:r/>
            <w:r>
              <w:rPr>
                <w:rFonts w:ascii="Calibri" w:hAnsi="Calibri"/>
                <w:color w:val="1F2937"/>
                <w:sz w:val="18"/>
              </w:rPr>
              <w:t>Opslag offshore [11]</w:t>
            </w:r>
          </w:p>
        </w:tc>
        <w:tc>
          <w:tcPr>
            <w:tcW w:type="dxa" w:w="1191"/>
            <w:shd w:val="clear" w:fill="F8F9FA"/>
          </w:tcPr>
          <w:p>
            <w:r/>
            <w:r>
              <w:rPr>
                <w:rFonts w:ascii="Calibri" w:hAnsi="Calibri"/>
                <w:color w:val="1F2937"/>
                <w:sz w:val="18"/>
              </w:rPr>
              <w:t>I</w:t>
            </w:r>
          </w:p>
        </w:tc>
        <w:tc>
          <w:tcPr>
            <w:tcW w:type="dxa" w:w="1191"/>
            <w:shd w:val="clear" w:fill="F8F9FA"/>
          </w:tcPr>
          <w:p>
            <w:r/>
            <w:r>
              <w:rPr>
                <w:rFonts w:ascii="Calibri" w:hAnsi="Calibri"/>
                <w:color w:val="1F2937"/>
                <w:sz w:val="18"/>
              </w:rPr>
              <w:t>A</w:t>
            </w:r>
          </w:p>
        </w:tc>
        <w:tc>
          <w:tcPr>
            <w:tcW w:type="dxa" w:w="1191"/>
            <w:shd w:val="clear" w:fill="F8F9FA"/>
          </w:tcPr>
          <w:p>
            <w:r/>
            <w:r>
              <w:rPr>
                <w:rFonts w:ascii="Calibri" w:hAnsi="Calibri"/>
                <w:color w:val="1F2937"/>
                <w:sz w:val="18"/>
              </w:rPr>
              <w:t>C</w:t>
            </w:r>
          </w:p>
        </w:tc>
        <w:tc>
          <w:tcPr>
            <w:tcW w:type="dxa" w:w="1191"/>
            <w:shd w:val="clear" w:fill="F8F9FA"/>
          </w:tcPr>
          <w:p>
            <w:r/>
            <w:r>
              <w:rPr>
                <w:rFonts w:ascii="Calibri" w:hAnsi="Calibri"/>
                <w:color w:val="1F2937"/>
                <w:sz w:val="18"/>
              </w:rPr>
              <w:t>R</w:t>
            </w:r>
          </w:p>
        </w:tc>
        <w:tc>
          <w:tcPr>
            <w:tcW w:type="dxa" w:w="1191"/>
            <w:shd w:val="clear" w:fill="F8F9FA"/>
          </w:tcPr>
          <w:p>
            <w:r/>
            <w:r>
              <w:rPr>
                <w:rFonts w:ascii="Calibri" w:hAnsi="Calibri"/>
                <w:color w:val="1F2937"/>
                <w:sz w:val="18"/>
              </w:rPr>
              <w:t>—</w:t>
            </w:r>
          </w:p>
        </w:tc>
      </w:tr>
      <w:tr>
        <w:tc>
          <w:tcPr>
            <w:tcW w:type="dxa" w:w="2835"/>
          </w:tcPr>
          <w:p>
            <w:r/>
            <w:r>
              <w:rPr>
                <w:rFonts w:ascii="Calibri" w:hAnsi="Calibri"/>
                <w:color w:val="1F2937"/>
                <w:sz w:val="18"/>
              </w:rPr>
              <w:t>Transport (ADR) [12]</w:t>
            </w:r>
          </w:p>
        </w:tc>
        <w:tc>
          <w:tcPr>
            <w:tcW w:type="dxa" w:w="1191"/>
          </w:tcPr>
          <w:p>
            <w:r/>
            <w:r>
              <w:rPr>
                <w:rFonts w:ascii="Calibri" w:hAnsi="Calibri"/>
                <w:color w:val="1F2937"/>
                <w:sz w:val="18"/>
              </w:rPr>
              <w:t>I</w:t>
            </w:r>
          </w:p>
        </w:tc>
        <w:tc>
          <w:tcPr>
            <w:tcW w:type="dxa" w:w="1191"/>
          </w:tcPr>
          <w:p>
            <w:r/>
            <w:r>
              <w:rPr>
                <w:rFonts w:ascii="Calibri" w:hAnsi="Calibri"/>
                <w:color w:val="1F2937"/>
                <w:sz w:val="18"/>
              </w:rPr>
              <w:t>A</w:t>
            </w:r>
          </w:p>
        </w:tc>
        <w:tc>
          <w:tcPr>
            <w:tcW w:type="dxa" w:w="1191"/>
          </w:tcPr>
          <w:p>
            <w:r/>
            <w:r>
              <w:rPr>
                <w:rFonts w:ascii="Calibri" w:hAnsi="Calibri"/>
                <w:color w:val="1F2937"/>
                <w:sz w:val="18"/>
              </w:rPr>
              <w:t>C</w:t>
            </w:r>
          </w:p>
        </w:tc>
        <w:tc>
          <w:tcPr>
            <w:tcW w:type="dxa" w:w="1191"/>
          </w:tcPr>
          <w:p>
            <w:r/>
            <w:r>
              <w:rPr>
                <w:rFonts w:ascii="Calibri" w:hAnsi="Calibri"/>
                <w:color w:val="1F2937"/>
                <w:sz w:val="18"/>
              </w:rPr>
              <w:t>R</w:t>
            </w:r>
          </w:p>
        </w:tc>
        <w:tc>
          <w:tcPr>
            <w:tcW w:type="dxa" w:w="1191"/>
          </w:tcPr>
          <w:p>
            <w:r/>
            <w:r>
              <w:rPr>
                <w:rFonts w:ascii="Calibri" w:hAnsi="Calibri"/>
                <w:color w:val="1F2937"/>
                <w:sz w:val="18"/>
              </w:rPr>
              <w:t>C</w:t>
            </w:r>
          </w:p>
        </w:tc>
      </w:tr>
      <w:tr>
        <w:tc>
          <w:tcPr>
            <w:tcW w:type="dxa" w:w="2835"/>
            <w:shd w:val="clear" w:fill="F8F9FA"/>
          </w:tcPr>
          <w:p>
            <w:r/>
            <w:r>
              <w:rPr>
                <w:rFonts w:ascii="Calibri" w:hAnsi="Calibri"/>
                <w:color w:val="1F2937"/>
                <w:sz w:val="18"/>
              </w:rPr>
              <w:t>Afvoer en verwerking [12][16]</w:t>
            </w:r>
          </w:p>
        </w:tc>
        <w:tc>
          <w:tcPr>
            <w:tcW w:type="dxa" w:w="1191"/>
            <w:shd w:val="clear" w:fill="F8F9FA"/>
          </w:tcPr>
          <w:p>
            <w:r/>
            <w:r>
              <w:rPr>
                <w:rFonts w:ascii="Calibri" w:hAnsi="Calibri"/>
                <w:color w:val="1F2937"/>
                <w:sz w:val="18"/>
              </w:rPr>
              <w:t>I</w:t>
            </w:r>
          </w:p>
        </w:tc>
        <w:tc>
          <w:tcPr>
            <w:tcW w:type="dxa" w:w="1191"/>
            <w:shd w:val="clear" w:fill="F8F9FA"/>
          </w:tcPr>
          <w:p>
            <w:r/>
            <w:r>
              <w:rPr>
                <w:rFonts w:ascii="Calibri" w:hAnsi="Calibri"/>
                <w:color w:val="1F2937"/>
                <w:sz w:val="18"/>
              </w:rPr>
              <w:t>A</w:t>
            </w:r>
          </w:p>
        </w:tc>
        <w:tc>
          <w:tcPr>
            <w:tcW w:type="dxa" w:w="1191"/>
            <w:shd w:val="clear" w:fill="F8F9FA"/>
          </w:tcPr>
          <w:p>
            <w:r/>
            <w:r>
              <w:rPr>
                <w:rFonts w:ascii="Calibri" w:hAnsi="Calibri"/>
                <w:color w:val="1F2937"/>
                <w:sz w:val="18"/>
              </w:rPr>
              <w:t>C</w:t>
            </w:r>
          </w:p>
        </w:tc>
        <w:tc>
          <w:tcPr>
            <w:tcW w:type="dxa" w:w="1191"/>
            <w:shd w:val="clear" w:fill="F8F9FA"/>
          </w:tcPr>
          <w:p>
            <w:r/>
            <w:r>
              <w:rPr>
                <w:rFonts w:ascii="Calibri" w:hAnsi="Calibri"/>
                <w:color w:val="1F2937"/>
                <w:sz w:val="18"/>
              </w:rPr>
              <w:t>I</w:t>
            </w:r>
          </w:p>
        </w:tc>
        <w:tc>
          <w:tcPr>
            <w:tcW w:type="dxa" w:w="1191"/>
            <w:shd w:val="clear" w:fill="F8F9FA"/>
          </w:tcPr>
          <w:p>
            <w:r/>
            <w:r>
              <w:rPr>
                <w:rFonts w:ascii="Calibri" w:hAnsi="Calibri"/>
                <w:color w:val="1F2937"/>
                <w:sz w:val="18"/>
              </w:rPr>
              <w:t>R</w:t>
            </w:r>
          </w:p>
        </w:tc>
      </w:tr>
      <w:tr>
        <w:tc>
          <w:tcPr>
            <w:tcW w:type="dxa" w:w="2835"/>
          </w:tcPr>
          <w:p>
            <w:r/>
            <w:r>
              <w:rPr>
                <w:rFonts w:ascii="Calibri" w:hAnsi="Calibri"/>
                <w:color w:val="1F2937"/>
                <w:sz w:val="18"/>
              </w:rPr>
              <w:t>Training en voorlichting [4]</w:t>
            </w:r>
          </w:p>
        </w:tc>
        <w:tc>
          <w:tcPr>
            <w:tcW w:type="dxa" w:w="1191"/>
          </w:tcPr>
          <w:p>
            <w:r/>
            <w:r>
              <w:rPr>
                <w:rFonts w:ascii="Calibri" w:hAnsi="Calibri"/>
                <w:color w:val="1F2937"/>
                <w:sz w:val="18"/>
              </w:rPr>
              <w:t>I</w:t>
            </w:r>
          </w:p>
        </w:tc>
        <w:tc>
          <w:tcPr>
            <w:tcW w:type="dxa" w:w="1191"/>
          </w:tcPr>
          <w:p>
            <w:r/>
            <w:r>
              <w:rPr>
                <w:rFonts w:ascii="Calibri" w:hAnsi="Calibri"/>
                <w:color w:val="1F2937"/>
                <w:sz w:val="18"/>
              </w:rPr>
              <w:t>A</w:t>
            </w:r>
          </w:p>
        </w:tc>
        <w:tc>
          <w:tcPr>
            <w:tcW w:type="dxa" w:w="1191"/>
          </w:tcPr>
          <w:p>
            <w:r/>
            <w:r>
              <w:rPr>
                <w:rFonts w:ascii="Calibri" w:hAnsi="Calibri"/>
                <w:color w:val="1F2937"/>
                <w:sz w:val="18"/>
              </w:rPr>
              <w:t>R</w:t>
            </w:r>
          </w:p>
        </w:tc>
        <w:tc>
          <w:tcPr>
            <w:tcW w:type="dxa" w:w="1191"/>
          </w:tcPr>
          <w:p>
            <w:r/>
            <w:r>
              <w:rPr>
                <w:rFonts w:ascii="Calibri" w:hAnsi="Calibri"/>
                <w:color w:val="1F2937"/>
                <w:sz w:val="18"/>
              </w:rPr>
              <w:t>I</w:t>
            </w:r>
          </w:p>
        </w:tc>
        <w:tc>
          <w:tcPr>
            <w:tcW w:type="dxa" w:w="1191"/>
          </w:tcPr>
          <w:p>
            <w:r/>
            <w:r>
              <w:rPr>
                <w:rFonts w:ascii="Calibri" w:hAnsi="Calibri"/>
                <w:color w:val="1F2937"/>
                <w:sz w:val="18"/>
              </w:rPr>
              <w:t>—</w:t>
            </w:r>
          </w:p>
        </w:tc>
      </w:tr>
      <w:tr>
        <w:tc>
          <w:tcPr>
            <w:tcW w:type="dxa" w:w="2835"/>
            <w:shd w:val="clear" w:fill="F8F9FA"/>
          </w:tcPr>
          <w:p>
            <w:r/>
            <w:r>
              <w:rPr>
                <w:rFonts w:ascii="Calibri" w:hAnsi="Calibri"/>
                <w:color w:val="1F2937"/>
                <w:sz w:val="18"/>
              </w:rPr>
              <w:t>Medische surveillance [6]</w:t>
            </w:r>
          </w:p>
        </w:tc>
        <w:tc>
          <w:tcPr>
            <w:tcW w:type="dxa" w:w="1191"/>
            <w:shd w:val="clear" w:fill="F8F9FA"/>
          </w:tcPr>
          <w:p>
            <w:r/>
            <w:r>
              <w:rPr>
                <w:rFonts w:ascii="Calibri" w:hAnsi="Calibri"/>
                <w:color w:val="1F2937"/>
                <w:sz w:val="18"/>
              </w:rPr>
              <w:t>C</w:t>
            </w:r>
          </w:p>
        </w:tc>
        <w:tc>
          <w:tcPr>
            <w:tcW w:type="dxa" w:w="1191"/>
            <w:shd w:val="clear" w:fill="F8F9FA"/>
          </w:tcPr>
          <w:p>
            <w:r/>
            <w:r>
              <w:rPr>
                <w:rFonts w:ascii="Calibri" w:hAnsi="Calibri"/>
                <w:color w:val="1F2937"/>
                <w:sz w:val="18"/>
              </w:rPr>
              <w:t>A</w:t>
            </w:r>
          </w:p>
        </w:tc>
        <w:tc>
          <w:tcPr>
            <w:tcW w:type="dxa" w:w="1191"/>
            <w:shd w:val="clear" w:fill="F8F9FA"/>
          </w:tcPr>
          <w:p>
            <w:r/>
            <w:r>
              <w:rPr>
                <w:rFonts w:ascii="Calibri" w:hAnsi="Calibri"/>
                <w:color w:val="1F2937"/>
                <w:sz w:val="18"/>
              </w:rPr>
              <w:t>C</w:t>
            </w:r>
          </w:p>
        </w:tc>
        <w:tc>
          <w:tcPr>
            <w:tcW w:type="dxa" w:w="1191"/>
            <w:shd w:val="clear" w:fill="F8F9FA"/>
          </w:tcPr>
          <w:p>
            <w:r/>
            <w:r>
              <w:rPr>
                <w:rFonts w:ascii="Calibri" w:hAnsi="Calibri"/>
                <w:color w:val="1F2937"/>
                <w:sz w:val="18"/>
              </w:rPr>
              <w:t>I</w:t>
            </w:r>
          </w:p>
        </w:tc>
        <w:tc>
          <w:tcPr>
            <w:tcW w:type="dxa" w:w="1191"/>
            <w:shd w:val="clear" w:fill="F8F9FA"/>
          </w:tcPr>
          <w:p>
            <w:r/>
            <w:r>
              <w:rPr>
                <w:rFonts w:ascii="Calibri" w:hAnsi="Calibri"/>
                <w:color w:val="1F2937"/>
                <w:sz w:val="18"/>
              </w:rPr>
              <w:t>—</w:t>
            </w:r>
          </w:p>
        </w:tc>
      </w:tr>
      <w:tr>
        <w:tc>
          <w:tcPr>
            <w:tcW w:type="dxa" w:w="2835"/>
          </w:tcPr>
          <w:p>
            <w:r/>
            <w:r>
              <w:rPr>
                <w:rFonts w:ascii="Calibri" w:hAnsi="Calibri"/>
                <w:color w:val="1F2937"/>
                <w:sz w:val="18"/>
              </w:rPr>
              <w:t>EMVI / incidenten [9]</w:t>
            </w:r>
          </w:p>
        </w:tc>
        <w:tc>
          <w:tcPr>
            <w:tcW w:type="dxa" w:w="1191"/>
          </w:tcPr>
          <w:p>
            <w:r/>
            <w:r>
              <w:rPr>
                <w:rFonts w:ascii="Calibri" w:hAnsi="Calibri"/>
                <w:color w:val="1F2937"/>
                <w:sz w:val="18"/>
              </w:rPr>
              <w:t>A</w:t>
            </w:r>
          </w:p>
        </w:tc>
        <w:tc>
          <w:tcPr>
            <w:tcW w:type="dxa" w:w="1191"/>
          </w:tcPr>
          <w:p>
            <w:r/>
            <w:r>
              <w:rPr>
                <w:rFonts w:ascii="Calibri" w:hAnsi="Calibri"/>
                <w:color w:val="1F2937"/>
                <w:sz w:val="18"/>
              </w:rPr>
              <w:t>R</w:t>
            </w:r>
          </w:p>
        </w:tc>
        <w:tc>
          <w:tcPr>
            <w:tcW w:type="dxa" w:w="1191"/>
          </w:tcPr>
          <w:p>
            <w:r/>
            <w:r>
              <w:rPr>
                <w:rFonts w:ascii="Calibri" w:hAnsi="Calibri"/>
                <w:color w:val="1F2937"/>
                <w:sz w:val="18"/>
              </w:rPr>
              <w:t>C</w:t>
            </w:r>
          </w:p>
        </w:tc>
        <w:tc>
          <w:tcPr>
            <w:tcW w:type="dxa" w:w="1191"/>
          </w:tcPr>
          <w:p>
            <w:r/>
            <w:r>
              <w:rPr>
                <w:rFonts w:ascii="Calibri" w:hAnsi="Calibri"/>
                <w:color w:val="1F2937"/>
                <w:sz w:val="18"/>
              </w:rPr>
              <w:t>R</w:t>
            </w:r>
          </w:p>
        </w:tc>
        <w:tc>
          <w:tcPr>
            <w:tcW w:type="dxa" w:w="1191"/>
          </w:tcPr>
          <w:p>
            <w:r/>
            <w:r>
              <w:rPr>
                <w:rFonts w:ascii="Calibri" w:hAnsi="Calibri"/>
                <w:color w:val="1F2937"/>
                <w:sz w:val="18"/>
              </w:rPr>
              <w:t>—</w:t>
            </w:r>
          </w:p>
        </w:tc>
      </w:tr>
      <w:tr>
        <w:tc>
          <w:tcPr>
            <w:tcW w:type="dxa" w:w="2835"/>
            <w:shd w:val="clear" w:fill="F8F9FA"/>
          </w:tcPr>
          <w:p>
            <w:r/>
            <w:r>
              <w:rPr>
                <w:rFonts w:ascii="Calibri" w:hAnsi="Calibri"/>
                <w:color w:val="1F2937"/>
                <w:sz w:val="18"/>
              </w:rPr>
              <w:t>Rapportage en registratie [8][17]</w:t>
            </w:r>
          </w:p>
        </w:tc>
        <w:tc>
          <w:tcPr>
            <w:tcW w:type="dxa" w:w="1191"/>
            <w:shd w:val="clear" w:fill="F8F9FA"/>
          </w:tcPr>
          <w:p>
            <w:r/>
            <w:r>
              <w:rPr>
                <w:rFonts w:ascii="Calibri" w:hAnsi="Calibri"/>
                <w:color w:val="1F2937"/>
                <w:sz w:val="18"/>
              </w:rPr>
              <w:t>I</w:t>
            </w:r>
          </w:p>
        </w:tc>
        <w:tc>
          <w:tcPr>
            <w:tcW w:type="dxa" w:w="1191"/>
            <w:shd w:val="clear" w:fill="F8F9FA"/>
          </w:tcPr>
          <w:p>
            <w:r/>
            <w:r>
              <w:rPr>
                <w:rFonts w:ascii="Calibri" w:hAnsi="Calibri"/>
                <w:color w:val="1F2937"/>
                <w:sz w:val="18"/>
              </w:rPr>
              <w:t>A</w:t>
            </w:r>
          </w:p>
        </w:tc>
        <w:tc>
          <w:tcPr>
            <w:tcW w:type="dxa" w:w="1191"/>
            <w:shd w:val="clear" w:fill="F8F9FA"/>
          </w:tcPr>
          <w:p>
            <w:r/>
            <w:r>
              <w:rPr>
                <w:rFonts w:ascii="Calibri" w:hAnsi="Calibri"/>
                <w:color w:val="1F2937"/>
                <w:sz w:val="18"/>
              </w:rPr>
              <w:t>R</w:t>
            </w:r>
          </w:p>
        </w:tc>
        <w:tc>
          <w:tcPr>
            <w:tcW w:type="dxa" w:w="1191"/>
            <w:shd w:val="clear" w:fill="F8F9FA"/>
          </w:tcPr>
          <w:p>
            <w:r/>
            <w:r>
              <w:rPr>
                <w:rFonts w:ascii="Calibri" w:hAnsi="Calibri"/>
                <w:color w:val="1F2937"/>
                <w:sz w:val="18"/>
              </w:rPr>
              <w:t>C</w:t>
            </w:r>
          </w:p>
        </w:tc>
        <w:tc>
          <w:tcPr>
            <w:tcW w:type="dxa" w:w="1191"/>
            <w:shd w:val="clear" w:fill="F8F9FA"/>
          </w:tcPr>
          <w:p>
            <w:r/>
            <w:r>
              <w:rPr>
                <w:rFonts w:ascii="Calibri" w:hAnsi="Calibri"/>
                <w:color w:val="1F2937"/>
                <w:sz w:val="18"/>
              </w:rPr>
              <w:t>C</w:t>
            </w:r>
          </w:p>
        </w:tc>
      </w:tr>
    </w:tbl>
    <w:p>
      <w:pPr>
        <w:spacing w:after="40"/>
      </w:pPr>
    </w:p>
    <w:p>
      <w:pPr>
        <w:spacing w:after="160"/>
      </w:pPr>
      <w:r>
        <w:rPr>
          <w:rFonts w:ascii="Calibri" w:hAnsi="Calibri"/>
          <w:b w:val="0"/>
          <w:i w:val="0"/>
          <w:color w:val="1F2937"/>
          <w:sz w:val="22"/>
        </w:rPr>
        <w:t>De projectleiding van de aannemer draagt zorg voor de dagelijkse naleving van dit beleid en voor de inzet van bevoegd personeel [33]. De HSEQ-functionaris adviseert over de inhoud van RI&amp;E, meetprogramma en training en bewaakt de documentatie [33]. Het uitvoerend personeel volgt de werkinstructies, gebruikt de voorgeschreven PBM en meldt afwijkingen en incidenten direct [33].</w:t>
      </w:r>
    </w:p>
    <w:p>
      <w:pPr>
        <w:pStyle w:val="Heading2"/>
      </w:pPr>
      <w:r>
        <w:t>5.1 Nadere rolomschrijving</w:t>
      </w:r>
    </w:p>
    <w:p>
      <w:pPr>
        <w:spacing w:after="160"/>
      </w:pPr>
      <w:r>
        <w:rPr>
          <w:rFonts w:ascii="Calibri" w:hAnsi="Calibri"/>
          <w:b w:val="0"/>
          <w:i w:val="0"/>
          <w:color w:val="1F2937"/>
          <w:sz w:val="22"/>
        </w:rPr>
        <w:t>Wintershall beoordeelt en goedkeurt het plan van aanpak, verstrekt de beschikbare kennis over historische procescondities van het platform en blijft gedurende het project geïnformeerd over meetresultaten en incidenten [3][33]. Deze kennispositie is van belang omdat de locatie van kwikbronnen samenhangt met de productiegeschiedenis van de installatie [33].</w:t>
      </w:r>
    </w:p>
    <w:p>
      <w:pPr>
        <w:spacing w:after="160"/>
      </w:pPr>
      <w:r>
        <w:rPr>
          <w:rFonts w:ascii="Calibri" w:hAnsi="Calibri"/>
          <w:b w:val="0"/>
          <w:i w:val="0"/>
          <w:color w:val="1F2937"/>
          <w:sz w:val="22"/>
        </w:rPr>
        <w:t>De projectleiding van Koole zorgt voor de vertaling van dit beleid naar dagelijkse werkinstructies, stelt het kwikregister samen, bewaakt de opslagcapaciteit en het afvoerschema, en is het eerste aanspreekpunt bij EMVI-activering [33]. Zij verifieert vóór inzet van nieuwe medewerkers of training en medische surveillance zijn afgerond [4][6][33].</w:t>
      </w:r>
    </w:p>
    <w:p>
      <w:pPr>
        <w:spacing w:after="160"/>
      </w:pPr>
      <w:r>
        <w:rPr>
          <w:rFonts w:ascii="Calibri" w:hAnsi="Calibri"/>
          <w:b w:val="0"/>
          <w:i w:val="0"/>
          <w:color w:val="1F2937"/>
          <w:sz w:val="22"/>
        </w:rPr>
        <w:t>De HSEQ-functionaris voert de interne controles uit op de toetsingsmatrix uit de audit, rapporteert meetresultaten conform de wettelijke rapportageverplichtingen en adviseert bij overschrijding van actiewaarden over stillegging en herstelmaatregelen [8][17][33]. De erkende verwerker bevestigt de ontvangst en verwerking van elke partij kwikafval en rapporteert afwijkingen aan de projectleiding [12][16][33].</w:t>
      </w:r>
    </w:p>
    <w:p>
      <w:pPr>
        <w:pStyle w:val="Heading1"/>
      </w:pPr>
      <w:r>
        <w:t>6. Risico's &amp; Mitigatie</w:t>
      </w:r>
    </w:p>
    <w:p>
      <w:pPr>
        <w:pStyle w:val="Heading2"/>
      </w:pPr>
      <w:r>
        <w:t>6.1 Gezondheidsrisico's van kwik</w:t>
      </w:r>
    </w:p>
    <w:p>
      <w:pPr>
        <w:spacing w:after="160"/>
      </w:pPr>
      <w:r>
        <w:rPr>
          <w:rFonts w:ascii="Calibri" w:hAnsi="Calibri"/>
          <w:b w:val="0"/>
          <w:i w:val="0"/>
          <w:color w:val="1F2937"/>
          <w:sz w:val="22"/>
        </w:rPr>
        <w:t>Blootstelling aan kwik en anorganische kwikverbindingen vindt plaats via inhalatie (kwikdamp), huidcontact en inslikken [33]. De gezondheidseffecten volgen uit de CLP-classificatie: schade aan de vruchtbaarheid of het ongeboren kind (H360D) en organschade bij langdurige of herhaalde blootstelling, met name aan de nieren (H372) [21][22]. Kwik is daarnaast zeer giftig voor in het water levende organismen met langetermijneffecten (H410), waardoor emissie naar het mariene milieu een milieurisico vormt [21][22].</w:t>
      </w:r>
    </w:p>
    <w:p>
      <w:pPr>
        <w:spacing w:after="160"/>
      </w:pPr>
      <w:r>
        <w:rPr>
          <w:rFonts w:ascii="Calibri" w:hAnsi="Calibri"/>
          <w:b w:val="0"/>
          <w:i w:val="0"/>
          <w:color w:val="1F2937"/>
          <w:sz w:val="22"/>
        </w:rPr>
        <w:t>Kwik valt onder de Zeer Zorgwekkende Stoffen en wordt conform de RIVM/ZZS-richtlijnen behandeld als stof met een prioritaire beheersingsplicht [29]. Dit betekent dat blootstelling zoveel mogelijk wordt voorkomen en dat elke blootstellingsroute afzonderlijk is beheerst: de ademlucht via metingen en ademhalingsbescherming [7][8], de huid via handschoenen en beschermende kleding [5][33] en het milieu via containment, opslag en geregistreerde afvoer [11][12][33].</w:t>
      </w:r>
    </w:p>
    <w:p>
      <w:pPr>
        <w:pStyle w:val="Heading2"/>
      </w:pPr>
      <w:r>
        <w:t>6.2 Risicoregister en mitigatiemaatregelen</w:t>
      </w:r>
    </w:p>
    <w:tbl>
      <w:tblPr>
        <w:tblStyle w:val="TableGrid"/>
        <w:tblW w:type="auto" w:w="0"/>
        <w:jc w:val="center"/>
        <w:tblLook w:firstColumn="1" w:firstRow="1" w:lastColumn="0" w:lastRow="0" w:noHBand="0" w:noVBand="1" w:val="04A0"/>
      </w:tblPr>
      <w:tblGrid>
        <w:gridCol w:w="2268"/>
        <w:gridCol w:w="2268"/>
        <w:gridCol w:w="2268"/>
        <w:gridCol w:w="2268"/>
      </w:tblGrid>
      <w:tr>
        <w:tc>
          <w:tcPr>
            <w:tcW w:type="dxa" w:w="2041"/>
            <w:shd w:val="clear" w:fill="003366"/>
          </w:tcPr>
          <w:p>
            <w:r/>
            <w:r>
              <w:rPr>
                <w:rFonts w:ascii="Calibri" w:hAnsi="Calibri"/>
                <w:b/>
                <w:color w:val="FFFFFF"/>
                <w:sz w:val="18"/>
              </w:rPr>
              <w:t>Risico</w:t>
            </w:r>
          </w:p>
        </w:tc>
        <w:tc>
          <w:tcPr>
            <w:tcW w:type="dxa" w:w="2041"/>
            <w:shd w:val="clear" w:fill="003366"/>
          </w:tcPr>
          <w:p>
            <w:r/>
            <w:r>
              <w:rPr>
                <w:rFonts w:ascii="Calibri" w:hAnsi="Calibri"/>
                <w:b/>
                <w:color w:val="FFFFFF"/>
                <w:sz w:val="18"/>
              </w:rPr>
              <w:t>Oorzaak</w:t>
            </w:r>
          </w:p>
        </w:tc>
        <w:tc>
          <w:tcPr>
            <w:tcW w:type="dxa" w:w="3061"/>
            <w:shd w:val="clear" w:fill="003366"/>
          </w:tcPr>
          <w:p>
            <w:r/>
            <w:r>
              <w:rPr>
                <w:rFonts w:ascii="Calibri" w:hAnsi="Calibri"/>
                <w:b/>
                <w:color w:val="FFFFFF"/>
                <w:sz w:val="18"/>
              </w:rPr>
              <w:t>Mitigatie</w:t>
            </w:r>
          </w:p>
        </w:tc>
        <w:tc>
          <w:tcPr>
            <w:tcW w:type="dxa" w:w="1134"/>
            <w:shd w:val="clear" w:fill="003366"/>
          </w:tcPr>
          <w:p>
            <w:r/>
            <w:r>
              <w:rPr>
                <w:rFonts w:ascii="Calibri" w:hAnsi="Calibri"/>
                <w:b/>
                <w:color w:val="FFFFFF"/>
                <w:sz w:val="18"/>
              </w:rPr>
              <w:t>Grondslag</w:t>
            </w:r>
          </w:p>
        </w:tc>
      </w:tr>
      <w:tr>
        <w:tc>
          <w:tcPr>
            <w:tcW w:type="dxa" w:w="2041"/>
          </w:tcPr>
          <w:p>
            <w:r/>
            <w:r>
              <w:rPr>
                <w:rFonts w:ascii="Calibri" w:hAnsi="Calibri"/>
                <w:color w:val="1F2937"/>
                <w:sz w:val="18"/>
              </w:rPr>
              <w:t>Inhalatie kwikdamp boven grenswaarde</w:t>
            </w:r>
          </w:p>
        </w:tc>
        <w:tc>
          <w:tcPr>
            <w:tcW w:type="dxa" w:w="2041"/>
          </w:tcPr>
          <w:p>
            <w:r/>
            <w:r>
              <w:rPr>
                <w:rFonts w:ascii="Calibri" w:hAnsi="Calibri"/>
                <w:color w:val="1F2937"/>
                <w:sz w:val="18"/>
              </w:rPr>
              <w:t>Openen van besmette apparatuur; verhitting; slechte ventilatie</w:t>
            </w:r>
          </w:p>
        </w:tc>
        <w:tc>
          <w:tcPr>
            <w:tcW w:type="dxa" w:w="3061"/>
          </w:tcPr>
          <w:p>
            <w:r/>
            <w:r>
              <w:rPr>
                <w:rFonts w:ascii="Calibri" w:hAnsi="Calibri"/>
                <w:color w:val="1F2937"/>
                <w:sz w:val="18"/>
              </w:rPr>
              <w:t>Lokale containment, luchtmetingen met actiewaarden, ademhalingsbescherming FFP3/P3</w:t>
            </w:r>
          </w:p>
        </w:tc>
        <w:tc>
          <w:tcPr>
            <w:tcW w:type="dxa" w:w="1134"/>
          </w:tcPr>
          <w:p>
            <w:r/>
            <w:r>
              <w:rPr>
                <w:rFonts w:ascii="Calibri" w:hAnsi="Calibri"/>
                <w:color w:val="1F2937"/>
                <w:sz w:val="18"/>
              </w:rPr>
              <w:t>[7][8][33]</w:t>
            </w:r>
          </w:p>
        </w:tc>
      </w:tr>
      <w:tr>
        <w:tc>
          <w:tcPr>
            <w:tcW w:type="dxa" w:w="2041"/>
            <w:shd w:val="clear" w:fill="F8F9FA"/>
          </w:tcPr>
          <w:p>
            <w:r/>
            <w:r>
              <w:rPr>
                <w:rFonts w:ascii="Calibri" w:hAnsi="Calibri"/>
                <w:color w:val="1F2937"/>
                <w:sz w:val="18"/>
              </w:rPr>
              <w:t>Huidcontact met elementair kwik</w:t>
            </w:r>
          </w:p>
        </w:tc>
        <w:tc>
          <w:tcPr>
            <w:tcW w:type="dxa" w:w="2041"/>
            <w:shd w:val="clear" w:fill="F8F9FA"/>
          </w:tcPr>
          <w:p>
            <w:r/>
            <w:r>
              <w:rPr>
                <w:rFonts w:ascii="Calibri" w:hAnsi="Calibri"/>
                <w:color w:val="1F2937"/>
                <w:sz w:val="18"/>
              </w:rPr>
              <w:t>Handenarbeid aan besmette onderdelen</w:t>
            </w:r>
          </w:p>
        </w:tc>
        <w:tc>
          <w:tcPr>
            <w:tcW w:type="dxa" w:w="3061"/>
            <w:shd w:val="clear" w:fill="F8F9FA"/>
          </w:tcPr>
          <w:p>
            <w:r/>
            <w:r>
              <w:rPr>
                <w:rFonts w:ascii="Calibri" w:hAnsi="Calibri"/>
                <w:color w:val="1F2937"/>
                <w:sz w:val="18"/>
              </w:rPr>
              <w:t>Nitrilhandschoenen, disposable kleding, decontaminatie na werk</w:t>
            </w:r>
          </w:p>
        </w:tc>
        <w:tc>
          <w:tcPr>
            <w:tcW w:type="dxa" w:w="1134"/>
            <w:shd w:val="clear" w:fill="F8F9FA"/>
          </w:tcPr>
          <w:p>
            <w:r/>
            <w:r>
              <w:rPr>
                <w:rFonts w:ascii="Calibri" w:hAnsi="Calibri"/>
                <w:color w:val="1F2937"/>
                <w:sz w:val="18"/>
              </w:rPr>
              <w:t>[5][24][33]</w:t>
            </w:r>
          </w:p>
        </w:tc>
      </w:tr>
      <w:tr>
        <w:tc>
          <w:tcPr>
            <w:tcW w:type="dxa" w:w="2041"/>
          </w:tcPr>
          <w:p>
            <w:r/>
            <w:r>
              <w:rPr>
                <w:rFonts w:ascii="Calibri" w:hAnsi="Calibri"/>
                <w:color w:val="1F2937"/>
                <w:sz w:val="18"/>
              </w:rPr>
              <w:t>Reproductieve schade (H360D)</w:t>
            </w:r>
          </w:p>
        </w:tc>
        <w:tc>
          <w:tcPr>
            <w:tcW w:type="dxa" w:w="2041"/>
          </w:tcPr>
          <w:p>
            <w:r/>
            <w:r>
              <w:rPr>
                <w:rFonts w:ascii="Calibri" w:hAnsi="Calibri"/>
                <w:color w:val="1F2937"/>
                <w:sz w:val="18"/>
              </w:rPr>
              <w:t>Blootstelling zwangere of Kinderwens medewerkers</w:t>
            </w:r>
          </w:p>
        </w:tc>
        <w:tc>
          <w:tcPr>
            <w:tcW w:type="dxa" w:w="3061"/>
          </w:tcPr>
          <w:p>
            <w:r/>
            <w:r>
              <w:rPr>
                <w:rFonts w:ascii="Calibri" w:hAnsi="Calibri"/>
                <w:color w:val="1F2937"/>
                <w:sz w:val="18"/>
              </w:rPr>
              <w:t>Medische surveillance, beperking blootstellende werkzaamheden</w:t>
            </w:r>
          </w:p>
        </w:tc>
        <w:tc>
          <w:tcPr>
            <w:tcW w:type="dxa" w:w="1134"/>
          </w:tcPr>
          <w:p>
            <w:r/>
            <w:r>
              <w:rPr>
                <w:rFonts w:ascii="Calibri" w:hAnsi="Calibri"/>
                <w:color w:val="1F2937"/>
                <w:sz w:val="18"/>
              </w:rPr>
              <w:t>[6][21][22]</w:t>
            </w:r>
          </w:p>
        </w:tc>
      </w:tr>
      <w:tr>
        <w:tc>
          <w:tcPr>
            <w:tcW w:type="dxa" w:w="2041"/>
            <w:shd w:val="clear" w:fill="F8F9FA"/>
          </w:tcPr>
          <w:p>
            <w:r/>
            <w:r>
              <w:rPr>
                <w:rFonts w:ascii="Calibri" w:hAnsi="Calibri"/>
                <w:color w:val="1F2937"/>
                <w:sz w:val="18"/>
              </w:rPr>
              <w:t>Verspreiding naar marien milieu (H410)</w:t>
            </w:r>
          </w:p>
        </w:tc>
        <w:tc>
          <w:tcPr>
            <w:tcW w:type="dxa" w:w="2041"/>
            <w:shd w:val="clear" w:fill="F8F9FA"/>
          </w:tcPr>
          <w:p>
            <w:r/>
            <w:r>
              <w:rPr>
                <w:rFonts w:ascii="Calibri" w:hAnsi="Calibri"/>
                <w:color w:val="1F2937"/>
                <w:sz w:val="18"/>
              </w:rPr>
              <w:t>Lekkende containers; val van materiaal overboord</w:t>
            </w:r>
          </w:p>
        </w:tc>
        <w:tc>
          <w:tcPr>
            <w:tcW w:type="dxa" w:w="3061"/>
            <w:shd w:val="clear" w:fill="F8F9FA"/>
          </w:tcPr>
          <w:p>
            <w:r/>
            <w:r>
              <w:rPr>
                <w:rFonts w:ascii="Calibri" w:hAnsi="Calibri"/>
                <w:color w:val="1F2937"/>
                <w:sz w:val="18"/>
              </w:rPr>
              <w:t>Gelabelde containers, lekbakken, vastzetten van lading bij transport</w:t>
            </w:r>
          </w:p>
        </w:tc>
        <w:tc>
          <w:tcPr>
            <w:tcW w:type="dxa" w:w="1134"/>
            <w:shd w:val="clear" w:fill="F8F9FA"/>
          </w:tcPr>
          <w:p>
            <w:r/>
            <w:r>
              <w:rPr>
                <w:rFonts w:ascii="Calibri" w:hAnsi="Calibri"/>
                <w:color w:val="1F2937"/>
                <w:sz w:val="18"/>
              </w:rPr>
              <w:t>[13][19][33]</w:t>
            </w:r>
          </w:p>
        </w:tc>
      </w:tr>
      <w:tr>
        <w:tc>
          <w:tcPr>
            <w:tcW w:type="dxa" w:w="2041"/>
          </w:tcPr>
          <w:p>
            <w:r/>
            <w:r>
              <w:rPr>
                <w:rFonts w:ascii="Calibri" w:hAnsi="Calibri"/>
                <w:color w:val="1F2937"/>
                <w:sz w:val="18"/>
              </w:rPr>
              <w:t>Kruisbesmetting leef-/werkomgeving</w:t>
            </w:r>
          </w:p>
        </w:tc>
        <w:tc>
          <w:tcPr>
            <w:tcW w:type="dxa" w:w="2041"/>
          </w:tcPr>
          <w:p>
            <w:r/>
            <w:r>
              <w:rPr>
                <w:rFonts w:ascii="Calibri" w:hAnsi="Calibri"/>
                <w:color w:val="1F2937"/>
                <w:sz w:val="18"/>
              </w:rPr>
              <w:t>Onvoldoende scheiding vuil/schoon</w:t>
            </w:r>
          </w:p>
        </w:tc>
        <w:tc>
          <w:tcPr>
            <w:tcW w:type="dxa" w:w="3061"/>
          </w:tcPr>
          <w:p>
            <w:r/>
            <w:r>
              <w:rPr>
                <w:rFonts w:ascii="Calibri" w:hAnsi="Calibri"/>
                <w:color w:val="1F2937"/>
                <w:sz w:val="18"/>
              </w:rPr>
              <w:t>Scheiding zones, overschoenen, wasfaciliteiten, afvoer disposables als kwikafval</w:t>
            </w:r>
          </w:p>
        </w:tc>
        <w:tc>
          <w:tcPr>
            <w:tcW w:type="dxa" w:w="1134"/>
          </w:tcPr>
          <w:p>
            <w:r/>
            <w:r>
              <w:rPr>
                <w:rFonts w:ascii="Calibri" w:hAnsi="Calibri"/>
                <w:color w:val="1F2937"/>
                <w:sz w:val="18"/>
              </w:rPr>
              <w:t>[15][23][33]</w:t>
            </w:r>
          </w:p>
        </w:tc>
      </w:tr>
      <w:tr>
        <w:tc>
          <w:tcPr>
            <w:tcW w:type="dxa" w:w="2041"/>
            <w:shd w:val="clear" w:fill="F8F9FA"/>
          </w:tcPr>
          <w:p>
            <w:r/>
            <w:r>
              <w:rPr>
                <w:rFonts w:ascii="Calibri" w:hAnsi="Calibri"/>
                <w:color w:val="1F2937"/>
                <w:sz w:val="18"/>
              </w:rPr>
              <w:t>Niet-herkende kwikbron</w:t>
            </w:r>
          </w:p>
        </w:tc>
        <w:tc>
          <w:tcPr>
            <w:tcW w:type="dxa" w:w="2041"/>
            <w:shd w:val="clear" w:fill="F8F9FA"/>
          </w:tcPr>
          <w:p>
            <w:r/>
            <w:r>
              <w:rPr>
                <w:rFonts w:ascii="Calibri" w:hAnsi="Calibri"/>
                <w:color w:val="1F2937"/>
                <w:sz w:val="18"/>
              </w:rPr>
              <w:t>Ontbrekende pre-removal survey</w:t>
            </w:r>
          </w:p>
        </w:tc>
        <w:tc>
          <w:tcPr>
            <w:tcW w:type="dxa" w:w="3061"/>
            <w:shd w:val="clear" w:fill="F8F9FA"/>
          </w:tcPr>
          <w:p>
            <w:r/>
            <w:r>
              <w:rPr>
                <w:rFonts w:ascii="Calibri" w:hAnsi="Calibri"/>
                <w:color w:val="1F2937"/>
                <w:sz w:val="18"/>
              </w:rPr>
              <w:t>Verplichte survey met XRF en labanalyse; verdacht = behandelen als besmet</w:t>
            </w:r>
          </w:p>
        </w:tc>
        <w:tc>
          <w:tcPr>
            <w:tcW w:type="dxa" w:w="1134"/>
            <w:shd w:val="clear" w:fill="F8F9FA"/>
          </w:tcPr>
          <w:p>
            <w:r/>
            <w:r>
              <w:rPr>
                <w:rFonts w:ascii="Calibri" w:hAnsi="Calibri"/>
                <w:color w:val="1F2937"/>
                <w:sz w:val="18"/>
              </w:rPr>
              <w:t>[33]</w:t>
            </w:r>
          </w:p>
        </w:tc>
      </w:tr>
      <w:tr>
        <w:tc>
          <w:tcPr>
            <w:tcW w:type="dxa" w:w="2041"/>
          </w:tcPr>
          <w:p>
            <w:r/>
            <w:r>
              <w:rPr>
                <w:rFonts w:ascii="Calibri" w:hAnsi="Calibri"/>
                <w:color w:val="1F2937"/>
                <w:sz w:val="18"/>
              </w:rPr>
              <w:t>Onjuiste afvoer van kwikafval</w:t>
            </w:r>
          </w:p>
        </w:tc>
        <w:tc>
          <w:tcPr>
            <w:tcW w:type="dxa" w:w="2041"/>
          </w:tcPr>
          <w:p>
            <w:r/>
            <w:r>
              <w:rPr>
                <w:rFonts w:ascii="Calibri" w:hAnsi="Calibri"/>
                <w:color w:val="1F2937"/>
                <w:sz w:val="18"/>
              </w:rPr>
              <w:t>Geen erkende verwerker; onvolledige documenten</w:t>
            </w:r>
          </w:p>
        </w:tc>
        <w:tc>
          <w:tcPr>
            <w:tcW w:type="dxa" w:w="3061"/>
          </w:tcPr>
          <w:p>
            <w:r/>
            <w:r>
              <w:rPr>
                <w:rFonts w:ascii="Calibri" w:hAnsi="Calibri"/>
                <w:color w:val="1F2937"/>
                <w:sz w:val="18"/>
              </w:rPr>
              <w:t>Erkende vervoerder en verwerker, acceptatiecriteria en ADR-documentatie</w:t>
            </w:r>
          </w:p>
        </w:tc>
        <w:tc>
          <w:tcPr>
            <w:tcW w:type="dxa" w:w="1134"/>
          </w:tcPr>
          <w:p>
            <w:r/>
            <w:r>
              <w:rPr>
                <w:rFonts w:ascii="Calibri" w:hAnsi="Calibri"/>
                <w:color w:val="1F2937"/>
                <w:sz w:val="18"/>
              </w:rPr>
              <w:t>[12][16][33]</w:t>
            </w:r>
          </w:p>
        </w:tc>
      </w:tr>
      <w:tr>
        <w:tc>
          <w:tcPr>
            <w:tcW w:type="dxa" w:w="2041"/>
            <w:shd w:val="clear" w:fill="F8F9FA"/>
          </w:tcPr>
          <w:p>
            <w:r/>
            <w:r>
              <w:rPr>
                <w:rFonts w:ascii="Calibri" w:hAnsi="Calibri"/>
                <w:color w:val="1F2937"/>
                <w:sz w:val="18"/>
              </w:rPr>
              <w:t>Onvoldoende voorbereiding personeel</w:t>
            </w:r>
          </w:p>
        </w:tc>
        <w:tc>
          <w:tcPr>
            <w:tcW w:type="dxa" w:w="2041"/>
            <w:shd w:val="clear" w:fill="F8F9FA"/>
          </w:tcPr>
          <w:p>
            <w:r/>
            <w:r>
              <w:rPr>
                <w:rFonts w:ascii="Calibri" w:hAnsi="Calibri"/>
                <w:color w:val="1F2937"/>
                <w:sz w:val="18"/>
              </w:rPr>
              <w:t>Training achterwege gelaten</w:t>
            </w:r>
          </w:p>
        </w:tc>
        <w:tc>
          <w:tcPr>
            <w:tcW w:type="dxa" w:w="3061"/>
            <w:shd w:val="clear" w:fill="F8F9FA"/>
          </w:tcPr>
          <w:p>
            <w:r/>
            <w:r>
              <w:rPr>
                <w:rFonts w:ascii="Calibri" w:hAnsi="Calibri"/>
                <w:color w:val="1F2937"/>
                <w:sz w:val="18"/>
              </w:rPr>
              <w:t>Training vóór inzet, incl. offshore-specifieke onderdelen (helikopter, boat transfers)</w:t>
            </w:r>
          </w:p>
        </w:tc>
        <w:tc>
          <w:tcPr>
            <w:tcW w:type="dxa" w:w="1134"/>
            <w:shd w:val="clear" w:fill="F8F9FA"/>
          </w:tcPr>
          <w:p>
            <w:r/>
            <w:r>
              <w:rPr>
                <w:rFonts w:ascii="Calibri" w:hAnsi="Calibri"/>
                <w:color w:val="1F2937"/>
                <w:sz w:val="18"/>
              </w:rPr>
              <w:t>[4][14][33]</w:t>
            </w:r>
          </w:p>
        </w:tc>
      </w:tr>
      <w:tr>
        <w:tc>
          <w:tcPr>
            <w:tcW w:type="dxa" w:w="2041"/>
          </w:tcPr>
          <w:p>
            <w:r/>
            <w:r>
              <w:rPr>
                <w:rFonts w:ascii="Calibri" w:hAnsi="Calibri"/>
                <w:color w:val="1F2937"/>
                <w:sz w:val="18"/>
              </w:rPr>
              <w:t>Beperkte ruimte en weersinvloeden</w:t>
            </w:r>
          </w:p>
        </w:tc>
        <w:tc>
          <w:tcPr>
            <w:tcW w:type="dxa" w:w="2041"/>
          </w:tcPr>
          <w:p>
            <w:r/>
            <w:r>
              <w:rPr>
                <w:rFonts w:ascii="Calibri" w:hAnsi="Calibri"/>
                <w:color w:val="1F2937"/>
                <w:sz w:val="18"/>
              </w:rPr>
              <w:t>Offshore logistiek</w:t>
            </w:r>
          </w:p>
        </w:tc>
        <w:tc>
          <w:tcPr>
            <w:tcW w:type="dxa" w:w="3061"/>
          </w:tcPr>
          <w:p>
            <w:r/>
            <w:r>
              <w:rPr>
                <w:rFonts w:ascii="Calibri" w:hAnsi="Calibri"/>
                <w:color w:val="1F2937"/>
                <w:sz w:val="18"/>
              </w:rPr>
              <w:t>Planning van containment en afvoer met weersvenster; beperkte opslagcapaciteit</w:t>
            </w:r>
          </w:p>
        </w:tc>
        <w:tc>
          <w:tcPr>
            <w:tcW w:type="dxa" w:w="1134"/>
          </w:tcPr>
          <w:p>
            <w:r/>
            <w:r>
              <w:rPr>
                <w:rFonts w:ascii="Calibri" w:hAnsi="Calibri"/>
                <w:color w:val="1F2937"/>
                <w:sz w:val="18"/>
              </w:rPr>
              <w:t>[33]</w:t>
            </w:r>
          </w:p>
        </w:tc>
      </w:tr>
      <w:tr>
        <w:tc>
          <w:tcPr>
            <w:tcW w:type="dxa" w:w="2041"/>
            <w:shd w:val="clear" w:fill="F8F9FA"/>
          </w:tcPr>
          <w:p>
            <w:r/>
            <w:r>
              <w:rPr>
                <w:rFonts w:ascii="Calibri" w:hAnsi="Calibri"/>
                <w:color w:val="1F2937"/>
                <w:sz w:val="18"/>
              </w:rPr>
              <w:t>Incidenten niet adequaat afgehandeld</w:t>
            </w:r>
          </w:p>
        </w:tc>
        <w:tc>
          <w:tcPr>
            <w:tcW w:type="dxa" w:w="2041"/>
            <w:shd w:val="clear" w:fill="F8F9FA"/>
          </w:tcPr>
          <w:p>
            <w:r/>
            <w:r>
              <w:rPr>
                <w:rFonts w:ascii="Calibri" w:hAnsi="Calibri"/>
                <w:color w:val="1F2937"/>
                <w:sz w:val="18"/>
              </w:rPr>
              <w:t>Ontbrekende EMVI</w:t>
            </w:r>
          </w:p>
        </w:tc>
        <w:tc>
          <w:tcPr>
            <w:tcW w:type="dxa" w:w="3061"/>
            <w:shd w:val="clear" w:fill="F8F9FA"/>
          </w:tcPr>
          <w:p>
            <w:r/>
            <w:r>
              <w:rPr>
                <w:rFonts w:ascii="Calibri" w:hAnsi="Calibri"/>
                <w:color w:val="1F2937"/>
                <w:sz w:val="18"/>
              </w:rPr>
              <w:t>EMVI met alarmeringslijn, EHBO en medische opvang; registratie en rapportage</w:t>
            </w:r>
          </w:p>
        </w:tc>
        <w:tc>
          <w:tcPr>
            <w:tcW w:type="dxa" w:w="1134"/>
            <w:shd w:val="clear" w:fill="F8F9FA"/>
          </w:tcPr>
          <w:p>
            <w:r/>
            <w:r>
              <w:rPr>
                <w:rFonts w:ascii="Calibri" w:hAnsi="Calibri"/>
                <w:color w:val="1F2937"/>
                <w:sz w:val="18"/>
              </w:rPr>
              <w:t>[9][17][33]</w:t>
            </w:r>
          </w:p>
        </w:tc>
      </w:tr>
    </w:tbl>
    <w:p>
      <w:pPr>
        <w:spacing w:after="40"/>
      </w:pPr>
    </w:p>
    <w:p>
      <w:pPr>
        <w:pStyle w:val="Heading2"/>
      </w:pPr>
      <w:r>
        <w:t>6.3 Maatregelenhiërarchie</w:t>
      </w:r>
    </w:p>
    <w:p>
      <w:pPr>
        <w:spacing w:after="160"/>
      </w:pPr>
      <w:r>
        <w:rPr>
          <w:rFonts w:ascii="Calibri" w:hAnsi="Calibri"/>
          <w:b w:val="0"/>
          <w:i w:val="0"/>
          <w:color w:val="1F2937"/>
          <w:sz w:val="22"/>
        </w:rPr>
        <w:t>De mitigatiemaatregelen uit het risicoregister zijn volgens de vaste hiërarchie gekozen: eerst bronmaatregelen (verwijdering van de kwikbron, lokale containment), daarna collectieve maatregelen (ventilatie, afscherming van zones) en pas als laatste individuele maatregelen (PBM) [2][23][33]. Deze volgorde verkleint de afhankelijkheid van individueel gedrag en is uitgangspunt bij elke wijziging van de werkwijze [2][23].</w:t>
      </w:r>
    </w:p>
    <w:p>
      <w:pPr>
        <w:pStyle w:val="Heading2"/>
      </w:pPr>
      <w:r>
        <w:t>6.4 Resterende verificatiepunten</w:t>
      </w:r>
    </w:p>
    <w:p>
      <w:pPr>
        <w:spacing w:after="160"/>
      </w:pPr>
      <w:r>
        <w:rPr>
          <w:rFonts w:ascii="Calibri" w:hAnsi="Calibri"/>
          <w:b w:val="0"/>
          <w:i w:val="0"/>
          <w:color w:val="1F2937"/>
          <w:sz w:val="22"/>
        </w:rPr>
        <w:t>De complianceaudit is een documenttoetsing; de uitvoering in de praktijk is niet beoordeeld [33]. Volgende elementen moeten ter plaatse worden geverifieerd: de uitvoering van de procedure, de beschikbaarheid en actualiteit van certificaten, de resultaten van luchtmetingen, de volledigheid van registraties en de fysieke locatiecondities offshore [33].</w:t>
      </w:r>
    </w:p>
    <w:tbl>
      <w:tblPr>
        <w:tblW w:type="auto" w:w="0"/>
        <w:jc w:val="center"/>
        <w:tblLook w:firstColumn="1" w:firstRow="1" w:lastColumn="0" w:lastRow="0" w:noHBand="0" w:noVBand="1" w:val="04A0"/>
      </w:tblPr>
      <w:tblGrid>
        <w:gridCol w:w="9072"/>
      </w:tblGrid>
      <w:tr>
        <w:tc>
          <w:tcPr>
            <w:tcW w:type="dxa" w:w="8787"/>
            <w:shd w:val="clear" w:fill="FFFEBA"/>
            <w:tcBorders>
              <w:top w:val="single" w:sz="4" w:color="F59E0B"/>
              <w:left w:val="single" w:sz="12" w:color="F59E0B"/>
              <w:bottom w:val="single" w:sz="4" w:color="F59E0B"/>
              <w:right w:val="single" w:sz="4" w:color="F59E0B"/>
            </w:tcBorders>
          </w:tcPr>
          <w:p>
            <w:r>
              <w:rPr>
                <w:rFonts w:ascii="Calibri" w:hAnsi="Calibri"/>
                <w:b/>
                <w:color w:val="003366"/>
                <w:sz w:val="22"/>
              </w:rPr>
              <w:t>Verificatiepunt uit de audit</w:t>
            </w:r>
          </w:p>
          <w:p>
            <w:r>
              <w:rPr>
                <w:rFonts w:ascii="Calibri" w:hAnsi="Calibri"/>
                <w:color w:val="1F2937"/>
                <w:sz w:val="21"/>
              </w:rPr>
              <w:t>De audit raadt aan het brondocument (procedure 003.057) fysiek te controleren tegen de toetsingsmatrix, halfjaarlijkse compliance-audits in te plannen en een feedbackmechanisme voor praktische verbeteringen te implementeren [33].</w:t>
            </w:r>
          </w:p>
        </w:tc>
      </w:tr>
    </w:tbl>
    <w:p>
      <w:pPr>
        <w:spacing w:after="40"/>
      </w:pPr>
    </w:p>
    <w:p>
      <w:pPr>
        <w:pStyle w:val="Heading1"/>
      </w:pPr>
      <w:r>
        <w:t>7. Registratie &amp; Bijlagen</w:t>
      </w:r>
    </w:p>
    <w:p>
      <w:pPr>
        <w:pStyle w:val="Heading2"/>
      </w:pPr>
      <w:r>
        <w:t>7.1 Registraties</w:t>
      </w:r>
    </w:p>
    <w:p>
      <w:pPr>
        <w:spacing w:after="160"/>
      </w:pPr>
      <w:r>
        <w:rPr>
          <w:rFonts w:ascii="Calibri" w:hAnsi="Calibri"/>
          <w:b w:val="0"/>
          <w:i w:val="0"/>
          <w:color w:val="1F2937"/>
          <w:sz w:val="22"/>
        </w:rPr>
        <w:t>De volgende gegevens worden geregistreerd en bewaard in het projectdossier [33]. De bewaartermijn volgt de wettelijke bewaarplichten uit het toetsingskader [7][8].</w:t>
      </w:r>
    </w:p>
    <w:p>
      <w:pPr>
        <w:spacing w:after="160"/>
      </w:pPr>
      <w:r>
        <w:rPr>
          <w:rFonts w:ascii="Calibri" w:hAnsi="Calibri"/>
          <w:b w:val="0"/>
          <w:i w:val="0"/>
          <w:color w:val="1F2937"/>
          <w:sz w:val="22"/>
        </w:rPr>
        <w:t>Rapportage over de registraties geschiedt conform artikel 4.10 van het Arbobesluit en artikel 9 van de Kwikverordening [8][17]. De opdrachtgever ontvangt periodiek het meetrapportement en het overzicht van afgevoerde partijen kwikafval [33]. De audit benoemt de vorm, frequentie en ontvanger van de rapportage als middelprioriteit element dat in de uitvoeringsprocedure moet worden ingevuld [33].</w:t>
      </w:r>
    </w:p>
    <w:tbl>
      <w:tblPr>
        <w:tblStyle w:val="TableGrid"/>
        <w:tblW w:type="auto" w:w="0"/>
        <w:jc w:val="center"/>
        <w:tblLook w:firstColumn="1" w:firstRow="1" w:lastColumn="0" w:lastRow="0" w:noHBand="0" w:noVBand="1" w:val="04A0"/>
      </w:tblPr>
      <w:tblGrid>
        <w:gridCol w:w="3024"/>
        <w:gridCol w:w="3024"/>
        <w:gridCol w:w="3024"/>
      </w:tblGrid>
      <w:tr>
        <w:tc>
          <w:tcPr>
            <w:tcW w:type="dxa" w:w="2268"/>
            <w:shd w:val="clear" w:fill="003366"/>
          </w:tcPr>
          <w:p>
            <w:r/>
            <w:r>
              <w:rPr>
                <w:rFonts w:ascii="Calibri" w:hAnsi="Calibri"/>
                <w:b/>
                <w:color w:val="FFFFFF"/>
                <w:sz w:val="20"/>
              </w:rPr>
              <w:t>Registratie</w:t>
            </w:r>
          </w:p>
        </w:tc>
        <w:tc>
          <w:tcPr>
            <w:tcW w:type="dxa" w:w="4535"/>
            <w:shd w:val="clear" w:fill="003366"/>
          </w:tcPr>
          <w:p>
            <w:r/>
            <w:r>
              <w:rPr>
                <w:rFonts w:ascii="Calibri" w:hAnsi="Calibri"/>
                <w:b/>
                <w:color w:val="FFFFFF"/>
                <w:sz w:val="20"/>
              </w:rPr>
              <w:t>Inhoud</w:t>
            </w:r>
          </w:p>
        </w:tc>
        <w:tc>
          <w:tcPr>
            <w:tcW w:type="dxa" w:w="1984"/>
            <w:shd w:val="clear" w:fill="003366"/>
          </w:tcPr>
          <w:p>
            <w:r/>
            <w:r>
              <w:rPr>
                <w:rFonts w:ascii="Calibri" w:hAnsi="Calibri"/>
                <w:b/>
                <w:color w:val="FFFFFF"/>
                <w:sz w:val="20"/>
              </w:rPr>
              <w:t>Grondslag</w:t>
            </w:r>
          </w:p>
        </w:tc>
      </w:tr>
      <w:tr>
        <w:tc>
          <w:tcPr>
            <w:tcW w:type="dxa" w:w="2268"/>
          </w:tcPr>
          <w:p>
            <w:r/>
            <w:r>
              <w:rPr>
                <w:rFonts w:ascii="Calibri" w:hAnsi="Calibri"/>
                <w:color w:val="1F2937"/>
                <w:sz w:val="20"/>
              </w:rPr>
              <w:t>Kwikregister</w:t>
            </w:r>
          </w:p>
        </w:tc>
        <w:tc>
          <w:tcPr>
            <w:tcW w:type="dxa" w:w="4535"/>
          </w:tcPr>
          <w:p>
            <w:r/>
            <w:r>
              <w:rPr>
                <w:rFonts w:ascii="Calibri" w:hAnsi="Calibri"/>
                <w:color w:val="1F2937"/>
                <w:sz w:val="20"/>
              </w:rPr>
              <w:t>Alle verdachte en bevestigd besmette onderdelen, herkomst, analyseresultaten, bestemming</w:t>
            </w:r>
          </w:p>
        </w:tc>
        <w:tc>
          <w:tcPr>
            <w:tcW w:type="dxa" w:w="1984"/>
          </w:tcPr>
          <w:p>
            <w:r/>
            <w:r>
              <w:rPr>
                <w:rFonts w:ascii="Calibri" w:hAnsi="Calibri"/>
                <w:color w:val="1F2937"/>
                <w:sz w:val="20"/>
              </w:rPr>
              <w:t>[33]</w:t>
            </w:r>
          </w:p>
        </w:tc>
      </w:tr>
      <w:tr>
        <w:tc>
          <w:tcPr>
            <w:tcW w:type="dxa" w:w="2268"/>
            <w:shd w:val="clear" w:fill="F8F9FA"/>
          </w:tcPr>
          <w:p>
            <w:r/>
            <w:r>
              <w:rPr>
                <w:rFonts w:ascii="Calibri" w:hAnsi="Calibri"/>
                <w:color w:val="1F2937"/>
                <w:sz w:val="20"/>
              </w:rPr>
              <w:t>Luchtmeetrappenport</w:t>
            </w:r>
          </w:p>
        </w:tc>
        <w:tc>
          <w:tcPr>
            <w:tcW w:type="dxa" w:w="4535"/>
            <w:shd w:val="clear" w:fill="F8F9FA"/>
          </w:tcPr>
          <w:p>
            <w:r/>
            <w:r>
              <w:rPr>
                <w:rFonts w:ascii="Calibri" w:hAnsi="Calibri"/>
                <w:color w:val="1F2937"/>
                <w:sz w:val="20"/>
              </w:rPr>
              <w:t>Meetdata, locatie, tijdstip, methode, beoordeling tegen TWA/STEL</w:t>
            </w:r>
          </w:p>
        </w:tc>
        <w:tc>
          <w:tcPr>
            <w:tcW w:type="dxa" w:w="1984"/>
            <w:shd w:val="clear" w:fill="F8F9FA"/>
          </w:tcPr>
          <w:p>
            <w:r/>
            <w:r>
              <w:rPr>
                <w:rFonts w:ascii="Calibri" w:hAnsi="Calibri"/>
                <w:color w:val="1F2937"/>
                <w:sz w:val="20"/>
              </w:rPr>
              <w:t>[8][17]</w:t>
            </w:r>
          </w:p>
        </w:tc>
      </w:tr>
      <w:tr>
        <w:tc>
          <w:tcPr>
            <w:tcW w:type="dxa" w:w="2268"/>
          </w:tcPr>
          <w:p>
            <w:r/>
            <w:r>
              <w:rPr>
                <w:rFonts w:ascii="Calibri" w:hAnsi="Calibri"/>
                <w:color w:val="1F2937"/>
                <w:sz w:val="20"/>
              </w:rPr>
              <w:t>PBM-log</w:t>
            </w:r>
          </w:p>
        </w:tc>
        <w:tc>
          <w:tcPr>
            <w:tcW w:type="dxa" w:w="4535"/>
          </w:tcPr>
          <w:p>
            <w:r/>
            <w:r>
              <w:rPr>
                <w:rFonts w:ascii="Calibri" w:hAnsi="Calibri"/>
                <w:color w:val="1F2937"/>
                <w:sz w:val="20"/>
              </w:rPr>
              <w:t>Uitgifte, fit-test ademhalingsbescherming, vervanging disposables</w:t>
            </w:r>
          </w:p>
        </w:tc>
        <w:tc>
          <w:tcPr>
            <w:tcW w:type="dxa" w:w="1984"/>
          </w:tcPr>
          <w:p>
            <w:r/>
            <w:r>
              <w:rPr>
                <w:rFonts w:ascii="Calibri" w:hAnsi="Calibri"/>
                <w:color w:val="1F2937"/>
                <w:sz w:val="20"/>
              </w:rPr>
              <w:t>[5][24]</w:t>
            </w:r>
          </w:p>
        </w:tc>
      </w:tr>
      <w:tr>
        <w:tc>
          <w:tcPr>
            <w:tcW w:type="dxa" w:w="2268"/>
            <w:shd w:val="clear" w:fill="F8F9FA"/>
          </w:tcPr>
          <w:p>
            <w:r/>
            <w:r>
              <w:rPr>
                <w:rFonts w:ascii="Calibri" w:hAnsi="Calibri"/>
                <w:color w:val="1F2937"/>
                <w:sz w:val="20"/>
              </w:rPr>
              <w:t>Trainingsregister</w:t>
            </w:r>
          </w:p>
        </w:tc>
        <w:tc>
          <w:tcPr>
            <w:tcW w:type="dxa" w:w="4535"/>
            <w:shd w:val="clear" w:fill="F8F9FA"/>
          </w:tcPr>
          <w:p>
            <w:r/>
            <w:r>
              <w:rPr>
                <w:rFonts w:ascii="Calibri" w:hAnsi="Calibri"/>
                <w:color w:val="1F2937"/>
                <w:sz w:val="20"/>
              </w:rPr>
              <w:t>Deelname, inhoud, instructeur, datum</w:t>
            </w:r>
          </w:p>
        </w:tc>
        <w:tc>
          <w:tcPr>
            <w:tcW w:type="dxa" w:w="1984"/>
            <w:shd w:val="clear" w:fill="F8F9FA"/>
          </w:tcPr>
          <w:p>
            <w:r/>
            <w:r>
              <w:rPr>
                <w:rFonts w:ascii="Calibri" w:hAnsi="Calibri"/>
                <w:color w:val="1F2937"/>
                <w:sz w:val="20"/>
              </w:rPr>
              <w:t>[4][14]</w:t>
            </w:r>
          </w:p>
        </w:tc>
      </w:tr>
      <w:tr>
        <w:tc>
          <w:tcPr>
            <w:tcW w:type="dxa" w:w="2268"/>
          </w:tcPr>
          <w:p>
            <w:r/>
            <w:r>
              <w:rPr>
                <w:rFonts w:ascii="Calibri" w:hAnsi="Calibri"/>
                <w:color w:val="1F2937"/>
                <w:sz w:val="20"/>
              </w:rPr>
              <w:t>Medisch dossier</w:t>
            </w:r>
          </w:p>
        </w:tc>
        <w:tc>
          <w:tcPr>
            <w:tcW w:type="dxa" w:w="4535"/>
          </w:tcPr>
          <w:p>
            <w:r/>
            <w:r>
              <w:rPr>
                <w:rFonts w:ascii="Calibri" w:hAnsi="Calibri"/>
                <w:color w:val="1F2937"/>
                <w:sz w:val="20"/>
              </w:rPr>
              <w:t>Surveillanceonderzoeken (vertrouwelijk, bij bedrijfsarts)</w:t>
            </w:r>
          </w:p>
        </w:tc>
        <w:tc>
          <w:tcPr>
            <w:tcW w:type="dxa" w:w="1984"/>
          </w:tcPr>
          <w:p>
            <w:r/>
            <w:r>
              <w:rPr>
                <w:rFonts w:ascii="Calibri" w:hAnsi="Calibri"/>
                <w:color w:val="1F2937"/>
                <w:sz w:val="20"/>
              </w:rPr>
              <w:t>[6]</w:t>
            </w:r>
          </w:p>
        </w:tc>
      </w:tr>
      <w:tr>
        <w:tc>
          <w:tcPr>
            <w:tcW w:type="dxa" w:w="2268"/>
            <w:shd w:val="clear" w:fill="F8F9FA"/>
          </w:tcPr>
          <w:p>
            <w:r/>
            <w:r>
              <w:rPr>
                <w:rFonts w:ascii="Calibri" w:hAnsi="Calibri"/>
                <w:color w:val="1F2937"/>
                <w:sz w:val="20"/>
              </w:rPr>
              <w:t>Transport- en afvoerdocumenten</w:t>
            </w:r>
          </w:p>
        </w:tc>
        <w:tc>
          <w:tcPr>
            <w:tcW w:type="dxa" w:w="4535"/>
            <w:shd w:val="clear" w:fill="F8F9FA"/>
          </w:tcPr>
          <w:p>
            <w:r/>
            <w:r>
              <w:rPr>
                <w:rFonts w:ascii="Calibri" w:hAnsi="Calibri"/>
                <w:color w:val="1F2937"/>
                <w:sz w:val="20"/>
              </w:rPr>
              <w:t>ADR-documenten, afgiftebewijzen, bevestiging verwerker</w:t>
            </w:r>
          </w:p>
        </w:tc>
        <w:tc>
          <w:tcPr>
            <w:tcW w:type="dxa" w:w="1984"/>
            <w:shd w:val="clear" w:fill="F8F9FA"/>
          </w:tcPr>
          <w:p>
            <w:r/>
            <w:r>
              <w:rPr>
                <w:rFonts w:ascii="Calibri" w:hAnsi="Calibri"/>
                <w:color w:val="1F2937"/>
                <w:sz w:val="20"/>
              </w:rPr>
              <w:t>[12][16]</w:t>
            </w:r>
          </w:p>
        </w:tc>
      </w:tr>
      <w:tr>
        <w:tc>
          <w:tcPr>
            <w:tcW w:type="dxa" w:w="2268"/>
          </w:tcPr>
          <w:p>
            <w:r/>
            <w:r>
              <w:rPr>
                <w:rFonts w:ascii="Calibri" w:hAnsi="Calibri"/>
                <w:color w:val="1F2937"/>
                <w:sz w:val="20"/>
              </w:rPr>
              <w:t>Incidentregistratie</w:t>
            </w:r>
          </w:p>
        </w:tc>
        <w:tc>
          <w:tcPr>
            <w:tcW w:type="dxa" w:w="4535"/>
          </w:tcPr>
          <w:p>
            <w:r/>
            <w:r>
              <w:rPr>
                <w:rFonts w:ascii="Calibri" w:hAnsi="Calibri"/>
                <w:color w:val="1F2937"/>
                <w:sz w:val="20"/>
              </w:rPr>
              <w:t>Meldingen, onderzoek, corrigerende maatregelen</w:t>
            </w:r>
          </w:p>
        </w:tc>
        <w:tc>
          <w:tcPr>
            <w:tcW w:type="dxa" w:w="1984"/>
          </w:tcPr>
          <w:p>
            <w:r/>
            <w:r>
              <w:rPr>
                <w:rFonts w:ascii="Calibri" w:hAnsi="Calibri"/>
                <w:color w:val="1F2937"/>
                <w:sz w:val="20"/>
              </w:rPr>
              <w:t>[9]</w:t>
            </w:r>
          </w:p>
        </w:tc>
      </w:tr>
    </w:tbl>
    <w:p>
      <w:pPr>
        <w:spacing w:after="40"/>
      </w:pPr>
    </w:p>
    <w:p>
      <w:pPr>
        <w:pStyle w:val="Heading2"/>
      </w:pPr>
      <w:r>
        <w:t>7.2 Bijlagen</w:t>
      </w:r>
    </w:p>
    <w:p>
      <w:pPr>
        <w:spacing w:after="100"/>
        <w:ind w:left="340" w:hanging="340"/>
      </w:pPr>
      <w:r>
        <w:rPr>
          <w:rFonts w:ascii="Calibri" w:hAnsi="Calibri"/>
          <w:color w:val="1F2937"/>
          <w:sz w:val="22"/>
        </w:rPr>
        <w:t>1.  Toetsingsmatrix: verplichte elementen per wettelijk kader (Arbobesluit H4, EU 2017/852, Bal, REACH/CLP, AI-bladen 31/18/64) [33]</w:t>
      </w:r>
    </w:p>
    <w:p>
      <w:pPr>
        <w:spacing w:after="100"/>
        <w:ind w:left="340" w:hanging="340"/>
      </w:pPr>
      <w:r>
        <w:rPr>
          <w:rFonts w:ascii="Calibri" w:hAnsi="Calibri"/>
          <w:color w:val="1F2937"/>
          <w:sz w:val="22"/>
        </w:rPr>
        <w:t>2.  SER-grenswaardentabel kwik en anorganische verbindingen [7][26]</w:t>
      </w:r>
    </w:p>
    <w:p>
      <w:pPr>
        <w:spacing w:after="100"/>
        <w:ind w:left="340" w:hanging="340"/>
      </w:pPr>
      <w:r>
        <w:rPr>
          <w:rFonts w:ascii="Calibri" w:hAnsi="Calibri"/>
          <w:color w:val="1F2937"/>
          <w:sz w:val="22"/>
        </w:rPr>
        <w:t>3.  CLP-classificatieoverzicht inclusief volledige H- en P-zinnen [21][22]</w:t>
      </w:r>
    </w:p>
    <w:p>
      <w:pPr>
        <w:spacing w:after="100"/>
        <w:ind w:left="340" w:hanging="340"/>
      </w:pPr>
      <w:r>
        <w:rPr>
          <w:rFonts w:ascii="Calibri" w:hAnsi="Calibri"/>
          <w:color w:val="1F2937"/>
          <w:sz w:val="22"/>
        </w:rPr>
        <w:t>4.  PBM-specificatiekaart (ademhalingsbescherming, handschoenen, kleding, oog- en voetbescherming) [5][24][33]</w:t>
      </w:r>
    </w:p>
    <w:p>
      <w:pPr>
        <w:spacing w:after="100"/>
        <w:ind w:left="340" w:hanging="340"/>
      </w:pPr>
      <w:r>
        <w:rPr>
          <w:rFonts w:ascii="Calibri" w:hAnsi="Calibri"/>
          <w:color w:val="1F2937"/>
          <w:sz w:val="22"/>
        </w:rPr>
        <w:t>5.  Luchtmeetprotocol (methodiek, moment, frequentie, uitvoerder, actiewaarden) [8][33]</w:t>
      </w:r>
    </w:p>
    <w:p>
      <w:pPr>
        <w:spacing w:after="100"/>
        <w:ind w:left="340" w:hanging="340"/>
      </w:pPr>
      <w:r>
        <w:rPr>
          <w:rFonts w:ascii="Calibri" w:hAnsi="Calibri"/>
          <w:color w:val="1F2937"/>
          <w:sz w:val="22"/>
        </w:rPr>
        <w:t>6.  EMVI-stroomschema kwikincidenten [9][33]</w:t>
      </w:r>
    </w:p>
    <w:p>
      <w:pPr>
        <w:spacing w:after="100"/>
        <w:ind w:left="340" w:hanging="340"/>
      </w:pPr>
      <w:r>
        <w:rPr>
          <w:rFonts w:ascii="Calibri" w:hAnsi="Calibri"/>
          <w:color w:val="1F2937"/>
          <w:sz w:val="22"/>
        </w:rPr>
        <w:t>7.  Checklist opslag, transport en afvoer (containers, etikettering, ADR, erkende verwerker) [11][12][16][33]</w:t>
      </w:r>
    </w:p>
    <w:p>
      <w:pPr>
        <w:spacing w:after="100"/>
        <w:ind w:left="340" w:hanging="340"/>
      </w:pPr>
      <w:r>
        <w:rPr>
          <w:rFonts w:ascii="Calibri" w:hAnsi="Calibri"/>
          <w:color w:val="1F2937"/>
          <w:sz w:val="22"/>
        </w:rPr>
        <w:t>8.  Format kwikregister [33]</w:t>
      </w:r>
    </w:p>
    <w:p>
      <w:pPr>
        <w:pStyle w:val="Heading2"/>
      </w:pPr>
      <w:r>
        <w:t>7.3 Documentbeheer en actualisatie</w:t>
      </w:r>
    </w:p>
    <w:p>
      <w:pPr>
        <w:spacing w:after="160"/>
      </w:pPr>
      <w:r>
        <w:rPr>
          <w:rFonts w:ascii="Calibri" w:hAnsi="Calibri"/>
          <w:b w:val="0"/>
          <w:i w:val="0"/>
          <w:color w:val="1F2937"/>
          <w:sz w:val="22"/>
        </w:rPr>
        <w:t>Dit beleidsdocument is eigendom van JvG Consultancy en is opgesteld voor het project 2026-audit-koole-mercury-003057 [33]. Herziening vindt plaats bij wetswijzigingen in de kaders uit hoofdstuk 2.3, bij projectmatige wijzigingen die de risicoprofiel beïnvloeden, en na afloop van elke periodieke compliance-audit [33]. De audit raadt aan halfjaarlijkse compliance-audits in te plannen en een feedbackmechanisme voor praktische verbeteringen te gebruiken als invoer voor de volgende beleidsversie [33].</w:t>
      </w:r>
    </w:p>
    <w:p>
      <w:pPr>
        <w:spacing w:after="160"/>
      </w:pPr>
      <w:r>
        <w:rPr>
          <w:rFonts w:ascii="Calibri" w:hAnsi="Calibri"/>
          <w:b w:val="0"/>
          <w:i w:val="0"/>
          <w:color w:val="1F2937"/>
          <w:sz w:val="22"/>
        </w:rPr>
        <w:t>Wijzigingen worden vastgelegd in de documentbeheertabel op de coverpagina met versienummer, datum, auteur en goedkeuring. De actuele versie is digitaal raadpleegbaar in het projectdossier; gedrukte exemplaren zijn onbeheerd [33].</w:t>
      </w:r>
    </w:p>
    <w:p>
      <w:pPr>
        <w:pStyle w:val="Heading1"/>
      </w:pPr>
      <w:r>
        <w:t>8. Bronnenlijst</w:t>
      </w:r>
    </w:p>
    <w:p>
      <w:pPr>
        <w:spacing w:after="60"/>
      </w:pPr>
      <w:r>
        <w:rPr>
          <w:rFonts w:ascii="Calibri" w:hAnsi="Calibri"/>
          <w:color w:val="1F2937"/>
          <w:sz w:val="20"/>
        </w:rPr>
        <w:t>[1]  Arbeidsomstandighedenwet (Arbowet), versie 01-01-2025 t/m heden.</w:t>
      </w:r>
    </w:p>
    <w:p>
      <w:pPr>
        <w:spacing w:after="60"/>
      </w:pPr>
      <w:r>
        <w:rPr>
          <w:rFonts w:ascii="Calibri" w:hAnsi="Calibri"/>
          <w:color w:val="1F2937"/>
          <w:sz w:val="20"/>
        </w:rPr>
        <w:t>[2]  Arbeidsomstandighedenbesluit (Arbobesluit), hoofdstuk 4 — Gevaarlijke stoffen, artikel 4.1 (RI&amp;E), versie 26-05-2025.</w:t>
      </w:r>
    </w:p>
    <w:p>
      <w:pPr>
        <w:spacing w:after="60"/>
      </w:pPr>
      <w:r>
        <w:rPr>
          <w:rFonts w:ascii="Calibri" w:hAnsi="Calibri"/>
          <w:color w:val="1F2937"/>
          <w:sz w:val="20"/>
        </w:rPr>
        <w:t>[3]  Arbobesluit, hoofdstuk 4, artikel 4.2 (plan van aanpak).</w:t>
      </w:r>
    </w:p>
    <w:p>
      <w:pPr>
        <w:spacing w:after="60"/>
      </w:pPr>
      <w:r>
        <w:rPr>
          <w:rFonts w:ascii="Calibri" w:hAnsi="Calibri"/>
          <w:color w:val="1F2937"/>
          <w:sz w:val="20"/>
        </w:rPr>
        <w:t>[4]  Arbobesluit, hoofdstuk 4, artikel 4.3 (voorlichting en training).</w:t>
      </w:r>
    </w:p>
    <w:p>
      <w:pPr>
        <w:spacing w:after="60"/>
      </w:pPr>
      <w:r>
        <w:rPr>
          <w:rFonts w:ascii="Calibri" w:hAnsi="Calibri"/>
          <w:color w:val="1F2937"/>
          <w:sz w:val="20"/>
        </w:rPr>
        <w:t>[5]  Arbobesluit, hoofdstuk 4, artikel 4.5 (persoonlijke beschermingsmiddelen).</w:t>
      </w:r>
    </w:p>
    <w:p>
      <w:pPr>
        <w:spacing w:after="60"/>
      </w:pPr>
      <w:r>
        <w:rPr>
          <w:rFonts w:ascii="Calibri" w:hAnsi="Calibri"/>
          <w:color w:val="1F2937"/>
          <w:sz w:val="20"/>
        </w:rPr>
        <w:t>[6]  Arbobesluit, hoofdstuk 4, artikel 4.6 (medische surveillance).</w:t>
      </w:r>
    </w:p>
    <w:p>
      <w:pPr>
        <w:spacing w:after="60"/>
      </w:pPr>
      <w:r>
        <w:rPr>
          <w:rFonts w:ascii="Calibri" w:hAnsi="Calibri"/>
          <w:color w:val="1F2937"/>
          <w:sz w:val="20"/>
        </w:rPr>
        <w:t>[7]  Arbobesluit, hoofdstuk 4, artikel 4.7 (grenswaarden).</w:t>
      </w:r>
    </w:p>
    <w:p>
      <w:pPr>
        <w:spacing w:after="60"/>
      </w:pPr>
      <w:r>
        <w:rPr>
          <w:rFonts w:ascii="Calibri" w:hAnsi="Calibri"/>
          <w:color w:val="1F2937"/>
          <w:sz w:val="20"/>
        </w:rPr>
        <w:t>[8]  Arbobesluit, hoofdstuk 4, artikel 4.10 (luchtmetingen en rapportage).</w:t>
      </w:r>
    </w:p>
    <w:p>
      <w:pPr>
        <w:spacing w:after="60"/>
      </w:pPr>
      <w:r>
        <w:rPr>
          <w:rFonts w:ascii="Calibri" w:hAnsi="Calibri"/>
          <w:color w:val="1F2937"/>
          <w:sz w:val="20"/>
        </w:rPr>
        <w:t>[9]  Arbobesluit, hoofdstuk 4, artikel 4.11 (ongevallen en incidenten / EMVI).</w:t>
      </w:r>
    </w:p>
    <w:p>
      <w:pPr>
        <w:spacing w:after="60"/>
      </w:pPr>
      <w:r>
        <w:rPr>
          <w:rFonts w:ascii="Calibri" w:hAnsi="Calibri"/>
          <w:color w:val="1F2937"/>
          <w:sz w:val="20"/>
        </w:rPr>
        <w:t>[10]  Arbobesluit, hoofdstuk 4, artikel 4.12 (veiligheidsinformatiebladen).</w:t>
      </w:r>
    </w:p>
    <w:p>
      <w:pPr>
        <w:spacing w:after="60"/>
      </w:pPr>
      <w:r>
        <w:rPr>
          <w:rFonts w:ascii="Calibri" w:hAnsi="Calibri"/>
          <w:color w:val="1F2937"/>
          <w:sz w:val="20"/>
        </w:rPr>
        <w:t>[11]  Arbobesluit, hoofdstuk 4, artikel 4.15 (etikettering en opslag).</w:t>
      </w:r>
    </w:p>
    <w:p>
      <w:pPr>
        <w:spacing w:after="60"/>
      </w:pPr>
      <w:r>
        <w:rPr>
          <w:rFonts w:ascii="Calibri" w:hAnsi="Calibri"/>
          <w:color w:val="1F2937"/>
          <w:sz w:val="20"/>
        </w:rPr>
        <w:t>[12]  Arbobesluit, hoofdstuk 4, artikel 4.17 (transport en afvoer gevaarlijke stoffen).</w:t>
      </w:r>
    </w:p>
    <w:p>
      <w:pPr>
        <w:spacing w:after="60"/>
      </w:pPr>
      <w:r>
        <w:rPr>
          <w:rFonts w:ascii="Calibri" w:hAnsi="Calibri"/>
          <w:color w:val="1F2937"/>
          <w:sz w:val="20"/>
        </w:rPr>
        <w:t>[13]  Europese Kwikverordening (EU) 2017/852.</w:t>
      </w:r>
    </w:p>
    <w:p>
      <w:pPr>
        <w:spacing w:after="60"/>
      </w:pPr>
      <w:r>
        <w:rPr>
          <w:rFonts w:ascii="Calibri" w:hAnsi="Calibri"/>
          <w:color w:val="1F2937"/>
          <w:sz w:val="20"/>
        </w:rPr>
        <w:t>[14]  Verordening (EU) 2017/852, artikel 5 (training en etikettering).</w:t>
      </w:r>
    </w:p>
    <w:p>
      <w:pPr>
        <w:spacing w:after="60"/>
      </w:pPr>
      <w:r>
        <w:rPr>
          <w:rFonts w:ascii="Calibri" w:hAnsi="Calibri"/>
          <w:color w:val="1F2937"/>
          <w:sz w:val="20"/>
        </w:rPr>
        <w:t>[15]  Verordening (EU) 2017/852, artikel 7 (PBM, opslag en decontaminatie).</w:t>
      </w:r>
    </w:p>
    <w:p>
      <w:pPr>
        <w:spacing w:after="60"/>
      </w:pPr>
      <w:r>
        <w:rPr>
          <w:rFonts w:ascii="Calibri" w:hAnsi="Calibri"/>
          <w:color w:val="1F2937"/>
          <w:sz w:val="20"/>
        </w:rPr>
        <w:t>[16]  Verordening (EU) 2017/852, artikel 8 (transport en afvoer).</w:t>
      </w:r>
    </w:p>
    <w:p>
      <w:pPr>
        <w:spacing w:after="60"/>
      </w:pPr>
      <w:r>
        <w:rPr>
          <w:rFonts w:ascii="Calibri" w:hAnsi="Calibri"/>
          <w:color w:val="1F2937"/>
          <w:sz w:val="20"/>
        </w:rPr>
        <w:t>[17]  Verordening (EU) 2017/852, artikel 9 (metingen en rapportage).</w:t>
      </w:r>
    </w:p>
    <w:p>
      <w:pPr>
        <w:spacing w:after="60"/>
      </w:pPr>
      <w:r>
        <w:rPr>
          <w:rFonts w:ascii="Calibri" w:hAnsi="Calibri"/>
          <w:color w:val="1F2937"/>
          <w:sz w:val="20"/>
        </w:rPr>
        <w:t>[18]  Besluit kwik en kwikhoudende producten.</w:t>
      </w:r>
    </w:p>
    <w:p>
      <w:pPr>
        <w:spacing w:after="60"/>
      </w:pPr>
      <w:r>
        <w:rPr>
          <w:rFonts w:ascii="Calibri" w:hAnsi="Calibri"/>
          <w:color w:val="1F2937"/>
          <w:sz w:val="20"/>
        </w:rPr>
        <w:t>[19]  Besluit activiteiten leefomgeving (Bal).</w:t>
      </w:r>
    </w:p>
    <w:p>
      <w:pPr>
        <w:spacing w:after="60"/>
      </w:pPr>
      <w:r>
        <w:rPr>
          <w:rFonts w:ascii="Calibri" w:hAnsi="Calibri"/>
          <w:color w:val="1F2937"/>
          <w:sz w:val="20"/>
        </w:rPr>
        <w:t>[20]  REACH-verordening (EG) nr. 1907/2006, artikel 31 (veiligheidsinformatieblad).</w:t>
      </w:r>
    </w:p>
    <w:p>
      <w:pPr>
        <w:spacing w:after="60"/>
      </w:pPr>
      <w:r>
        <w:rPr>
          <w:rFonts w:ascii="Calibri" w:hAnsi="Calibri"/>
          <w:color w:val="1F2937"/>
          <w:sz w:val="20"/>
        </w:rPr>
        <w:t>[21]  CLP-verordening (EG) nr. 1272/2008, artikelen 31/33 (etikettering) en classificatie kwik, CAS 7439-97-6.</w:t>
      </w:r>
    </w:p>
    <w:p>
      <w:pPr>
        <w:spacing w:after="60"/>
      </w:pPr>
      <w:r>
        <w:rPr>
          <w:rFonts w:ascii="Calibri" w:hAnsi="Calibri"/>
          <w:color w:val="1F2937"/>
          <w:sz w:val="20"/>
        </w:rPr>
        <w:t>[22]  CLP-verordening (EG) nr. 1272/2008, bijlage I — H- en P-zinnen (H360D, H372, H410; P201, P260, P281, P301+P310+P330, P304+P340+P312, P405, P501).</w:t>
      </w:r>
    </w:p>
    <w:p>
      <w:pPr>
        <w:spacing w:after="60"/>
      </w:pPr>
      <w:r>
        <w:rPr>
          <w:rFonts w:ascii="Calibri" w:hAnsi="Calibri"/>
          <w:color w:val="1F2937"/>
          <w:sz w:val="20"/>
        </w:rPr>
        <w:t>[23]  AI-blad 31: Gevaarlijke stoffen (versie 2025).</w:t>
      </w:r>
    </w:p>
    <w:p>
      <w:pPr>
        <w:spacing w:after="60"/>
      </w:pPr>
      <w:r>
        <w:rPr>
          <w:rFonts w:ascii="Calibri" w:hAnsi="Calibri"/>
          <w:color w:val="1F2937"/>
          <w:sz w:val="20"/>
        </w:rPr>
        <w:t>[24]  AI-blad 18: Persoonlijke beschermingsmiddelen (versie 2025).</w:t>
      </w:r>
    </w:p>
    <w:p>
      <w:pPr>
        <w:spacing w:after="60"/>
      </w:pPr>
      <w:r>
        <w:rPr>
          <w:rFonts w:ascii="Calibri" w:hAnsi="Calibri"/>
          <w:color w:val="1F2937"/>
          <w:sz w:val="20"/>
        </w:rPr>
        <w:t>[25]  AI-blad 64: Laboratoria (versie 2025).</w:t>
      </w:r>
    </w:p>
    <w:p>
      <w:pPr>
        <w:spacing w:after="60"/>
      </w:pPr>
      <w:r>
        <w:rPr>
          <w:rFonts w:ascii="Calibri" w:hAnsi="Calibri"/>
          <w:color w:val="1F2937"/>
          <w:sz w:val="20"/>
        </w:rPr>
        <w:t>[26]  SER-Grenswaarden — wettelijke grenswaarden kwik en anorganische verbindingen (8-uurs TWA 0,02 mg/m³; geen afzonderlijke STEL (NL)).</w:t>
      </w:r>
    </w:p>
    <w:p>
      <w:pPr>
        <w:spacing w:after="60"/>
      </w:pPr>
      <w:r>
        <w:rPr>
          <w:rFonts w:ascii="Calibri" w:hAnsi="Calibri"/>
          <w:color w:val="1F2937"/>
          <w:sz w:val="20"/>
        </w:rPr>
        <w:t>[27]  PGS 6: Publicatiereeks Gevaarlijke Stoffen — opslag en handling.</w:t>
      </w:r>
    </w:p>
    <w:p>
      <w:pPr>
        <w:spacing w:after="60"/>
      </w:pPr>
      <w:r>
        <w:rPr>
          <w:rFonts w:ascii="Calibri" w:hAnsi="Calibri"/>
          <w:color w:val="1F2937"/>
          <w:sz w:val="20"/>
        </w:rPr>
        <w:t>[28]  PGS 12: Publicatiereeks Gevaarlijke Stoffen — richtlijnen voor gevaarlijke stoffen.</w:t>
      </w:r>
    </w:p>
    <w:p>
      <w:pPr>
        <w:spacing w:after="60"/>
      </w:pPr>
      <w:r>
        <w:rPr>
          <w:rFonts w:ascii="Calibri" w:hAnsi="Calibri"/>
          <w:color w:val="1F2937"/>
          <w:sz w:val="20"/>
        </w:rPr>
        <w:t>[29]  RIVM / ZZS-richtlijnen voor kwik.</w:t>
      </w:r>
    </w:p>
    <w:p>
      <w:pPr>
        <w:spacing w:after="60"/>
      </w:pPr>
      <w:r>
        <w:rPr>
          <w:rFonts w:ascii="Calibri" w:hAnsi="Calibri"/>
          <w:color w:val="1F2937"/>
          <w:sz w:val="20"/>
        </w:rPr>
        <w:t>[30]  NOGEPA — Nederlandse Olie en Gas Exploratie en Productie Associatie, brancherichtlijnen offshore.</w:t>
      </w:r>
    </w:p>
    <w:p>
      <w:pPr>
        <w:spacing w:after="60"/>
      </w:pPr>
      <w:r>
        <w:rPr>
          <w:rFonts w:ascii="Calibri" w:hAnsi="Calibri"/>
          <w:color w:val="1F2937"/>
          <w:sz w:val="20"/>
        </w:rPr>
        <w:t>[31]  KNMT — Koninklijke Nederlandse Maatschappij tot bevordering der Tandheelkunde, richtlijnen voor kwik.</w:t>
      </w:r>
    </w:p>
    <w:p>
      <w:pPr>
        <w:spacing w:after="60"/>
      </w:pPr>
      <w:r>
        <w:rPr>
          <w:rFonts w:ascii="Calibri" w:hAnsi="Calibri"/>
          <w:color w:val="1F2937"/>
          <w:sz w:val="20"/>
        </w:rPr>
        <w:t>[32]  Koole procedure 003.057 “Safe Handling of Mercury” Rev 1 (referentieprocedure).</w:t>
      </w:r>
    </w:p>
    <w:p>
      <w:pPr>
        <w:spacing w:after="60"/>
      </w:pPr>
      <w:r>
        <w:rPr>
          <w:rFonts w:ascii="Calibri" w:hAnsi="Calibri"/>
          <w:color w:val="1F2937"/>
          <w:sz w:val="20"/>
        </w:rPr>
        <w:t>[33]  Meta-Dossier HSEQ Compliance Audit — project 2026-audit-koole-mercury-003057, onderzoek/00_meta_dossier_mercury_audit.md, 24-08-2026.</w:t>
      </w:r>
    </w:p>
    <w:p/>
    <w:p>
      <w:pPr>
        <w:spacing w:after="160"/>
        <w:jc w:val="center"/>
      </w:pPr>
      <w:r>
        <w:rPr>
          <w:rFonts w:ascii="Calibri" w:hAnsi="Calibri"/>
          <w:b/>
          <w:i w:val="0"/>
          <w:color w:val="1F2937"/>
          <w:sz w:val="22"/>
        </w:rPr>
        <w:t>— EINDE DOCUMENT —</w:t>
      </w:r>
    </w:p>
    <w:sectPr w:rsidR="00FC693F" w:rsidRPr="0006063C" w:rsidSect="00034616">
      <w:headerReference w:type="default" r:id="rId9"/>
      <w:footerReference w:type="default" r:id="rId10"/>
      <w:pgSz w:w="11906" w:h="16838"/>
      <w:pgMar w:top="1417" w:right="1417" w:bottom="1247" w:left="1417" w:header="68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374151"/>
        <w:sz w:val="18"/>
      </w:rPr>
      <w:t xml:space="preserve">JvG Consultancy — Beleidsdocument Veilig Omgaan met Kwik • v1.0 • 24-08-2026 • pagina </w:t>
    </w:r>
    <w:r>
      <w:rPr>
        <w:rFonts w:ascii="Calibri" w:hAnsi="Calibri"/>
        <w:sz w:val="18"/>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consultancy-logo.png"/>
                  <pic:cNvPicPr/>
                </pic:nvPicPr>
                <pic:blipFill>
                  <a:blip r:embed="rId1"/>
                  <a:stretch>
                    <a:fillRect/>
                  </a:stretch>
                </pic:blipFill>
                <pic:spPr>
                  <a:xfrm>
                    <a:off x="0" y="0"/>
                    <a:ext cx="720000" cy="648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Calibri" w:hAnsi="Calibri"/>
      <w:b/>
      <w:bCs/>
      <w:color w:val="003366"/>
      <w:sz w:val="32"/>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Calibri" w:hAnsi="Calibri"/>
      <w:b/>
      <w:bCs/>
      <w:color w:val="003366"/>
      <w:sz w:val="26"/>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Calibri" w:hAnsi="Calibri"/>
      <w:b/>
      <w:bCs/>
      <w:color w:val="37415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Veilig Omgaan met Kwik bij Offshore Decommissioning — Beleidsdocument v1.0</dc:title>
  <dc:subject>Kwikbeheersing offshore decommissioning — project 2026-audit-koole-mercury-003057</dc:subject>
  <dc:creator>HQ_04 Technical Writer (JvG Consultancy)</dc:creator>
  <cp:keywords>kwik; mercury; offshore; decommissioning; HSEQ; Arbobesluit; CLP; PGS; NOGEPA; Koole; Wintershall</cp:keywords>
  <dc:description>Gebaseerd op Meta-Dossier complianceaudit 003.057 (24-08-2026).</dc:description>
  <cp:lastModifiedBy/>
  <cp:revision>1</cp:revision>
  <dcterms:created xsi:type="dcterms:W3CDTF">2013-12-23T23:15:00Z</dcterms:created>
  <dcterms:modified xsi:type="dcterms:W3CDTF">2013-12-23T23:15:00Z</dcterms:modified>
  <cp:category>HSEQ Beleid</cp:category>
</cp:coreProperties>
</file>