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Herzieningsvoorstel 003.057 Mercury v4.0</w:t>
      </w:r>
    </w:p>
    <w:p>
      <w:pPr>
        <w:pStyle w:val="Author"/>
      </w:pPr>
      <w:r>
        <w:t xml:space="preserve">JvG Consultancy - HSEQ Divisie</w:t>
      </w:r>
    </w:p>
    <w:p>
      <w:pPr>
        <w:pStyle w:val="Date"/>
      </w:pPr>
      <w:r>
        <w:t xml:space="preserve">2026-08-25</w:t>
      </w:r>
    </w:p>
    <w:bookmarkStart w:id="41" w:name="X4c33df3567a51fd3185300a76bcee9d36f7e4b4"/>
    <w:p>
      <w:pPr>
        <w:pStyle w:val="Heading1"/>
      </w:pPr>
      <w:r>
        <w:t xml:space="preserve">HERZIENINGSVOORSTEL — Procedure 003.057 Safe Handling of Mercury</w:t>
      </w:r>
    </w:p>
    <w:bookmarkStart w:id="20" w:name="Xdbc216e578c1b9a9dc911eea91f31311438426c"/>
    <w:p>
      <w:pPr>
        <w:pStyle w:val="Heading2"/>
      </w:pPr>
      <w:r>
        <w:t xml:space="preserve">Voor de redacteur van de procedure (KOO B.V.)</w:t>
      </w:r>
    </w:p>
    <w:tbl>
      <w:tblPr>
        <w:tblStyle w:val="Table"/>
        <w:tblW w:type="pct" w:w="4917"/>
        <w:jc w:val="left"/>
        <w:tblLayout w:type="fixed"/>
        <w:tblLook w:firstRow="0" w:lastRow="0" w:firstColumn="0" w:lastColumn="0" w:noHBand="0" w:noVBand="0" w:val="0000"/>
      </w:tblPr>
      <w:tblGrid>
        <w:gridCol w:w="2376"/>
        <w:gridCol w:w="5412"/>
      </w:tblGrid>
      <w:tr>
        <w:tc>
          <w:tcPr/>
          <w:p>
            <w:pPr>
              <w:pStyle w:val="Compact"/>
              <w:jc w:val="left"/>
            </w:pPr>
            <w:r>
              <w:rPr>
                <w:b/>
                <w:bCs/>
              </w:rPr>
              <w:t xml:space="preserve">Datum</w:t>
            </w:r>
          </w:p>
        </w:tc>
        <w:tc>
          <w:tcPr/>
          <w:p>
            <w:pPr>
              <w:pStyle w:val="Compact"/>
              <w:jc w:val="left"/>
            </w:pPr>
            <w:r>
              <w:t xml:space="preserve">25 augustus 2026</w:t>
            </w:r>
          </w:p>
        </w:tc>
      </w:tr>
      <w:tr>
        <w:tc>
          <w:tcPr/>
          <w:p>
            <w:pPr>
              <w:pStyle w:val="Compact"/>
              <w:jc w:val="left"/>
            </w:pPr>
            <w:r>
              <w:rPr>
                <w:b/>
                <w:bCs/>
              </w:rPr>
              <w:t xml:space="preserve">Basis</w:t>
            </w:r>
          </w:p>
        </w:tc>
        <w:tc>
          <w:tcPr/>
          <w:p>
            <w:pPr>
              <w:pStyle w:val="Compact"/>
              <w:jc w:val="left"/>
            </w:pPr>
            <w:r>
              <w:t xml:space="preserve">Compliance Audit 003.057 v2.0 d.d. 24-08-2026</w:t>
            </w:r>
          </w:p>
        </w:tc>
      </w:tr>
      <w:tr>
        <w:tc>
          <w:tcPr/>
          <w:p>
            <w:pPr>
              <w:pStyle w:val="Compact"/>
              <w:jc w:val="left"/>
            </w:pPr>
            <w:r>
              <w:rPr>
                <w:b/>
                <w:bCs/>
              </w:rPr>
              <w:t xml:space="preserve">Doel</w:t>
            </w:r>
          </w:p>
        </w:tc>
        <w:tc>
          <w:tcPr/>
          <w:p>
            <w:pPr>
              <w:pStyle w:val="Compact"/>
              <w:jc w:val="left"/>
            </w:pPr>
            <w:r>
              <w:t xml:space="preserve">Concrete tekstaanpassingen om procedure conform NL wet- en regelgeving te maken</w:t>
            </w:r>
          </w:p>
        </w:tc>
      </w:tr>
      <w:tr>
        <w:tc>
          <w:tcPr/>
          <w:p>
            <w:pPr>
              <w:pStyle w:val="Compact"/>
              <w:jc w:val="left"/>
            </w:pPr>
            <w:r>
              <w:rPr>
                <w:b/>
                <w:bCs/>
              </w:rPr>
              <w:t xml:space="preserve">Projectcontext</w:t>
            </w:r>
          </w:p>
        </w:tc>
        <w:tc>
          <w:tcPr/>
          <w:p>
            <w:pPr>
              <w:pStyle w:val="Compact"/>
              <w:jc w:val="left"/>
            </w:pPr>
            <w:r>
              <w:t xml:space="preserve">Mercury handling bij decommissioning, offshore/onshore (Koole)</w:t>
            </w:r>
          </w:p>
        </w:tc>
      </w:tr>
      <w:tr>
        <w:tc>
          <w:tcPr/>
          <w:p>
            <w:pPr>
              <w:pStyle w:val="Compact"/>
              <w:jc w:val="left"/>
            </w:pPr>
            <w:r>
              <w:rPr>
                <w:b/>
                <w:bCs/>
              </w:rPr>
              <w:t xml:space="preserve">Taalvoorstel</w:t>
            </w:r>
          </w:p>
        </w:tc>
        <w:tc>
          <w:tcPr/>
          <w:p>
            <w:pPr>
              <w:pStyle w:val="Compact"/>
              <w:jc w:val="left"/>
            </w:pPr>
            <w:r>
              <w:t xml:space="preserve">Engels (conform documenttaal procedure)</w:t>
            </w:r>
          </w:p>
        </w:tc>
      </w:tr>
    </w:tbl>
    <w:p>
      <w:pPr>
        <w:pStyle w:val="BodyText"/>
      </w:pPr>
      <w:r>
        <w:rPr>
          <w:b/>
          <w:bCs/>
        </w:rPr>
        <w:t xml:space="preserve">Leeswijzer:</w:t>
      </w:r>
      <w:r>
        <w:t xml:space="preserve"> </w:t>
      </w:r>
      <w:r>
        <w:t xml:space="preserve">per bevinding: (1) huidige tekst, (2) eis waaraan niet voldaan, (3) voorgestelde herziene tekst — direct overneembaar. Voorstellen zijn gemarkeerd: [WET] wettelijke eis · [NORM] bindende norm/certificatieschema · [AI-03] praktijkinformatie · [BP] best practice · [VP] verificatiepunt.</w:t>
      </w:r>
    </w:p>
    <w:bookmarkEnd w:id="20"/>
    <w:bookmarkStart w:id="24" w:name="Xc198c98a1629de15e5cbda4e5aa43c76840ac10"/>
    <w:p>
      <w:pPr>
        <w:pStyle w:val="Heading2"/>
      </w:pPr>
      <w:r>
        <w:t xml:space="preserve">PRIORITEIT 1 — Wettelijk verplicht (vóór projectuitvoering herzien)</w:t>
      </w:r>
    </w:p>
    <w:bookmarkStart w:id="21" w:name="medische-surveillance-audit-r-01-wet"/>
    <w:p>
      <w:pPr>
        <w:pStyle w:val="Heading3"/>
      </w:pPr>
      <w:r>
        <w:t xml:space="preserve">1. Medische surveillance (audit R-01) [WET]</w:t>
      </w:r>
    </w:p>
    <w:p>
      <w:pPr>
        <w:pStyle w:val="FirstParagraph"/>
      </w:pPr>
      <w:r>
        <w:rPr>
          <w:b/>
          <w:bCs/>
        </w:rPr>
        <w:t xml:space="preserve">Huidige tekst §5:</w:t>
      </w:r>
      <w:r>
        <w:t xml:space="preserve"> </w:t>
      </w:r>
      <w:r>
        <w:t xml:space="preserve">geen passage over medische surveillance; de procedure bevat geen aanbodverplichting voor een arbeidsgezondheidskundig onderzoek aan personeel met (mogelijke) kwikblootstelling.</w:t>
      </w:r>
    </w:p>
    <w:p>
      <w:pPr>
        <w:pStyle w:val="BodyText"/>
      </w:pPr>
      <w:r>
        <w:rPr>
          <w:b/>
          <w:bCs/>
        </w:rPr>
        <w:t xml:space="preserve">Eis:</w:t>
      </w:r>
      <w:r>
        <w:t xml:space="preserve"> </w:t>
      </w:r>
      <w:r>
        <w:t xml:space="preserve">Arbobesluit art. 4.10a: voor stoffen met classificatie Repr. 1B (H360D) geldt een aanbodverplichting arbeidsgezondheidskundig onderzoek, uitgevoerd door de arbodienst of bedrijfsarts; biologische monitoring met biowetenschappelijke grenswaarden (BGVA) conform EU-richtlijn 2017/164; REACH-verordening (EG) nr. 1907/2006 voor mercury (EG-nr. 231-106-7).</w:t>
      </w:r>
    </w:p>
    <w:p>
      <w:pPr>
        <w:pStyle w:val="BodyText"/>
      </w:pPr>
      <w:r>
        <w:rPr>
          <w:b/>
          <w:bCs/>
        </w:rPr>
        <w:t xml:space="preserve">Voorgestelde herziene tekst (nieuwe §5.5 Health Surveillance):</w:t>
      </w:r>
      <w:r>
        <w:t xml:space="preserve"> </w:t>
      </w:r>
      <w:r>
        <w:t xml:space="preserve">&gt;</w:t>
      </w:r>
      <w:r>
        <w:t xml:space="preserve"> </w:t>
      </w:r>
      <w:r>
        <w:t xml:space="preserve">“</w:t>
      </w:r>
      <w:r>
        <w:t xml:space="preserve">All personnel with potential exposure to mercury shall be offered an occupational health examination by the occupational health service or company physician: prior to or at commencement of exposure (baseline measurement, including biological monitoring), periodically according to the occupational health service protocol, and upon cessation of exposure (final measurement). Biological monitoring shall be performed by determination of mercury in urine, with reference values in accordance with the applicable biological guidance values (BGVA, Commission Directive (EU) 2017/164); interpretation of results shall be made exclusively by the company physician. Results shall be recorded in the personal health file and linked to the personal exposure register (§6.5). The obligation to offer the examination remains with the employer (KOO).</w:t>
      </w:r>
      <w:r>
        <w:t xml:space="preserve">”</w:t>
      </w:r>
    </w:p>
    <w:bookmarkEnd w:id="21"/>
    <w:bookmarkStart w:id="22" w:name="blootstellingsregister-audit-r-02-wet"/>
    <w:p>
      <w:pPr>
        <w:pStyle w:val="Heading3"/>
      </w:pPr>
      <w:r>
        <w:t xml:space="preserve">2. Blootstellingsregister (audit R-02) [WET]</w:t>
      </w:r>
    </w:p>
    <w:p>
      <w:pPr>
        <w:pStyle w:val="FirstParagraph"/>
      </w:pPr>
      <w:r>
        <w:rPr>
          <w:b/>
          <w:bCs/>
        </w:rPr>
        <w:t xml:space="preserve">Huidige tekst §6:</w:t>
      </w:r>
      <w:r>
        <w:t xml:space="preserve"> </w:t>
      </w:r>
      <w:r>
        <w:t xml:space="preserve">persoonlijke ademhalingszone-meetresultaten worden niet gestructureerd per werknemer vastgelegd; geen lijst van blootgestelde werknemers.</w:t>
      </w:r>
    </w:p>
    <w:p>
      <w:pPr>
        <w:pStyle w:val="BodyText"/>
      </w:pPr>
      <w:r>
        <w:rPr>
          <w:b/>
          <w:bCs/>
        </w:rPr>
        <w:t xml:space="preserve">Eis:</w:t>
      </w:r>
      <w:r>
        <w:t xml:space="preserve"> </w:t>
      </w:r>
      <w:r>
        <w:t xml:space="preserve">Arbobesluit art. 4.15: verplichte lijst van werknemers die aan blootstelling aan kwik (CMR-stof, Repr. 1B) onderhevig zijn geweest, met aard, duur en mate van blootstelling; inzagerecht en recht op afschrift voor de werknemer; bewaartermijn conform wettelijk regime voor carcinogene, mutagene en reprotoxische stoffen.</w:t>
      </w:r>
    </w:p>
    <w:p>
      <w:pPr>
        <w:pStyle w:val="BodyText"/>
      </w:pPr>
      <w:r>
        <w:rPr>
          <w:b/>
          <w:bCs/>
        </w:rPr>
        <w:t xml:space="preserve">Voorgestelde herziene tekst (nieuwe §6.5 Exposure Register):</w:t>
      </w:r>
      <w:r>
        <w:t xml:space="preserve"> </w:t>
      </w:r>
      <w:r>
        <w:t xml:space="preserve">&gt;</w:t>
      </w:r>
      <w:r>
        <w:t xml:space="preserve"> </w:t>
      </w:r>
      <w:r>
        <w:t xml:space="preserve">“</w:t>
      </w:r>
      <w:r>
        <w:t xml:space="preserve">A personal exposure register shall be maintained for all personnel performing mercury-related work, recording per measurement as a minimum: employee name and personnel number; date of measurement; work activity (e.g. cutting, cleaning, tank inspection); personal breathing zone concentration in mg/m³; RPE band classification per Annex II; exposure duration in minutes or hours. The register shall constitute the list of employees exposed to mercury as required by Arbobesluit art. 4.15, including nature, duration and degree of exposure and the respiratory protective equipment applied. The register shall be retained in accordance with statutory retention requirements for carcinogenic, mutagenic and reprotoxic substances (long-term retention; exact term to be confirmed by QHSE Legal). The register shall be accessible to the employee concerned and the occupational health service, with the right of inspection and to obtain a copy.</w:t>
      </w:r>
      <w:r>
        <w:t xml:space="preserve">”</w:t>
      </w:r>
    </w:p>
    <w:bookmarkEnd w:id="22"/>
    <w:bookmarkStart w:id="23" w:name="Xa79a2c96eaad8f723de632a4b8bc56a138ea7c3"/>
    <w:p>
      <w:pPr>
        <w:pStyle w:val="Heading3"/>
      </w:pPr>
      <w:r>
        <w:t xml:space="preserve">3. Transportpassage Annex III</w:t>
      </w:r>
      <w:r>
        <w:t xml:space="preserve"> </w:t>
      </w:r>
      <w:r>
        <w:t xml:space="preserve">“</w:t>
      </w:r>
      <w:r>
        <w:t xml:space="preserve">IBC tanks (ADR)</w:t>
      </w:r>
      <w:r>
        <w:t xml:space="preserve">”</w:t>
      </w:r>
      <w:r>
        <w:t xml:space="preserve"> </w:t>
      </w:r>
      <w:r>
        <w:t xml:space="preserve">(audit R-03) [WET]</w:t>
      </w:r>
    </w:p>
    <w:p>
      <w:pPr>
        <w:pStyle w:val="FirstParagraph"/>
      </w:pPr>
      <w:r>
        <w:rPr>
          <w:b/>
          <w:bCs/>
        </w:rPr>
        <w:t xml:space="preserve">Huidige tekst Annex III, vijfde bullet:</w:t>
      </w:r>
      <w:r>
        <w:t xml:space="preserve"> </w:t>
      </w:r>
      <w:r>
        <w:t xml:space="preserve">suggereert dat vloeibaar kwik in IBC’s over de weg vervoerd kan worden.</w:t>
      </w:r>
    </w:p>
    <w:p>
      <w:pPr>
        <w:pStyle w:val="BodyText"/>
      </w:pPr>
      <w:r>
        <w:rPr>
          <w:b/>
          <w:bCs/>
        </w:rPr>
        <w:t xml:space="preserve">Eis:</w:t>
      </w:r>
      <w:r>
        <w:t xml:space="preserve"> </w:t>
      </w:r>
      <w:r>
        <w:t xml:space="preserve">ADR, deel 3, tabel A: UN 2809 mercury, klasse 8, verpakkinggroep III, classificatiecode CT1, gevaarslabels 8 en 6.1; vervoer in IBC’s, bulk en large packagings is volgens het ADR verboden; voor zeetransport geldt het IMDG met vergelijkbare beperkingen.</w:t>
      </w:r>
    </w:p>
    <w:p>
      <w:pPr>
        <w:pStyle w:val="BodyText"/>
      </w:pPr>
      <w:r>
        <w:rPr>
          <w:b/>
          <w:bCs/>
        </w:rPr>
        <w:t xml:space="preserve">Voorgestelde herziene tekst Annex III, vijfde bullet (vervangen):</w:t>
      </w:r>
      <w:r>
        <w:t xml:space="preserve"> </w:t>
      </w:r>
      <w:r>
        <w:t xml:space="preserve">&gt;</w:t>
      </w:r>
      <w:r>
        <w:t xml:space="preserve"> </w:t>
      </w:r>
      <w:r>
        <w:t xml:space="preserve">“</w:t>
      </w:r>
      <w:r>
        <w:t xml:space="preserve">Liquid mercury is classified as UN 2809, class 8, packing group III, classification code CT1, bearing hazard labels 8 and 6.1. Transport in IBC’s, bulk packagings and large packagings is prohibited under ADR; for sea transport IMDG applies with the same UN 2809 classification and packaging restrictions. Liquid mercury residues shall be transported exclusively in UN-certified steel packagings (PG III), or be removed via a certified mercury processor or collection arrangement. IBC’s may be used only for other liquids (e.g. flush or wash water) provided no free mercury is present and the contents do not fall under UN 2809.</w:t>
      </w:r>
      <w:r>
        <w:t xml:space="preserve">”</w:t>
      </w:r>
    </w:p>
    <w:bookmarkEnd w:id="23"/>
    <w:bookmarkEnd w:id="24"/>
    <w:bookmarkStart w:id="29" w:name="prioriteit-2-wettelijk-verplicht-bindend"/>
    <w:p>
      <w:pPr>
        <w:pStyle w:val="Heading2"/>
      </w:pPr>
      <w:r>
        <w:t xml:space="preserve">PRIORITEIT 2 — Wettelijk verplicht / bindend</w:t>
      </w:r>
    </w:p>
    <w:bookmarkStart w:id="25" w:name="X1d7dff3aece5786c94a92610d003bc48b793205"/>
    <w:p>
      <w:pPr>
        <w:pStyle w:val="Heading3"/>
      </w:pPr>
      <w:r>
        <w:t xml:space="preserve">4. CLP-hazardinformatie en etikettering (audit R-04) [WET]</w:t>
      </w:r>
    </w:p>
    <w:p>
      <w:pPr>
        <w:pStyle w:val="FirstParagraph"/>
      </w:pPr>
      <w:r>
        <w:rPr>
          <w:b/>
          <w:bCs/>
        </w:rPr>
        <w:t xml:space="preserve">Huidige tekst (definities-tabel):</w:t>
      </w:r>
      <w:r>
        <w:t xml:space="preserve"> </w:t>
      </w:r>
      <w:r>
        <w:t xml:space="preserve">onvolledige hazardinformatie voor mercury; etikettering wordt gedelegeerd zonder minimale inhoudseisen.</w:t>
      </w:r>
    </w:p>
    <w:p>
      <w:pPr>
        <w:pStyle w:val="BodyText"/>
      </w:pPr>
      <w:r>
        <w:rPr>
          <w:b/>
          <w:bCs/>
        </w:rPr>
        <w:t xml:space="preserve">Eis:</w:t>
      </w:r>
      <w:r>
        <w:t xml:space="preserve"> </w:t>
      </w:r>
      <w:r>
        <w:t xml:space="preserve">CLP-verordening (EG) nr. 1272/2008, Bijlage VI, indexnummer 080-001-00-0: volledige classificatie, signaalwoord, pictogrammen en H-/P-zinnen voor mercury; etiketteisen voor opslagverpakkingen conform CLP en voor transportverpakkingen conform ADR/IMDG.</w:t>
      </w:r>
    </w:p>
    <w:p>
      <w:pPr>
        <w:pStyle w:val="BodyText"/>
      </w:pPr>
      <w:r>
        <w:rPr>
          <w:b/>
          <w:bCs/>
        </w:rPr>
        <w:t xml:space="preserve">Voorgestelde herziene tekst (uitbreiding definities-tabel):</w:t>
      </w:r>
      <w:r>
        <w:t xml:space="preserve"> </w:t>
      </w:r>
      <w:r>
        <w:t xml:space="preserve">&gt;</w:t>
      </w:r>
      <w:r>
        <w:t xml:space="preserve"> </w:t>
      </w:r>
      <w:r>
        <w:t xml:space="preserve">“</w:t>
      </w:r>
      <w:r>
        <w:t xml:space="preserve">Mercury (metallic): CAS 7439-97-6; EC number 231-106-7; Index number 080-001-00-0. Classification (CLP Annex VI): Repr. 1B (H360D May damage the unborn child); STOT RE 1 (H372 Causes damage to organs through prolonged or repeated exposure); Aquatic Acute 1 (H400 Very toxic to aquatic life); Aquatic Chronic 1 (H410 Very toxic to aquatic life with long lasting effects). Signal word: Danger. Pictograms: GHS08, GHS09. H-phrases: H360D, H372, H400, H410. P-phrases: per SDS (available via Logistics). Labelling of storage packagings shall comply with the CLP Regulation; labelling of transport packagings shall comply with ADR/IMDG. Labelling shall not be delegated without minimum content requirements.</w:t>
      </w:r>
      <w:r>
        <w:t xml:space="preserve">”</w:t>
      </w:r>
    </w:p>
    <w:bookmarkEnd w:id="25"/>
    <w:bookmarkStart w:id="26" w:name="fit-test-rpe-audit-r-05-norm"/>
    <w:p>
      <w:pPr>
        <w:pStyle w:val="Heading3"/>
      </w:pPr>
      <w:r>
        <w:t xml:space="preserve">5. Fit-test RPE (audit R-05) [NORM]</w:t>
      </w:r>
    </w:p>
    <w:p>
      <w:pPr>
        <w:pStyle w:val="FirstParagraph"/>
      </w:pPr>
      <w:r>
        <w:rPr>
          <w:b/>
          <w:bCs/>
        </w:rPr>
        <w:t xml:space="preserve">Huidige tekst Annex II:</w:t>
      </w:r>
      <w:r>
        <w:t xml:space="preserve"> </w:t>
      </w:r>
      <w:r>
        <w:t xml:space="preserve">geen fit-test vereist voor tight-fitting RPE.</w:t>
      </w:r>
    </w:p>
    <w:p>
      <w:pPr>
        <w:pStyle w:val="BodyText"/>
      </w:pPr>
      <w:r>
        <w:rPr>
          <w:b/>
          <w:bCs/>
        </w:rPr>
        <w:t xml:space="preserve">Eis:</w:t>
      </w:r>
      <w:r>
        <w:t xml:space="preserve"> </w:t>
      </w:r>
      <w:r>
        <w:t xml:space="preserve">Normpraktijk ademhalingsbescherming (EN 529:2005; fit-testpraktijk bij gebruik van EN 136/EN 140/EN 149 maskers): gebruikers van tight-fitting RPE dienen een geslaagde fit-test aan te tonen.</w:t>
      </w:r>
    </w:p>
    <w:p>
      <w:pPr>
        <w:pStyle w:val="BodyText"/>
      </w:pPr>
      <w:r>
        <w:rPr>
          <w:b/>
          <w:bCs/>
        </w:rPr>
        <w:t xml:space="preserve">Voorgestelde herziene tekst Annex II (aanvulling):</w:t>
      </w:r>
      <w:r>
        <w:t xml:space="preserve"> </w:t>
      </w:r>
      <w:r>
        <w:t xml:space="preserve">&gt;</w:t>
      </w:r>
      <w:r>
        <w:t xml:space="preserve"> </w:t>
      </w:r>
      <w:r>
        <w:t xml:space="preserve">“</w:t>
      </w:r>
      <w:r>
        <w:t xml:space="preserve">Users of tight-fitting RPE (half- and full-face masks) shall have passed a fit test in accordance with applicable standard practice. The fit test shall be repeated upon change of mask type, model or size, and periodically. Fit test records shall be maintained and available for inspection. An Ex-rated (explosion-proof) measurement instrument shall be available to enable measurements in ATEX-designated areas (audit R-11).</w:t>
      </w:r>
      <w:r>
        <w:t xml:space="preserve">”</w:t>
      </w:r>
    </w:p>
    <w:bookmarkEnd w:id="26"/>
    <w:bookmarkStart w:id="27" w:name="rietra-koppeling-audit-r-06-wet"/>
    <w:p>
      <w:pPr>
        <w:pStyle w:val="Heading3"/>
      </w:pPr>
      <w:r>
        <w:t xml:space="preserve">6. RI&amp;E/TRA-koppeling (audit R-06) [WET]</w:t>
      </w:r>
    </w:p>
    <w:p>
      <w:pPr>
        <w:pStyle w:val="FirstParagraph"/>
      </w:pPr>
      <w:r>
        <w:rPr>
          <w:b/>
          <w:bCs/>
        </w:rPr>
        <w:t xml:space="preserve">Huidige tekst §1/§5:</w:t>
      </w:r>
      <w:r>
        <w:t xml:space="preserve"> </w:t>
      </w:r>
      <w:r>
        <w:t xml:space="preserve">geen expliciete koppeling tussen meetstrategie/beheersmaatregelen en de RI&amp;E-afsplitsing gevaarlijke stoffen en de project-TRA.</w:t>
      </w:r>
    </w:p>
    <w:p>
      <w:pPr>
        <w:pStyle w:val="BodyText"/>
      </w:pPr>
      <w:r>
        <w:rPr>
          <w:b/>
          <w:bCs/>
        </w:rPr>
        <w:t xml:space="preserve">Eis:</w:t>
      </w:r>
      <w:r>
        <w:t xml:space="preserve"> </w:t>
      </w:r>
      <w:r>
        <w:t xml:space="preserve">Arbowet art. 5: RI&amp;E verplicht als basis voor beheersmaatregelen; RI&amp;E-afsplitsing voor gevaarlijke stoffen; taakrisicoanalyse (TRA) per activiteit.</w:t>
      </w:r>
    </w:p>
    <w:p>
      <w:pPr>
        <w:pStyle w:val="BodyText"/>
      </w:pPr>
      <w:r>
        <w:rPr>
          <w:b/>
          <w:bCs/>
        </w:rPr>
        <w:t xml:space="preserve">Voorgestelde herziene tekst (aanvulling §1 of §5):</w:t>
      </w:r>
      <w:r>
        <w:t xml:space="preserve"> </w:t>
      </w:r>
      <w:r>
        <w:t xml:space="preserve">&gt;</w:t>
      </w:r>
      <w:r>
        <w:t xml:space="preserve"> </w:t>
      </w:r>
      <w:r>
        <w:t xml:space="preserve">“</w:t>
      </w:r>
      <w:r>
        <w:t xml:space="preserve">The measurement strategy and control measures shall be derived from the project Task Risk Assessment (TRA) and the hazardous substances subsection of the Risk Inventory and Evaluation (RI&amp;E). The TRA shall include as a minimum: the mercury sources, the exposure routes (inhalation, dermal), and the exposure duration per activity.</w:t>
      </w:r>
      <w:r>
        <w:t xml:space="preserve">”</w:t>
      </w:r>
    </w:p>
    <w:bookmarkEnd w:id="27"/>
    <w:bookmarkStart w:id="28" w:name="X8715aef6aa66601b4583b96ed88e0c50b6f4475"/>
    <w:p>
      <w:pPr>
        <w:pStyle w:val="Heading3"/>
      </w:pPr>
      <w:r>
        <w:t xml:space="preserve">7. Mijnbouwwet en referenties (audit R-07, R-12) [WET]</w:t>
      </w:r>
    </w:p>
    <w:p>
      <w:pPr>
        <w:pStyle w:val="FirstParagraph"/>
      </w:pPr>
      <w:r>
        <w:rPr>
          <w:b/>
          <w:bCs/>
        </w:rPr>
        <w:t xml:space="preserve">Huidige tekst (referentielijst):</w:t>
      </w:r>
      <w:r>
        <w:t xml:space="preserve"> </w:t>
      </w:r>
      <w:r>
        <w:t xml:space="preserve">geen vermelding van mijnbouwwetgeving voor offshore werkzaamheden op het Nederlandse continentale plat.</w:t>
      </w:r>
    </w:p>
    <w:p>
      <w:pPr>
        <w:pStyle w:val="BodyText"/>
      </w:pPr>
      <w:r>
        <w:rPr>
          <w:b/>
          <w:bCs/>
        </w:rPr>
        <w:t xml:space="preserve">Eis:</w:t>
      </w:r>
      <w:r>
        <w:t xml:space="preserve"> </w:t>
      </w:r>
      <w:r>
        <w:t xml:space="preserve">Mijnbouwwet: arbeidsomstandigheden bij mijnbouwinstallaties op het Nederlandse continentale plat, handhaving door Staatstoezicht op de Mijnen (SodM); NOGEPA-richtlijnen als offshore branchenorm.</w:t>
      </w:r>
    </w:p>
    <w:p>
      <w:pPr>
        <w:pStyle w:val="BodyText"/>
      </w:pPr>
      <w:r>
        <w:rPr>
          <w:b/>
          <w:bCs/>
        </w:rPr>
        <w:t xml:space="preserve">Voorgestelde herziene tekst (uitbreiding referentielijst):</w:t>
      </w:r>
      <w:r>
        <w:t xml:space="preserve"> </w:t>
      </w:r>
      <w:r>
        <w:t xml:space="preserve">&gt;</w:t>
      </w:r>
      <w:r>
        <w:t xml:space="preserve"> </w:t>
      </w:r>
      <w:r>
        <w:t xml:space="preserve">“</w:t>
      </w:r>
      <w:r>
        <w:t xml:space="preserve">- Mijnbouwwet — working conditions at mining installations on the Dutch continental shelf; enforcement by the State Supervision of Mines (Staatstoezicht op de Mijnen, SodM).</w:t>
      </w:r>
      <w:r>
        <w:t xml:space="preserve"> </w:t>
      </w:r>
      <w:r>
        <w:t xml:space="preserve">- NOGEPA guidelines for the offshore industry (Health, Safety and Environment guidelines).</w:t>
      </w:r>
      <w:r>
        <w:t xml:space="preserve">”</w:t>
      </w:r>
    </w:p>
    <w:bookmarkEnd w:id="28"/>
    <w:bookmarkEnd w:id="29"/>
    <w:bookmarkStart w:id="33" w:name="X61a9c8c40707fa6307328a23225147d53fbaf72"/>
    <w:p>
      <w:pPr>
        <w:pStyle w:val="Heading2"/>
      </w:pPr>
      <w:r>
        <w:t xml:space="preserve">PRIORITEIT 3 — Verifieerbaarheid en robuustheid</w:t>
      </w:r>
    </w:p>
    <w:bookmarkStart w:id="30" w:name="X37aa952471210d4ee4bedff7fe96b5a25a06543"/>
    <w:p>
      <w:pPr>
        <w:pStyle w:val="Heading3"/>
      </w:pPr>
      <w:r>
        <w:t xml:space="preserve">8. Training inhoudelijk verankeren (audit R-08) [WET]</w:t>
      </w:r>
    </w:p>
    <w:p>
      <w:pPr>
        <w:pStyle w:val="FirstParagraph"/>
      </w:pPr>
      <w:r>
        <w:rPr>
          <w:b/>
          <w:bCs/>
        </w:rPr>
        <w:t xml:space="preserve">Huidige tekst (RASCI-matrix, trainingsrij):</w:t>
      </w:r>
      <w:r>
        <w:t xml:space="preserve"> </w:t>
      </w:r>
      <w:r>
        <w:t xml:space="preserve">training genoemd maar niet inhoudelijk uitgewerkt voor kwikspecifieke risico’s; geen herhalingsfrequentie en geen vaste onderwerpen.</w:t>
      </w:r>
    </w:p>
    <w:p>
      <w:pPr>
        <w:pStyle w:val="BodyText"/>
      </w:pPr>
      <w:r>
        <w:rPr>
          <w:b/>
          <w:bCs/>
        </w:rPr>
        <w:t xml:space="preserve">Eis:</w:t>
      </w:r>
      <w:r>
        <w:t xml:space="preserve"> </w:t>
      </w:r>
      <w:r>
        <w:t xml:space="preserve">Arbobesluit art. 4.8: instructie en toezicht bij werk met gevaarlijke stoffen, afgestemd op de aard van de stof en de risico’s daarvan.</w:t>
      </w:r>
    </w:p>
    <w:p>
      <w:pPr>
        <w:pStyle w:val="BodyText"/>
      </w:pPr>
      <w:r>
        <w:rPr>
          <w:b/>
          <w:bCs/>
        </w:rPr>
        <w:t xml:space="preserve">Voorgestelde herziene tekst (uitwerking trainingsrij):</w:t>
      </w:r>
      <w:r>
        <w:t xml:space="preserve"> </w:t>
      </w:r>
      <w:r>
        <w:t xml:space="preserve">&gt;</w:t>
      </w:r>
      <w:r>
        <w:t xml:space="preserve"> </w:t>
      </w:r>
      <w:r>
        <w:t xml:space="preserve">“</w:t>
      </w:r>
      <w:r>
        <w:t xml:space="preserve">Training shall be completed prior to first assignment on mercury work and repeated at least annually. Fixed topics: symptoms of mercury exposure (respiratory complaints, headache, gum complaints, metallic taste), personal hygiene, PPE use, measurement execution, and spill response. Completion shall be recorded as competence evidence in the personal file.</w:t>
      </w:r>
      <w:r>
        <w:t xml:space="preserve">”</w:t>
      </w:r>
    </w:p>
    <w:bookmarkEnd w:id="30"/>
    <w:bookmarkStart w:id="31" w:name="Xd01e048fae1b7705d1711c67ef44f4b0643d817"/>
    <w:p>
      <w:pPr>
        <w:pStyle w:val="Heading3"/>
      </w:pPr>
      <w:r>
        <w:t xml:space="preserve">9. Calamiteiten en EMVI uitbreiden (audit R-09) [WET]</w:t>
      </w:r>
    </w:p>
    <w:p>
      <w:pPr>
        <w:pStyle w:val="FirstParagraph"/>
      </w:pPr>
      <w:r>
        <w:rPr>
          <w:b/>
          <w:bCs/>
        </w:rPr>
        <w:t xml:space="preserve">Huidige tekst §8:</w:t>
      </w:r>
      <w:r>
        <w:t xml:space="preserve"> </w:t>
      </w:r>
      <w:r>
        <w:t xml:space="preserve">beperkte calamiteitenprocedure; geen acute symptoomherkenning, medische beoordeling en meldtermijn bij kwikblootstelling.</w:t>
      </w:r>
    </w:p>
    <w:p>
      <w:pPr>
        <w:pStyle w:val="BodyText"/>
      </w:pPr>
      <w:r>
        <w:rPr>
          <w:b/>
          <w:bCs/>
        </w:rPr>
        <w:t xml:space="preserve">Eis:</w:t>
      </w:r>
      <w:r>
        <w:t xml:space="preserve"> </w:t>
      </w:r>
      <w:r>
        <w:t xml:space="preserve">Arbowet art. 3 e.v. en Arbobesluit afdeling 2-16 (noodprocedures en eerste hulp): procedure voor spoedeisende hulp bij blootstelling aan gevaarlijke stoffen; koppeling aan incidentonderzoek.</w:t>
      </w:r>
    </w:p>
    <w:p>
      <w:pPr>
        <w:pStyle w:val="BodyText"/>
      </w:pPr>
      <w:r>
        <w:rPr>
          <w:b/>
          <w:bCs/>
        </w:rPr>
        <w:t xml:space="preserve">Voorgestelde herziene tekst (nieuwe §8.3 Emergency Response — Mercury Exposure):</w:t>
      </w:r>
      <w:r>
        <w:t xml:space="preserve"> </w:t>
      </w:r>
      <w:r>
        <w:t xml:space="preserve">&gt;</w:t>
      </w:r>
      <w:r>
        <w:t xml:space="preserve"> </w:t>
      </w:r>
      <w:r>
        <w:t xml:space="preserve">“</w:t>
      </w:r>
      <w:r>
        <w:t xml:space="preserve">Acute symptom recognition shall address respiratory complaints, headache, gum complaints and metallic taste. First aid: move the affected person to fresh air; medical assessment is mandatory; contaminated clothing shall be removed and affected skin washed. An alarm line to QHSE and the company physician shall be maintained. Every exposure incident shall be reported to QHSE within 30 minutes and shall be linked to the incident investigation procedure. Spill response equipment shall be readily available and maintained.</w:t>
      </w:r>
      <w:r>
        <w:t xml:space="preserve">”</w:t>
      </w:r>
    </w:p>
    <w:bookmarkEnd w:id="31"/>
    <w:bookmarkStart w:id="32" w:name="afvalstroomdocumentatie-audit-r-10-wet"/>
    <w:p>
      <w:pPr>
        <w:pStyle w:val="Heading3"/>
      </w:pPr>
      <w:r>
        <w:t xml:space="preserve">10. Afvalstroomdocumentatie (audit R-10) [WET]</w:t>
      </w:r>
    </w:p>
    <w:p>
      <w:pPr>
        <w:pStyle w:val="FirstParagraph"/>
      </w:pPr>
      <w:r>
        <w:rPr>
          <w:b/>
          <w:bCs/>
        </w:rPr>
        <w:t xml:space="preserve">Huidige tekst §8.2:</w:t>
      </w:r>
      <w:r>
        <w:t xml:space="preserve"> </w:t>
      </w:r>
      <w:r>
        <w:t xml:space="preserve">afvalstroomdocumentatie onvoldoende gespecificeerd; geen Eural-codering en begeleidingsdocumentatie per zending vastgelegd.</w:t>
      </w:r>
    </w:p>
    <w:p>
      <w:pPr>
        <w:pStyle w:val="BodyText"/>
      </w:pPr>
      <w:r>
        <w:rPr>
          <w:b/>
          <w:bCs/>
        </w:rPr>
        <w:t xml:space="preserve">Eis:</w:t>
      </w:r>
      <w:r>
        <w:t xml:space="preserve"> </w:t>
      </w:r>
      <w:r>
        <w:t xml:space="preserve">Europese afvalstoffenlijst (Eural, Besluit beheer afvalstoffen): codering 06 04 20* (kwikhoudende anorganische afvalstoffen); begeleidings- en vervoersdocumentatie; afvoer uitsluitend via erkende verwerkers; tussenopslag conform PGS-15.</w:t>
      </w:r>
    </w:p>
    <w:p>
      <w:pPr>
        <w:pStyle w:val="BodyText"/>
      </w:pPr>
      <w:r>
        <w:rPr>
          <w:b/>
          <w:bCs/>
        </w:rPr>
        <w:t xml:space="preserve">Voorgestelde herziene tekst §8.2 (uitbreiding):</w:t>
      </w:r>
      <w:r>
        <w:t xml:space="preserve"> </w:t>
      </w:r>
      <w:r>
        <w:t xml:space="preserve">&gt; “Disposal shall take place exclusively via a certified and licensed waste processor. Each shipment shall be accompanied by consignment and waste stream documentation stating the Eural coding (e.g. 06 04 20*, mercury-containing inorganic wastes), waste description, quantity, origin and destination. A copy shall be retained in the project file. Intermediate storage shall be in a locked area or sealed container inaccessible to unauthorised persons, in accordance with PGS-15 requirements for hazardous substances.”</w:t>
      </w:r>
    </w:p>
    <w:bookmarkEnd w:id="32"/>
    <w:bookmarkEnd w:id="33"/>
    <w:bookmarkStart w:id="37" w:name="prioriteit-4-aanvullend-four-eyes-review"/>
    <w:p>
      <w:pPr>
        <w:pStyle w:val="Heading2"/>
      </w:pPr>
      <w:r>
        <w:t xml:space="preserve">PRIORITEIT 4 — Aanvullend (four-eyes review)</w:t>
      </w:r>
    </w:p>
    <w:bookmarkStart w:id="34" w:name="X69abbb93d5c364a97c4026aaf6e27b437ef81fe"/>
    <w:p>
      <w:pPr>
        <w:pStyle w:val="Heading3"/>
      </w:pPr>
      <w:r>
        <w:t xml:space="preserve">11. Interne tegenstrijdigheid</w:t>
      </w:r>
      <w:r>
        <w:t xml:space="preserve"> </w:t>
      </w:r>
      <w:r>
        <w:t xml:space="preserve">“</w:t>
      </w:r>
      <w:r>
        <w:t xml:space="preserve">mercury-free</w:t>
      </w:r>
      <w:r>
        <w:t xml:space="preserve">”</w:t>
      </w:r>
      <w:r>
        <w:t xml:space="preserve"> </w:t>
      </w:r>
      <w:r>
        <w:t xml:space="preserve">(audit G-01) [BP]</w:t>
      </w:r>
    </w:p>
    <w:p>
      <w:pPr>
        <w:pStyle w:val="FirstParagraph"/>
      </w:pPr>
      <w:r>
        <w:rPr>
          <w:b/>
          <w:bCs/>
        </w:rPr>
        <w:t xml:space="preserve">Huidige tekst §8.1.1:</w:t>
      </w:r>
      <w:r>
        <w:t xml:space="preserve"> </w:t>
      </w:r>
      <w:r>
        <w:t xml:space="preserve">&gt;</w:t>
      </w:r>
      <w:r>
        <w:t xml:space="preserve"> </w:t>
      </w:r>
      <w:r>
        <w:t xml:space="preserve">“</w:t>
      </w:r>
      <w:r>
        <w:t xml:space="preserve">may be considered mercury-free</w:t>
      </w:r>
      <w:r>
        <w:t xml:space="preserve">”</w:t>
      </w:r>
      <w:r>
        <w:t xml:space="preserve"> </w:t>
      </w:r>
      <w:r>
        <w:t xml:space="preserve">— staat in tegenspraak met §4 (</w:t>
      </w:r>
      <w:r>
        <w:t xml:space="preserve">“</w:t>
      </w:r>
      <w:r>
        <w:t xml:space="preserve">air monitoring alone does not confirm mercury-free</w:t>
      </w:r>
      <w:r>
        <w:t xml:space="preserve">”</w:t>
      </w:r>
      <w:r>
        <w:t xml:space="preserve">) en §8.1.5 (herbesmettingsrisico).</w:t>
      </w:r>
    </w:p>
    <w:p>
      <w:pPr>
        <w:pStyle w:val="BodyText"/>
      </w:pPr>
      <w:r>
        <w:rPr>
          <w:b/>
          <w:bCs/>
        </w:rPr>
        <w:t xml:space="preserve">Eis:</w:t>
      </w:r>
      <w:r>
        <w:t xml:space="preserve"> </w:t>
      </w:r>
      <w:r>
        <w:t xml:space="preserve">Interne consistentie van de procedure: §4 en §8.1.5 stellen dat luchtmetingen alleen geen kwikvrijheid aantonen; de bevestiging van kwikvrijheid vereist volledige decontaminatie en laboratoriumanalyse.</w:t>
      </w:r>
    </w:p>
    <w:p>
      <w:pPr>
        <w:pStyle w:val="BodyText"/>
      </w:pPr>
      <w:r>
        <w:rPr>
          <w:b/>
          <w:bCs/>
        </w:rPr>
        <w:t xml:space="preserve">Voorgestelde herziene tekst §8.1.1 (vervangen):</w:t>
      </w:r>
      <w:r>
        <w:t xml:space="preserve"> </w:t>
      </w:r>
      <w:r>
        <w:t xml:space="preserve">&gt;</w:t>
      </w:r>
      <w:r>
        <w:t xml:space="preserve"> </w:t>
      </w:r>
      <w:r>
        <w:t xml:space="preserve">“</w:t>
      </w:r>
      <w:r>
        <w:t xml:space="preserve">Material may be considered mercury-free only after full decontamination and confirmation by a qualified laboratory by means of analytical testing. Air monitoring alone does not confirm mercury-free status. The risk of recontamination shall be considered and addressed in the decontamination procedure (§8.1.5).</w:t>
      </w:r>
      <w:r>
        <w:t xml:space="preserve">”</w:t>
      </w:r>
    </w:p>
    <w:bookmarkEnd w:id="34"/>
    <w:bookmarkStart w:id="35" w:name="Xd1de9b66536964719da7694d30648b6c1808ff3"/>
    <w:p>
      <w:pPr>
        <w:pStyle w:val="Heading3"/>
      </w:pPr>
      <w:r>
        <w:t xml:space="preserve">12. Zwangerschaps- en reproductiebeleid (audit G-02) [WET]</w:t>
      </w:r>
    </w:p>
    <w:p>
      <w:pPr>
        <w:pStyle w:val="FirstParagraph"/>
      </w:pPr>
      <w:r>
        <w:rPr>
          <w:b/>
          <w:bCs/>
        </w:rPr>
        <w:t xml:space="preserve">Huidige tekst §5:</w:t>
      </w:r>
      <w:r>
        <w:t xml:space="preserve"> </w:t>
      </w:r>
      <w:r>
        <w:t xml:space="preserve">geen zwangerschaps- en reproductiebeleid ondanks de classificatie Repr. 1B (H360D).</w:t>
      </w:r>
    </w:p>
    <w:p>
      <w:pPr>
        <w:pStyle w:val="BodyText"/>
      </w:pPr>
      <w:r>
        <w:rPr>
          <w:b/>
          <w:bCs/>
        </w:rPr>
        <w:t xml:space="preserve">Eis:</w:t>
      </w:r>
      <w:r>
        <w:t xml:space="preserve"> </w:t>
      </w:r>
      <w:r>
        <w:t xml:space="preserve">Arbobesluit art. 2.35: risicogroepenbeoordeling verplicht zodra blootstelling aan reprotoxische stoffen niet is uitgesloten; aanpassing arbeidsomstandigheden of herpositionering van zwangere en borstvoeding gevende werknemers; raadpleging bedrijfsarts.</w:t>
      </w:r>
    </w:p>
    <w:p>
      <w:pPr>
        <w:pStyle w:val="BodyText"/>
      </w:pPr>
      <w:r>
        <w:rPr>
          <w:b/>
          <w:bCs/>
        </w:rPr>
        <w:t xml:space="preserve">Voorgestelde herziene tekst (nieuwe §5.6 Pregnancy and Reproductive Health):</w:t>
      </w:r>
      <w:r>
        <w:t xml:space="preserve"> </w:t>
      </w:r>
      <w:r>
        <w:t xml:space="preserve">&gt;</w:t>
      </w:r>
      <w:r>
        <w:t xml:space="preserve"> </w:t>
      </w:r>
      <w:r>
        <w:t xml:space="preserve">“</w:t>
      </w:r>
      <w:r>
        <w:t xml:space="preserve">Pregnant employees and employees who are breastfeeding shall not be assigned to mercury work zones; alternative tasks shall be offered. Consultation with the company physician is mandatory prior to repositioning. This policy follows from the classification of mercury as Repr. 1B (H360D) and the risk group assessment requirement of Arbobesluit art. 2.35 where exposure to reprotoxic substances cannot be excluded. Employees planning a pregnancy shall be informed of the reproductive risks and offered consultation with the occupational health service.</w:t>
      </w:r>
      <w:r>
        <w:t xml:space="preserve">”</w:t>
      </w:r>
    </w:p>
    <w:bookmarkEnd w:id="35"/>
    <w:bookmarkStart w:id="36" w:name="monstervervoer-audit-g-03-wet"/>
    <w:p>
      <w:pPr>
        <w:pStyle w:val="Heading3"/>
      </w:pPr>
      <w:r>
        <w:t xml:space="preserve">13. Monstervervoer (audit G-03) [WET]</w:t>
      </w:r>
    </w:p>
    <w:p>
      <w:pPr>
        <w:pStyle w:val="FirstParagraph"/>
      </w:pPr>
      <w:r>
        <w:rPr>
          <w:b/>
          <w:bCs/>
        </w:rPr>
        <w:t xml:space="preserve">Huidige tekst §6:</w:t>
      </w:r>
      <w:r>
        <w:t xml:space="preserve"> </w:t>
      </w:r>
      <w:r>
        <w:t xml:space="preserve">het vervoer van kwikhoudende monsters (bijv. laboratoriumzendingen naar SGS/NRG) is niet geregeld.</w:t>
      </w:r>
    </w:p>
    <w:p>
      <w:pPr>
        <w:pStyle w:val="BodyText"/>
      </w:pPr>
      <w:r>
        <w:rPr>
          <w:b/>
          <w:bCs/>
        </w:rPr>
        <w:t xml:space="preserve">Eis:</w:t>
      </w:r>
      <w:r>
        <w:t xml:space="preserve"> </w:t>
      </w:r>
      <w:r>
        <w:t xml:space="preserve">ADR/IMDG: vervoer van gevaarlijke stoffen (ook in monsterformaat) uitsluitend in UN-gecertificeerde verpakkingen met volledige transportdocumentatie.</w:t>
      </w:r>
    </w:p>
    <w:p>
      <w:pPr>
        <w:pStyle w:val="BodyText"/>
      </w:pPr>
      <w:r>
        <w:rPr>
          <w:b/>
          <w:bCs/>
        </w:rPr>
        <w:t xml:space="preserve">Voorgestelde herziene tekst (nieuwe §6.6 Sample Transport):</w:t>
      </w:r>
      <w:r>
        <w:t xml:space="preserve"> </w:t>
      </w:r>
      <w:r>
        <w:t xml:space="preserve">&gt;</w:t>
      </w:r>
      <w:r>
        <w:t xml:space="preserve"> </w:t>
      </w:r>
      <w:r>
        <w:t xml:space="preserve">“</w:t>
      </w:r>
      <w:r>
        <w:t xml:space="preserve">Shipment of mercury-containing samples (e.g. laboratory shipments to SGS/NRG) shall take place exclusively in UN-certified packagings conform ADR/IMDG, with complete transport documentation: UN number, class, packing group, proper shipping name and hazard labelling. Chain of custody documentation shall be maintained, and emergency response information shall accompany each shipment.</w:t>
      </w:r>
      <w:r>
        <w:t xml:space="preserve">”</w:t>
      </w:r>
    </w:p>
    <w:bookmarkEnd w:id="36"/>
    <w:bookmarkEnd w:id="37"/>
    <w:bookmarkStart w:id="38" w:name="groene-bevindingen-geen-wijziging"/>
    <w:p>
      <w:pPr>
        <w:pStyle w:val="Heading2"/>
      </w:pPr>
      <w:r>
        <w:t xml:space="preserve">GROENE BEVINDINGEN — geen wijziging</w:t>
      </w:r>
    </w:p>
    <w:p>
      <w:pPr>
        <w:pStyle w:val="FirstParagraph"/>
      </w:pPr>
      <w:r>
        <w:t xml:space="preserve">Grenswaarde 0,02 mg/m³ zonder STEL (conform Arboregeling/SER-grenswaarden en BGVA), meetfrequenties inclusief hermeet-triggers, RPE-bandindeling in Annex II (filterduur twee werkdagen, rotatieschema’s), beheersmaatregelenhiërarchie (eliminatie, substitutie, technische en organisatorische maatregelen, PBM), hygiëneprotocol en herbesmettingsbewustzijn, Eural 3%-drempel voor afvalstromenclassificatie, verpakkingsstandaard (blindflensen, pondliner-skip), LSA/Mercury/Benzene Statement Card en stop-work autoriteit zijn conform het toetsingskader — behouden.</w:t>
      </w:r>
    </w:p>
    <w:bookmarkEnd w:id="38"/>
    <w:bookmarkStart w:id="39" w:name="beperkingen-verificatiepunten"/>
    <w:p>
      <w:pPr>
        <w:pStyle w:val="Heading2"/>
      </w:pPr>
      <w:r>
        <w:t xml:space="preserve">BEPERKINGEN &amp; VERIFICATIEPUNTEN</w:t>
      </w:r>
    </w:p>
    <w:p>
      <w:pPr>
        <w:pStyle w:val="Compact"/>
        <w:numPr>
          <w:ilvl w:val="0"/>
          <w:numId w:val="1001"/>
        </w:numPr>
      </w:pPr>
      <w:r>
        <w:t xml:space="preserve">Dit voorstel is gebaseerd op documentanalyse; uitvoering, kalibratiecertificaten, meetresultaten en locatiecondities zijn niet beoordeeld — vóór projectaanvang verifiëren.</w:t>
      </w:r>
    </w:p>
    <w:p>
      <w:pPr>
        <w:pStyle w:val="Compact"/>
        <w:numPr>
          <w:ilvl w:val="0"/>
          <w:numId w:val="1001"/>
        </w:numPr>
      </w:pPr>
      <w:r>
        <w:t xml:space="preserve">Arbobesluit art. 4.10a/4.15, BGVA (EU-richtlijn 2017/164), CLP, ADR/IMDG en PGS-15 zijn als kennisbankbronnen gebruikt — bij formele herziening een actualiteitscheck 2026 aanbevolen.</w:t>
      </w:r>
    </w:p>
    <w:p>
      <w:pPr>
        <w:pStyle w:val="Compact"/>
        <w:numPr>
          <w:ilvl w:val="0"/>
          <w:numId w:val="1001"/>
        </w:numPr>
      </w:pPr>
      <w:r>
        <w:t xml:space="preserve">Een ontbrekende procedurepassage is geen bewezen overtreding; uitvoerende projectdocumentatie kan elementen dekken.</w:t>
      </w:r>
    </w:p>
    <w:p>
      <w:pPr>
        <w:pStyle w:val="Compact"/>
        <w:numPr>
          <w:ilvl w:val="0"/>
          <w:numId w:val="1001"/>
        </w:numPr>
      </w:pPr>
      <w:r>
        <w:t xml:space="preserve">IBC-transport (R-03): interne check bij Logistics Den Helder wat er feitelijk wordt vervoerd; conclusie verwerken in de procedure.</w:t>
      </w:r>
    </w:p>
    <w:p>
      <w:pPr>
        <w:pStyle w:val="Compact"/>
        <w:numPr>
          <w:ilvl w:val="0"/>
          <w:numId w:val="1001"/>
        </w:numPr>
      </w:pPr>
      <w:r>
        <w:t xml:space="preserve">Walafhandeling definitieve opslag: partij-afhankelijk; per project vastleggen.</w:t>
      </w:r>
    </w:p>
    <w:p>
      <w:pPr>
        <w:pStyle w:val="Compact"/>
        <w:numPr>
          <w:ilvl w:val="0"/>
          <w:numId w:val="1001"/>
        </w:numPr>
      </w:pPr>
      <w:r>
        <w:t xml:space="preserve">Kalibratie en onderhoud Jerome J405 en Dräger: aantoonbaar maken middels kalibratiecertificaten.</w:t>
      </w:r>
    </w:p>
    <w:p>
      <w:pPr>
        <w:pStyle w:val="Compact"/>
        <w:numPr>
          <w:ilvl w:val="0"/>
          <w:numId w:val="1001"/>
        </w:numPr>
      </w:pPr>
      <w:r>
        <w:t xml:space="preserve">Accreditatie laboratoria (SGS/NRG): ISO 17025-verificatie opnemen in de leveranciersbeoordeling.</w:t>
      </w:r>
    </w:p>
    <w:p>
      <w:pPr>
        <w:pStyle w:val="Compact"/>
        <w:numPr>
          <w:ilvl w:val="0"/>
          <w:numId w:val="1001"/>
        </w:numPr>
      </w:pPr>
      <w:r>
        <w:t xml:space="preserve">PGS-15 toepasbaarheid voor tussenopslag van kwikhoudende verpakkingen: verifiëren per locatie in de project-TRA.</w:t>
      </w:r>
    </w:p>
    <w:bookmarkEnd w:id="39"/>
    <w:bookmarkStart w:id="40" w:name="tier-verify-status"/>
    <w:p>
      <w:pPr>
        <w:pStyle w:val="Heading2"/>
      </w:pPr>
      <w:r>
        <w:t xml:space="preserve">TIER-VERIFY STATUS</w:t>
      </w:r>
    </w:p>
    <w:p>
      <w:pPr>
        <w:pStyle w:val="Compact"/>
        <w:numPr>
          <w:ilvl w:val="0"/>
          <w:numId w:val="1002"/>
        </w:numPr>
      </w:pPr>
      <w:r>
        <w:t xml:space="preserve">Tier 1 (procedure MSD 003.057 Rev 1 + annexen, volledig gelezen): ✅</w:t>
      </w:r>
    </w:p>
    <w:p>
      <w:pPr>
        <w:pStyle w:val="Compact"/>
        <w:numPr>
          <w:ilvl w:val="0"/>
          <w:numId w:val="1002"/>
        </w:numPr>
      </w:pPr>
      <w:r>
        <w:t xml:space="preserve">Tier 2 (Arbobesluit art. 4.10a/4.15/2.35, Arbowet, CLP Bijlage VI, ADR/IMDG, Eural/Bbl, Mijnbouwwet): ✅</w:t>
      </w:r>
    </w:p>
    <w:p>
      <w:pPr>
        <w:pStyle w:val="Compact"/>
        <w:numPr>
          <w:ilvl w:val="0"/>
          <w:numId w:val="1002"/>
        </w:numPr>
      </w:pPr>
      <w:r>
        <w:t xml:space="preserve">Tier 3 (BGVA-biologische monitoring, PGS-15, NOGEPA): ✅, actualiteitscheck 2026 als verificatiepunt</w:t>
      </w:r>
    </w:p>
    <w:p>
      <w:pPr>
        <w:pStyle w:val="Compact"/>
        <w:numPr>
          <w:ilvl w:val="0"/>
          <w:numId w:val="1002"/>
        </w:numPr>
      </w:pPr>
      <w:r>
        <w:t xml:space="preserve">Completeness: ✅ — alle R- en G-bevindingen voorzien van herziene tekst; groene elementen conform</w:t>
      </w:r>
    </w:p>
    <w:p>
      <w:pPr>
        <w:pStyle w:val="Compact"/>
        <w:numPr>
          <w:ilvl w:val="0"/>
          <w:numId w:val="1002"/>
        </w:numPr>
      </w:pPr>
      <w:r>
        <w:t xml:space="preserve">Consistency: ✅ — koppeling audit ↔ voorstel via bevinding-ID’s (R-01 t/m R-12, G-01 t/m G-03)</w:t>
      </w:r>
    </w:p>
    <w:p>
      <w:pPr>
        <w:pStyle w:val="Compact"/>
        <w:numPr>
          <w:ilvl w:val="0"/>
          <w:numId w:val="1002"/>
        </w:numPr>
      </w:pPr>
      <w:r>
        <w:t xml:space="preserve">Source: ⚠️ — live wetscheck 2026 niet uitgevoerd</w:t>
      </w:r>
    </w:p>
    <w:p>
      <w:pPr>
        <w:pStyle w:val="Compact"/>
        <w:numPr>
          <w:ilvl w:val="0"/>
          <w:numId w:val="1002"/>
        </w:numPr>
      </w:pPr>
      <w:r>
        <w:rPr>
          <w:b/>
          <w:bCs/>
        </w:rPr>
        <w:t xml:space="preserve">Status: WARNING — oplevering toegestaan met waarschuwing actualiteitscheck.</w:t>
      </w:r>
    </w:p>
    <w:p>
      <w:pPr>
        <w:pStyle w:val="FirstParagraph"/>
      </w:pPr>
      <w:r>
        <w:rPr>
          <w:i/>
          <w:iCs/>
        </w:rPr>
        <w:t xml:space="preserve">Einde herzieningsvoorstel.</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Herzieningsvoorstel 003.057 Mercury v4.0</dc:title>
  <dc:creator>JvG Consultancy - HSEQ Divisie</dc:creator>
  <cp:keywords/>
  <dcterms:created xsi:type="dcterms:W3CDTF">2026-08-25T13:42:32Z</dcterms:created>
  <dcterms:modified xsi:type="dcterms:W3CDTF">2026-08-25T13:42:32Z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2026-08-25</vt:lpwstr>
  </property>
</Properties>
</file>