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HERZIENINGSVOORSTEL</w:t>
      </w:r>
    </w:p>
    <w:p>
      <w:pPr>
        <w:spacing w:after="40"/>
        <w:jc w:val="center"/>
      </w:pPr>
      <w:r>
        <w:rPr>
          <w:rFonts w:ascii="Calibri" w:hAnsi="Calibri"/>
          <w:b/>
          <w:i w:val="0"/>
          <w:color w:val="003366"/>
          <w:sz w:val="32"/>
        </w:rPr>
        <w:t>Procedure 003.057 Safe Handling of Mercury — Rev 2</w:t>
      </w:r>
    </w:p>
    <w:p>
      <w:pPr>
        <w:spacing w:after="320"/>
        <w:jc w:val="center"/>
      </w:pPr>
      <w:r>
        <w:rPr>
          <w:rFonts w:ascii="Calibri" w:hAnsi="Calibri"/>
          <w:b w:val="0"/>
          <w:i w:val="0"/>
          <w:sz w:val="24"/>
        </w:rPr>
        <w:t>Volledige uitwerking v3.0 — alle herzieningspunten uit v2.0 plus aanvullingen</w:t>
      </w:r>
    </w:p>
    <w:p>
      <w:pPr>
        <w:spacing w:after="80"/>
        <w:jc w:val="center"/>
      </w:pPr>
      <w:r>
        <w:rPr>
          <w:rFonts w:ascii="Calibri" w:hAnsi="Calibri"/>
          <w:b w:val="0"/>
          <w:i w:val="0"/>
          <w:sz w:val="20"/>
        </w:rPr>
        <w:t>Voor de redacteur van de procedure (KOO B.V.) — Basis: Compliance Audit 003.057 v2.0</w:t>
      </w:r>
    </w:p>
    <w:p>
      <w:pPr>
        <w:spacing w:after="80"/>
        <w:jc w:val="center"/>
      </w:pPr>
      <w:r>
        <w:rPr>
          <w:rFonts w:ascii="Calibri" w:hAnsi="Calibri"/>
          <w:b w:val="0"/>
          <w:i w:val="0"/>
          <w:sz w:val="20"/>
        </w:rPr>
        <w:t>Documentreferentie: JvG-HZ-003057-v3.0 — 25-08-2026</w:t>
      </w:r>
    </w:p>
    <w:p>
      <w:pPr>
        <w:spacing w:after="400"/>
        <w:jc w:val="center"/>
      </w:pPr>
      <w:r>
        <w:rPr>
          <w:rFonts w:ascii="Calibri" w:hAnsi="Calibri"/>
          <w:b w:val="0"/>
          <w:i/>
          <w:sz w:val="20"/>
        </w:rPr>
        <w:t>Status: Definitief — Vertrouwelijk</w:t>
      </w:r>
    </w:p>
    <w:p>
      <w:pPr>
        <w:pStyle w:val="Heading1"/>
      </w:pPr>
      <w:r>
        <w:t>1. Documentbeheer</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Document</w:t>
            </w:r>
          </w:p>
        </w:tc>
        <w:tc>
          <w:tcPr>
            <w:tcW w:type="dxa" w:w="4759"/>
          </w:tcPr>
          <w:p>
            <w:r/>
            <w:r>
              <w:rPr>
                <w:rFonts w:ascii="Calibri" w:hAnsi="Calibri"/>
                <w:b w:val="0"/>
                <w:color w:val="1F2937"/>
                <w:sz w:val="19"/>
              </w:rPr>
              <w:t>Herzieningsvoorstel 003.057 Safe Handling of Mercury</w:t>
            </w:r>
          </w:p>
        </w:tc>
      </w:tr>
      <w:tr>
        <w:tc>
          <w:tcPr>
            <w:tcW w:type="dxa" w:w="4759"/>
          </w:tcPr>
          <w:p>
            <w:r/>
            <w:r>
              <w:rPr>
                <w:rFonts w:ascii="Calibri" w:hAnsi="Calibri"/>
                <w:b w:val="0"/>
                <w:color w:val="1F2937"/>
                <w:sz w:val="19"/>
              </w:rPr>
              <w:t>Versie</w:t>
            </w:r>
          </w:p>
        </w:tc>
        <w:tc>
          <w:tcPr>
            <w:tcW w:type="dxa" w:w="4759"/>
          </w:tcPr>
          <w:p>
            <w:r/>
            <w:r>
              <w:rPr>
                <w:rFonts w:ascii="Calibri" w:hAnsi="Calibri"/>
                <w:b w:val="0"/>
                <w:color w:val="1F2937"/>
                <w:sz w:val="19"/>
              </w:rPr>
              <w:t>v3.0 (volledige uitwerking van v2.0)</w:t>
            </w:r>
          </w:p>
        </w:tc>
      </w:tr>
      <w:tr>
        <w:tc>
          <w:tcPr>
            <w:tcW w:type="dxa" w:w="4759"/>
          </w:tcPr>
          <w:p>
            <w:r/>
            <w:r>
              <w:rPr>
                <w:rFonts w:ascii="Calibri" w:hAnsi="Calibri"/>
                <w:b w:val="0"/>
                <w:color w:val="1F2937"/>
                <w:sz w:val="19"/>
              </w:rPr>
              <w:t>Datum</w:t>
            </w:r>
          </w:p>
        </w:tc>
        <w:tc>
          <w:tcPr>
            <w:tcW w:type="dxa" w:w="4759"/>
          </w:tcPr>
          <w:p>
            <w:r/>
            <w:r>
              <w:rPr>
                <w:rFonts w:ascii="Calibri" w:hAnsi="Calibri"/>
                <w:b w:val="0"/>
                <w:color w:val="1F2937"/>
                <w:sz w:val="19"/>
              </w:rPr>
              <w:t>25-08-2026</w:t>
            </w:r>
          </w:p>
        </w:tc>
      </w:tr>
      <w:tr>
        <w:tc>
          <w:tcPr>
            <w:tcW w:type="dxa" w:w="4759"/>
          </w:tcPr>
          <w:p>
            <w:r/>
            <w:r>
              <w:rPr>
                <w:rFonts w:ascii="Calibri" w:hAnsi="Calibri"/>
                <w:b w:val="0"/>
                <w:color w:val="1F2937"/>
                <w:sz w:val="19"/>
              </w:rPr>
              <w:t>Auteur</w:t>
            </w:r>
          </w:p>
        </w:tc>
        <w:tc>
          <w:tcPr>
            <w:tcW w:type="dxa" w:w="4759"/>
          </w:tcPr>
          <w:p>
            <w:r/>
            <w:r>
              <w:rPr>
                <w:rFonts w:ascii="Calibri" w:hAnsi="Calibri"/>
                <w:b w:val="0"/>
                <w:color w:val="1F2937"/>
                <w:sz w:val="19"/>
              </w:rPr>
              <w:t>JvG Consultancy — HSEQ Divisie</w:t>
            </w:r>
          </w:p>
        </w:tc>
      </w:tr>
      <w:tr>
        <w:tc>
          <w:tcPr>
            <w:tcW w:type="dxa" w:w="4759"/>
          </w:tcPr>
          <w:p>
            <w:r/>
            <w:r>
              <w:rPr>
                <w:rFonts w:ascii="Calibri" w:hAnsi="Calibri"/>
                <w:b w:val="0"/>
                <w:color w:val="1F2937"/>
                <w:sz w:val="19"/>
              </w:rPr>
              <w:t>Opdrachtgever</w:t>
            </w:r>
          </w:p>
        </w:tc>
        <w:tc>
          <w:tcPr>
            <w:tcW w:type="dxa" w:w="4759"/>
          </w:tcPr>
          <w:p>
            <w:r/>
            <w:r>
              <w:rPr>
                <w:rFonts w:ascii="Calibri" w:hAnsi="Calibri"/>
                <w:b w:val="0"/>
                <w:color w:val="1F2937"/>
                <w:sz w:val="19"/>
              </w:rPr>
              <w:t>KOO B.V. (Koole)</w:t>
            </w:r>
          </w:p>
        </w:tc>
      </w:tr>
      <w:tr>
        <w:tc>
          <w:tcPr>
            <w:tcW w:type="dxa" w:w="4759"/>
          </w:tcPr>
          <w:p>
            <w:r/>
            <w:r>
              <w:rPr>
                <w:rFonts w:ascii="Calibri" w:hAnsi="Calibri"/>
                <w:b w:val="0"/>
                <w:color w:val="1F2937"/>
                <w:sz w:val="19"/>
              </w:rPr>
              <w:t>Brondocument</w:t>
            </w:r>
          </w:p>
        </w:tc>
        <w:tc>
          <w:tcPr>
            <w:tcW w:type="dxa" w:w="4759"/>
          </w:tcPr>
          <w:p>
            <w:r/>
            <w:r>
              <w:rPr>
                <w:rFonts w:ascii="Calibri" w:hAnsi="Calibri"/>
                <w:b w:val="0"/>
                <w:color w:val="1F2937"/>
                <w:sz w:val="19"/>
              </w:rPr>
              <w:t>MSD 003.057 "Safe Handling of Mercury" Rev 1 (12-05-2026)</w:t>
            </w:r>
          </w:p>
        </w:tc>
      </w:tr>
      <w:tr>
        <w:tc>
          <w:tcPr>
            <w:tcW w:type="dxa" w:w="4759"/>
          </w:tcPr>
          <w:p>
            <w:r/>
            <w:r>
              <w:rPr>
                <w:rFonts w:ascii="Calibri" w:hAnsi="Calibri"/>
                <w:b w:val="0"/>
                <w:color w:val="1F2937"/>
                <w:sz w:val="19"/>
              </w:rPr>
              <w:t>Basis</w:t>
            </w:r>
          </w:p>
        </w:tc>
        <w:tc>
          <w:tcPr>
            <w:tcW w:type="dxa" w:w="4759"/>
          </w:tcPr>
          <w:p>
            <w:r/>
            <w:r>
              <w:rPr>
                <w:rFonts w:ascii="Calibri" w:hAnsi="Calibri"/>
                <w:b w:val="0"/>
                <w:color w:val="1F2937"/>
                <w:sz w:val="19"/>
              </w:rPr>
              <w:t>Compliance Audit 003.057 v2.0 (JvG Consultancy, 24-08-2026)</w:t>
            </w:r>
          </w:p>
        </w:tc>
      </w:tr>
      <w:tr>
        <w:tc>
          <w:tcPr>
            <w:tcW w:type="dxa" w:w="4759"/>
          </w:tcPr>
          <w:p>
            <w:r/>
            <w:r>
              <w:rPr>
                <w:rFonts w:ascii="Calibri" w:hAnsi="Calibri"/>
                <w:b w:val="0"/>
                <w:color w:val="1F2937"/>
                <w:sz w:val="19"/>
              </w:rPr>
              <w:t>Status</w:t>
            </w:r>
          </w:p>
        </w:tc>
        <w:tc>
          <w:tcPr>
            <w:tcW w:type="dxa" w:w="4759"/>
          </w:tcPr>
          <w:p>
            <w:r/>
            <w:r>
              <w:rPr>
                <w:rFonts w:ascii="Calibri" w:hAnsi="Calibri"/>
                <w:b w:val="0"/>
                <w:color w:val="1F2937"/>
                <w:sz w:val="19"/>
              </w:rPr>
              <w:t>Definitief — ter implementatie in Rev 2 e.v.</w:t>
            </w:r>
          </w:p>
        </w:tc>
      </w:tr>
      <w:tr>
        <w:tc>
          <w:tcPr>
            <w:tcW w:type="dxa" w:w="4759"/>
          </w:tcPr>
          <w:p>
            <w:r/>
            <w:r>
              <w:rPr>
                <w:rFonts w:ascii="Calibri" w:hAnsi="Calibri"/>
                <w:b w:val="0"/>
                <w:color w:val="1F2937"/>
                <w:sz w:val="19"/>
              </w:rPr>
              <w:t>Classificatie</w:t>
            </w:r>
          </w:p>
        </w:tc>
        <w:tc>
          <w:tcPr>
            <w:tcW w:type="dxa" w:w="4759"/>
          </w:tcPr>
          <w:p>
            <w:r/>
            <w:r>
              <w:rPr>
                <w:rFonts w:ascii="Calibri" w:hAnsi="Calibri"/>
                <w:b w:val="0"/>
                <w:color w:val="1F2937"/>
                <w:sz w:val="19"/>
              </w:rPr>
              <w:t>Vertrouwelijk</w:t>
            </w:r>
          </w:p>
        </w:tc>
      </w:tr>
    </w:tbl>
    <w:p>
      <w:pPr>
        <w:spacing w:after="40"/>
      </w:pPr>
    </w:p>
    <w:p>
      <w:pPr>
        <w:spacing w:after="120"/>
      </w:pPr>
      <w:r>
        <w:rPr>
          <w:rFonts w:ascii="Calibri" w:hAnsi="Calibri"/>
          <w:b w:val="0"/>
          <w:i w:val="0"/>
          <w:sz w:val="22"/>
        </w:rPr>
        <w:t>Dit voorstel is gericht aan de redacteur van de procedure bij KOO B.V. Elk herzieningspunt vermeldt de locatie in het brondocument, de vastgestelde tekortkoming, de voorgestelde tekstaanpassing en de wettelijke onderbouwing. De punten 1 t/m 11 komen onverkort uit het herzieningsvoorstel v2.0; in deze versie 3.0 zijn de punten 1 t/m 3 volledig uitgewerkt tot direct opneembare proceduretekst en is de Implementation Roadmap (hoofdstuk 9) toegevoegd.</w:t>
      </w:r>
    </w:p>
    <w:p>
      <w:pPr>
        <w:pStyle w:val="Heading1"/>
      </w:pPr>
      <w:r>
        <w:t>2. Samenvatting en prioritering</w:t>
      </w:r>
    </w:p>
    <w:p>
      <w:pPr>
        <w:spacing w:after="120"/>
      </w:pPr>
      <w:r>
        <w:rPr>
          <w:rFonts w:ascii="Calibri" w:hAnsi="Calibri"/>
          <w:b w:val="0"/>
          <w:i w:val="0"/>
          <w:sz w:val="22"/>
        </w:rPr>
        <w:t>De Compliance Audit 003.057 v2.0 leverde twaalf bevindingen op (R-01 t/m R-12), aangevuld met drie bevindingen uit de four-eyes review (G-01 t/m G-03). Dit voorstel bundelt alle herzieningspunten in vier prioriteitsklassen. Vóór aanvang van het decommissioning-project wordt de procedure minimaal op prioriteitsniveau 1 herzien.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Prioriteit</w:t>
            </w:r>
          </w:p>
        </w:tc>
        <w:tc>
          <w:tcPr>
            <w:tcW w:type="dxa" w:w="2379"/>
            <w:shd w:val="clear" w:color="auto" w:fill="003366"/>
          </w:tcPr>
          <w:p>
            <w:r/>
            <w:r>
              <w:rPr>
                <w:rFonts w:ascii="Calibri" w:hAnsi="Calibri"/>
                <w:b/>
                <w:color w:val="FFFFFF"/>
                <w:sz w:val="19"/>
              </w:rPr>
              <w:t>Betekenis</w:t>
            </w:r>
          </w:p>
        </w:tc>
        <w:tc>
          <w:tcPr>
            <w:tcW w:type="dxa" w:w="2379"/>
            <w:shd w:val="clear" w:color="auto" w:fill="003366"/>
          </w:tcPr>
          <w:p>
            <w:r/>
            <w:r>
              <w:rPr>
                <w:rFonts w:ascii="Calibri" w:hAnsi="Calibri"/>
                <w:b/>
                <w:color w:val="FFFFFF"/>
                <w:sz w:val="19"/>
              </w:rPr>
              <w:t>Punten</w:t>
            </w:r>
          </w:p>
        </w:tc>
        <w:tc>
          <w:tcPr>
            <w:tcW w:type="dxa" w:w="2379"/>
            <w:shd w:val="clear" w:color="auto" w:fill="003366"/>
          </w:tcPr>
          <w:p>
            <w:r/>
            <w:r>
              <w:rPr>
                <w:rFonts w:ascii="Calibri" w:hAnsi="Calibri"/>
                <w:b/>
                <w:color w:val="FFFFFF"/>
                <w:sz w:val="19"/>
              </w:rPr>
              <w:t>Revisie</w:t>
            </w:r>
          </w:p>
        </w:tc>
      </w:tr>
      <w:tr>
        <w:tc>
          <w:tcPr>
            <w:tcW w:type="dxa" w:w="2379"/>
          </w:tcPr>
          <w:p>
            <w:r/>
            <w:r>
              <w:rPr>
                <w:rFonts w:ascii="Calibri" w:hAnsi="Calibri"/>
                <w:b w:val="0"/>
                <w:color w:val="1F2937"/>
                <w:sz w:val="19"/>
              </w:rPr>
              <w:t>P1 — Wettelijk verplicht</w:t>
            </w:r>
          </w:p>
        </w:tc>
        <w:tc>
          <w:tcPr>
            <w:tcW w:type="dxa" w:w="2379"/>
          </w:tcPr>
          <w:p>
            <w:r/>
            <w:r>
              <w:rPr>
                <w:rFonts w:ascii="Calibri" w:hAnsi="Calibri"/>
                <w:b w:val="0"/>
                <w:color w:val="1F2937"/>
                <w:sz w:val="19"/>
              </w:rPr>
              <w:t>Herzien vóór projectuitvoering</w:t>
            </w:r>
          </w:p>
        </w:tc>
        <w:tc>
          <w:tcPr>
            <w:tcW w:type="dxa" w:w="2379"/>
          </w:tcPr>
          <w:p>
            <w:r/>
            <w:r>
              <w:rPr>
                <w:rFonts w:ascii="Calibri" w:hAnsi="Calibri"/>
                <w:b w:val="0"/>
                <w:color w:val="1F2937"/>
                <w:sz w:val="19"/>
              </w:rPr>
              <w:t>1, 2, 3</w:t>
            </w:r>
          </w:p>
        </w:tc>
        <w:tc>
          <w:tcPr>
            <w:tcW w:type="dxa" w:w="2379"/>
          </w:tcPr>
          <w:p>
            <w:r/>
            <w:r>
              <w:rPr>
                <w:rFonts w:ascii="Calibri" w:hAnsi="Calibri"/>
                <w:b w:val="0"/>
                <w:color w:val="1F2937"/>
                <w:sz w:val="19"/>
              </w:rPr>
              <w:t>Rev 2 (spoed)</w:t>
            </w:r>
          </w:p>
        </w:tc>
      </w:tr>
      <w:tr>
        <w:tc>
          <w:tcPr>
            <w:tcW w:type="dxa" w:w="2379"/>
          </w:tcPr>
          <w:p>
            <w:r/>
            <w:r>
              <w:rPr>
                <w:rFonts w:ascii="Calibri" w:hAnsi="Calibri"/>
                <w:b w:val="0"/>
                <w:color w:val="1F2937"/>
                <w:sz w:val="19"/>
              </w:rPr>
              <w:t>P2 — Wettelijk verplicht / bindend</w:t>
            </w:r>
          </w:p>
        </w:tc>
        <w:tc>
          <w:tcPr>
            <w:tcW w:type="dxa" w:w="2379"/>
          </w:tcPr>
          <w:p>
            <w:r/>
            <w:r>
              <w:rPr>
                <w:rFonts w:ascii="Calibri" w:hAnsi="Calibri"/>
                <w:b w:val="0"/>
                <w:color w:val="1F2937"/>
                <w:sz w:val="19"/>
              </w:rPr>
              <w:t>Eerstvolgende herzieningsronde</w:t>
            </w:r>
          </w:p>
        </w:tc>
        <w:tc>
          <w:tcPr>
            <w:tcW w:type="dxa" w:w="2379"/>
          </w:tcPr>
          <w:p>
            <w:r/>
            <w:r>
              <w:rPr>
                <w:rFonts w:ascii="Calibri" w:hAnsi="Calibri"/>
                <w:b w:val="0"/>
                <w:color w:val="1F2937"/>
                <w:sz w:val="19"/>
              </w:rPr>
              <w:t>4, 5, 6, 7</w:t>
            </w:r>
          </w:p>
        </w:tc>
        <w:tc>
          <w:tcPr>
            <w:tcW w:type="dxa" w:w="2379"/>
          </w:tcPr>
          <w:p>
            <w:r/>
            <w:r>
              <w:rPr>
                <w:rFonts w:ascii="Calibri" w:hAnsi="Calibri"/>
                <w:b w:val="0"/>
                <w:color w:val="1F2937"/>
                <w:sz w:val="19"/>
              </w:rPr>
              <w:t>Rev 3</w:t>
            </w:r>
          </w:p>
        </w:tc>
      </w:tr>
      <w:tr>
        <w:tc>
          <w:tcPr>
            <w:tcW w:type="dxa" w:w="2379"/>
          </w:tcPr>
          <w:p>
            <w:r/>
            <w:r>
              <w:rPr>
                <w:rFonts w:ascii="Calibri" w:hAnsi="Calibri"/>
                <w:b w:val="0"/>
                <w:color w:val="1F2937"/>
                <w:sz w:val="19"/>
              </w:rPr>
              <w:t>P3 — Verifieerbaarheid en robuustheid</w:t>
            </w:r>
          </w:p>
        </w:tc>
        <w:tc>
          <w:tcPr>
            <w:tcW w:type="dxa" w:w="2379"/>
          </w:tcPr>
          <w:p>
            <w:r/>
            <w:r>
              <w:rPr>
                <w:rFonts w:ascii="Calibri" w:hAnsi="Calibri"/>
                <w:b w:val="0"/>
                <w:color w:val="1F2937"/>
                <w:sz w:val="19"/>
              </w:rPr>
              <w:t>Kwaliteitsversterking</w:t>
            </w:r>
          </w:p>
        </w:tc>
        <w:tc>
          <w:tcPr>
            <w:tcW w:type="dxa" w:w="2379"/>
          </w:tcPr>
          <w:p>
            <w:r/>
            <w:r>
              <w:rPr>
                <w:rFonts w:ascii="Calibri" w:hAnsi="Calibri"/>
                <w:b w:val="0"/>
                <w:color w:val="1F2937"/>
                <w:sz w:val="19"/>
              </w:rPr>
              <w:t>8, 9, 10</w:t>
            </w:r>
          </w:p>
        </w:tc>
        <w:tc>
          <w:tcPr>
            <w:tcW w:type="dxa" w:w="2379"/>
          </w:tcPr>
          <w:p>
            <w:r/>
            <w:r>
              <w:rPr>
                <w:rFonts w:ascii="Calibri" w:hAnsi="Calibri"/>
                <w:b w:val="0"/>
                <w:color w:val="1F2937"/>
                <w:sz w:val="19"/>
              </w:rPr>
              <w:t>Rev 3</w:t>
            </w:r>
          </w:p>
        </w:tc>
      </w:tr>
      <w:tr>
        <w:tc>
          <w:tcPr>
            <w:tcW w:type="dxa" w:w="2379"/>
          </w:tcPr>
          <w:p>
            <w:r/>
            <w:r>
              <w:rPr>
                <w:rFonts w:ascii="Calibri" w:hAnsi="Calibri"/>
                <w:b w:val="0"/>
                <w:color w:val="1F2937"/>
                <w:sz w:val="19"/>
              </w:rPr>
              <w:t>P4 — Four-eyes review</w:t>
            </w:r>
          </w:p>
        </w:tc>
        <w:tc>
          <w:tcPr>
            <w:tcW w:type="dxa" w:w="2379"/>
          </w:tcPr>
          <w:p>
            <w:r/>
            <w:r>
              <w:rPr>
                <w:rFonts w:ascii="Calibri" w:hAnsi="Calibri"/>
                <w:b w:val="0"/>
                <w:color w:val="1F2937"/>
                <w:sz w:val="19"/>
              </w:rPr>
              <w:t>Interne consistentie en aanvulling</w:t>
            </w:r>
          </w:p>
        </w:tc>
        <w:tc>
          <w:tcPr>
            <w:tcW w:type="dxa" w:w="2379"/>
          </w:tcPr>
          <w:p>
            <w:r/>
            <w:r>
              <w:rPr>
                <w:rFonts w:ascii="Calibri" w:hAnsi="Calibri"/>
                <w:b w:val="0"/>
                <w:color w:val="1F2937"/>
                <w:sz w:val="19"/>
              </w:rPr>
              <w:t>11 (G-01 t/m G-03)</w:t>
            </w:r>
          </w:p>
        </w:tc>
        <w:tc>
          <w:tcPr>
            <w:tcW w:type="dxa" w:w="2379"/>
          </w:tcPr>
          <w:p>
            <w:r/>
            <w:r>
              <w:rPr>
                <w:rFonts w:ascii="Calibri" w:hAnsi="Calibri"/>
                <w:b w:val="0"/>
                <w:color w:val="1F2937"/>
                <w:sz w:val="19"/>
              </w:rPr>
              <w:t>Rev 3</w:t>
            </w:r>
          </w:p>
        </w:tc>
      </w:tr>
    </w:tbl>
    <w:p>
      <w:pPr>
        <w:spacing w:after="40"/>
      </w:pPr>
    </w:p>
    <w:p>
      <w:r>
        <w:br w:type="page"/>
      </w:r>
    </w:p>
    <w:p>
      <w:pPr>
        <w:pStyle w:val="Heading1"/>
      </w:pPr>
      <w:r>
        <w:t>3. Prioriteit 1 — Wettelijk verplicht (vóór projectuitvoering herzien)</w:t>
      </w:r>
    </w:p>
    <w:p>
      <w:pPr>
        <w:pStyle w:val="Heading2"/>
      </w:pPr>
      <w:r>
        <w:t>3.1 Medische surveillance (audit R-01) [WET] — volledig uitgewerkt</w:t>
      </w:r>
    </w:p>
    <w:p>
      <w:pPr>
        <w:spacing w:after="120"/>
      </w:pPr>
      <w:r>
        <w:rPr>
          <w:rFonts w:ascii="Calibri" w:hAnsi="Calibri"/>
          <w:b/>
          <w:sz w:val="22"/>
        </w:rPr>
        <w:t xml:space="preserve">Locatie:  </w:t>
      </w:r>
      <w:r>
        <w:rPr>
          <w:rFonts w:ascii="Calibri" w:hAnsi="Calibri"/>
          <w:sz w:val="22"/>
        </w:rPr>
        <w:t>nieuwe sectie 5.5 “Health Surveillance”.</w:t>
      </w:r>
    </w:p>
    <w:p>
      <w:pPr>
        <w:spacing w:after="120"/>
      </w:pPr>
      <w:r>
        <w:rPr>
          <w:rFonts w:ascii="Calibri" w:hAnsi="Calibri"/>
          <w:b/>
          <w:sz w:val="22"/>
        </w:rPr>
        <w:t xml:space="preserve">Tekortkoming:  </w:t>
      </w:r>
      <w:r>
        <w:rPr>
          <w:rFonts w:ascii="Calibri" w:hAnsi="Calibri"/>
          <w:sz w:val="22"/>
        </w:rPr>
        <w:t>de procedure bevat geen aanbodverplichting voor een arbeidsgezondheidskundig onderzoek aan personeel met (mogelijke) kwikblootstelling, terwijl kwik met de classificatie Repr. 1B (H360D) onder het regime van Arbobesluit art. 4.10a valt.</w:t>
      </w:r>
    </w:p>
    <w:p>
      <w:pPr>
        <w:spacing w:after="120"/>
      </w:pPr>
      <w:r>
        <w:rPr>
          <w:rFonts w:ascii="Calibri" w:hAnsi="Calibri"/>
          <w:b/>
          <w:sz w:val="22"/>
        </w:rPr>
        <w:t xml:space="preserve">Voorgestelde proceduretekst:  </w:t>
      </w:r>
      <w:r>
        <w:rPr>
          <w:rFonts w:ascii="Calibri" w:hAnsi="Calibri"/>
          <w:sz w:val="22"/>
        </w:rPr>
      </w:r>
    </w:p>
    <w:p>
      <w:pPr>
        <w:pStyle w:val="ListBullet"/>
        <w:spacing w:after="60"/>
      </w:pPr>
      <w:r>
        <w:t>Aanbod arbeidsgezondheidskundig onderzoek (Arbobesluit art. 4.10a) aan al het personeel met (mogelijke) kwikblootstelling, uitgevoerd door de arbodienst of bedrijfsarts: vóór aanvang van de blootstelling (nulmeting), tussentijds volgens het protocol van de arbodienst en na beëindiging van de blootstelling (eindmeting).</w:t>
      </w:r>
    </w:p>
    <w:p>
      <w:pPr>
        <w:pStyle w:val="ListBullet"/>
        <w:spacing w:after="60"/>
      </w:pPr>
      <w:r>
        <w:t>Biologische monitoring: bepaling van kwik in urine, met referentiewaarden volgens de geldende protocollen van de arbodienst; interpretatie uitsluitend door de bedrijfsarts.</w:t>
      </w:r>
    </w:p>
    <w:p>
      <w:pPr>
        <w:pStyle w:val="ListBullet"/>
        <w:spacing w:after="60"/>
      </w:pPr>
      <w:r>
        <w:t>Resultaten worden geregistreerd in het persoonlijk gezondheidsdossier en gekoppeld aan het blootstellingsregister (punt 3.2).</w:t>
      </w:r>
    </w:p>
    <w:p>
      <w:pPr>
        <w:pStyle w:val="ListBullet"/>
        <w:spacing w:after="60"/>
      </w:pPr>
      <w:r>
        <w:t>De aanbodverplichting blijft liggen bij de werkgever (KOO); de arbodienst wordt minimaal geraadpleegd (Consulted).</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Rol</w:t>
            </w:r>
          </w:p>
        </w:tc>
        <w:tc>
          <w:tcPr>
            <w:tcW w:type="dxa" w:w="3173"/>
            <w:shd w:val="clear" w:color="auto" w:fill="003366"/>
          </w:tcPr>
          <w:p>
            <w:r/>
            <w:r>
              <w:rPr>
                <w:rFonts w:ascii="Calibri" w:hAnsi="Calibri"/>
                <w:b/>
                <w:color w:val="FFFFFF"/>
                <w:sz w:val="19"/>
              </w:rPr>
              <w:t>RASCI</w:t>
            </w:r>
          </w:p>
        </w:tc>
        <w:tc>
          <w:tcPr>
            <w:tcW w:type="dxa" w:w="3173"/>
            <w:shd w:val="clear" w:color="auto" w:fill="003366"/>
          </w:tcPr>
          <w:p>
            <w:r/>
            <w:r>
              <w:rPr>
                <w:rFonts w:ascii="Calibri" w:hAnsi="Calibri"/>
                <w:b/>
                <w:color w:val="FFFFFF"/>
                <w:sz w:val="19"/>
              </w:rPr>
              <w:t>Verantwoordelijkheid</w:t>
            </w:r>
          </w:p>
        </w:tc>
      </w:tr>
      <w:tr>
        <w:tc>
          <w:tcPr>
            <w:tcW w:type="dxa" w:w="3173"/>
          </w:tcPr>
          <w:p>
            <w:r/>
            <w:r>
              <w:rPr>
                <w:rFonts w:ascii="Calibri" w:hAnsi="Calibri"/>
                <w:b w:val="0"/>
                <w:color w:val="1F2937"/>
                <w:sz w:val="19"/>
              </w:rPr>
              <w:t>QHSE</w:t>
            </w:r>
          </w:p>
        </w:tc>
        <w:tc>
          <w:tcPr>
            <w:tcW w:type="dxa" w:w="3173"/>
          </w:tcPr>
          <w:p>
            <w:r/>
            <w:r>
              <w:rPr>
                <w:rFonts w:ascii="Calibri" w:hAnsi="Calibri"/>
                <w:b w:val="0"/>
                <w:color w:val="1F2937"/>
                <w:sz w:val="19"/>
              </w:rPr>
              <w:t>R/A</w:t>
            </w:r>
          </w:p>
        </w:tc>
        <w:tc>
          <w:tcPr>
            <w:tcW w:type="dxa" w:w="3173"/>
          </w:tcPr>
          <w:p>
            <w:r/>
            <w:r>
              <w:rPr>
                <w:rFonts w:ascii="Calibri" w:hAnsi="Calibri"/>
                <w:b w:val="0"/>
                <w:color w:val="1F2937"/>
                <w:sz w:val="19"/>
              </w:rPr>
              <w:t>Aanbod organiseren, dossierbeheer, evaluatie van het programma</w:t>
            </w:r>
          </w:p>
        </w:tc>
      </w:tr>
      <w:tr>
        <w:tc>
          <w:tcPr>
            <w:tcW w:type="dxa" w:w="3173"/>
          </w:tcPr>
          <w:p>
            <w:r/>
            <w:r>
              <w:rPr>
                <w:rFonts w:ascii="Calibri" w:hAnsi="Calibri"/>
                <w:b w:val="0"/>
                <w:color w:val="1F2937"/>
                <w:sz w:val="19"/>
              </w:rPr>
              <w:t>Decom Master</w:t>
            </w:r>
          </w:p>
        </w:tc>
        <w:tc>
          <w:tcPr>
            <w:tcW w:type="dxa" w:w="3173"/>
          </w:tcPr>
          <w:p>
            <w:r/>
            <w:r>
              <w:rPr>
                <w:rFonts w:ascii="Calibri" w:hAnsi="Calibri"/>
                <w:b w:val="0"/>
                <w:color w:val="1F2937"/>
                <w:sz w:val="19"/>
              </w:rPr>
              <w:t>S</w:t>
            </w:r>
          </w:p>
        </w:tc>
        <w:tc>
          <w:tcPr>
            <w:tcW w:type="dxa" w:w="3173"/>
          </w:tcPr>
          <w:p>
            <w:r/>
            <w:r>
              <w:rPr>
                <w:rFonts w:ascii="Calibri" w:hAnsi="Calibri"/>
                <w:b w:val="0"/>
                <w:color w:val="1F2937"/>
                <w:sz w:val="19"/>
              </w:rPr>
              <w:t>Inzetplanning rond afspraken arbodienst</w:t>
            </w:r>
          </w:p>
        </w:tc>
      </w:tr>
      <w:tr>
        <w:tc>
          <w:tcPr>
            <w:tcW w:type="dxa" w:w="3173"/>
          </w:tcPr>
          <w:p>
            <w:r/>
            <w:r>
              <w:rPr>
                <w:rFonts w:ascii="Calibri" w:hAnsi="Calibri"/>
                <w:b w:val="0"/>
                <w:color w:val="1F2937"/>
                <w:sz w:val="19"/>
              </w:rPr>
              <w:t>User</w:t>
            </w:r>
          </w:p>
        </w:tc>
        <w:tc>
          <w:tcPr>
            <w:tcW w:type="dxa" w:w="3173"/>
          </w:tcPr>
          <w:p>
            <w:r/>
            <w:r>
              <w:rPr>
                <w:rFonts w:ascii="Calibri" w:hAnsi="Calibri"/>
                <w:b w:val="0"/>
                <w:color w:val="1F2937"/>
                <w:sz w:val="19"/>
              </w:rPr>
              <w:t>I</w:t>
            </w:r>
          </w:p>
        </w:tc>
        <w:tc>
          <w:tcPr>
            <w:tcW w:type="dxa" w:w="3173"/>
          </w:tcPr>
          <w:p>
            <w:r/>
            <w:r>
              <w:rPr>
                <w:rFonts w:ascii="Calibri" w:hAnsi="Calibri"/>
                <w:b w:val="0"/>
                <w:color w:val="1F2937"/>
                <w:sz w:val="19"/>
              </w:rPr>
              <w:t>Deelname; melding van klachten aan bedrijfsarts</w:t>
            </w:r>
          </w:p>
        </w:tc>
      </w:tr>
      <w:tr>
        <w:tc>
          <w:tcPr>
            <w:tcW w:type="dxa" w:w="3173"/>
          </w:tcPr>
          <w:p>
            <w:r/>
            <w:r>
              <w:rPr>
                <w:rFonts w:ascii="Calibri" w:hAnsi="Calibri"/>
                <w:b w:val="0"/>
                <w:color w:val="1F2937"/>
                <w:sz w:val="19"/>
              </w:rPr>
              <w:t>Arbodienst / bedrijfsarts</w:t>
            </w:r>
          </w:p>
        </w:tc>
        <w:tc>
          <w:tcPr>
            <w:tcW w:type="dxa" w:w="3173"/>
          </w:tcPr>
          <w:p>
            <w:r/>
            <w:r>
              <w:rPr>
                <w:rFonts w:ascii="Calibri" w:hAnsi="Calibri"/>
                <w:b w:val="0"/>
                <w:color w:val="1F2937"/>
                <w:sz w:val="19"/>
              </w:rPr>
              <w:t>C</w:t>
            </w:r>
          </w:p>
        </w:tc>
        <w:tc>
          <w:tcPr>
            <w:tcW w:type="dxa" w:w="3173"/>
          </w:tcPr>
          <w:p>
            <w:r/>
            <w:r>
              <w:rPr>
                <w:rFonts w:ascii="Calibri" w:hAnsi="Calibri"/>
                <w:b w:val="0"/>
                <w:color w:val="1F2937"/>
                <w:sz w:val="19"/>
              </w:rPr>
              <w:t>Uitvoering onderzoek en interpretatie urinekwik</w:t>
            </w:r>
          </w:p>
        </w:tc>
      </w:tr>
    </w:tbl>
    <w:p>
      <w:pPr>
        <w:spacing w:after="40"/>
      </w:pPr>
    </w:p>
    <w:p>
      <w:pPr>
        <w:pStyle w:val="Heading2"/>
      </w:pPr>
      <w:r>
        <w:t>3.2 Blootstellingsregister (audit R-02) [WET] — volledig uitgewerkt</w:t>
      </w:r>
    </w:p>
    <w:p>
      <w:pPr>
        <w:spacing w:after="120"/>
      </w:pPr>
      <w:r>
        <w:rPr>
          <w:rFonts w:ascii="Calibri" w:hAnsi="Calibri"/>
          <w:b/>
          <w:sz w:val="22"/>
        </w:rPr>
        <w:t xml:space="preserve">Locatie:  </w:t>
      </w:r>
      <w:r>
        <w:rPr>
          <w:rFonts w:ascii="Calibri" w:hAnsi="Calibri"/>
          <w:sz w:val="22"/>
        </w:rPr>
        <w:t>nieuwe subsectie 6.5 “Exposure Register”.</w:t>
      </w:r>
    </w:p>
    <w:p>
      <w:pPr>
        <w:spacing w:after="120"/>
      </w:pPr>
      <w:r>
        <w:rPr>
          <w:rFonts w:ascii="Calibri" w:hAnsi="Calibri"/>
          <w:b/>
          <w:sz w:val="22"/>
        </w:rPr>
        <w:t xml:space="preserve">Tekortkoming:  </w:t>
      </w:r>
      <w:r>
        <w:rPr>
          <w:rFonts w:ascii="Calibri" w:hAnsi="Calibri"/>
          <w:sz w:val="22"/>
        </w:rPr>
        <w:t>persoonlijke ademhalingszone-meetresultaten worden niet gestructureerd per werknemer vastgelegd; de lijstenverplichting van Arbobesluit art. 4.15 ontbreekt.</w:t>
      </w:r>
    </w:p>
    <w:p>
      <w:pPr>
        <w:spacing w:after="120"/>
      </w:pPr>
      <w:r>
        <w:rPr>
          <w:rFonts w:ascii="Calibri" w:hAnsi="Calibri"/>
          <w:b/>
          <w:sz w:val="22"/>
        </w:rPr>
        <w:t xml:space="preserve">Voorgestelde proceduretekst:  </w:t>
      </w:r>
      <w:r>
        <w:rPr>
          <w:rFonts w:ascii="Calibri" w:hAnsi="Calibri"/>
          <w:sz w:val="22"/>
        </w:rPr>
      </w:r>
    </w:p>
    <w:p>
      <w:pPr>
        <w:pStyle w:val="ListBullet"/>
        <w:spacing w:after="60"/>
      </w:pPr>
      <w:r>
        <w:t>Alle persoonlijke ademhalingszone-meetresultaten worden vastgelegd in een persoonlijk blootstellingsregister met minimaal de velden uit onderstaande tabel.</w:t>
      </w:r>
    </w:p>
    <w:p>
      <w:pPr>
        <w:pStyle w:val="ListBullet"/>
        <w:spacing w:after="60"/>
      </w:pPr>
      <w:r>
        <w:t>Verankering in Arbobesluit art. 4.15: een lijst van werknemers die aan blootstelling aan kwik onderhevig zijn geweest, inclusief het inzagerecht en het recht op een afschrift voor de werknemer.</w:t>
      </w:r>
    </w:p>
    <w:p>
      <w:pPr>
        <w:pStyle w:val="ListBullet"/>
        <w:spacing w:after="60"/>
      </w:pPr>
      <w:r>
        <w:t>Bewaartermijn: vaststellen conform de wettelijke eisen voor carcinogene, mutagene en reprotoxische stoffen (langdurig; nader te bevestigen door QHSE Legal).</w:t>
      </w:r>
    </w:p>
    <w:p>
      <w:pPr>
        <w:pStyle w:val="ListBullet"/>
        <w:spacing w:after="60"/>
      </w:pPr>
      <w:r>
        <w:t>Het register is toegankelijk voor de betrokken werknemer en de arbodienst.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Registratieveld</w:t>
            </w:r>
          </w:p>
        </w:tc>
        <w:tc>
          <w:tcPr>
            <w:tcW w:type="dxa" w:w="4759"/>
            <w:shd w:val="clear" w:color="auto" w:fill="003366"/>
          </w:tcPr>
          <w:p>
            <w:r/>
            <w:r>
              <w:rPr>
                <w:rFonts w:ascii="Calibri" w:hAnsi="Calibri"/>
                <w:b/>
                <w:color w:val="FFFFFF"/>
                <w:sz w:val="19"/>
              </w:rPr>
              <w:t>Inhoud</w:t>
            </w:r>
          </w:p>
        </w:tc>
      </w:tr>
      <w:tr>
        <w:tc>
          <w:tcPr>
            <w:tcW w:type="dxa" w:w="4759"/>
          </w:tcPr>
          <w:p>
            <w:r/>
            <w:r>
              <w:rPr>
                <w:rFonts w:ascii="Calibri" w:hAnsi="Calibri"/>
                <w:b w:val="0"/>
                <w:color w:val="1F2937"/>
                <w:sz w:val="19"/>
              </w:rPr>
              <w:t>Naam werknemer</w:t>
            </w:r>
          </w:p>
        </w:tc>
        <w:tc>
          <w:tcPr>
            <w:tcW w:type="dxa" w:w="4759"/>
          </w:tcPr>
          <w:p>
            <w:r/>
            <w:r>
              <w:rPr>
                <w:rFonts w:ascii="Calibri" w:hAnsi="Calibri"/>
                <w:b w:val="0"/>
                <w:color w:val="1F2937"/>
                <w:sz w:val="19"/>
              </w:rPr>
              <w:t>Naam en personeelsnummer</w:t>
            </w:r>
          </w:p>
        </w:tc>
      </w:tr>
      <w:tr>
        <w:tc>
          <w:tcPr>
            <w:tcW w:type="dxa" w:w="4759"/>
          </w:tcPr>
          <w:p>
            <w:r/>
            <w:r>
              <w:rPr>
                <w:rFonts w:ascii="Calibri" w:hAnsi="Calibri"/>
                <w:b w:val="0"/>
                <w:color w:val="1F2937"/>
                <w:sz w:val="19"/>
              </w:rPr>
              <w:t>Datum</w:t>
            </w:r>
          </w:p>
        </w:tc>
        <w:tc>
          <w:tcPr>
            <w:tcW w:type="dxa" w:w="4759"/>
          </w:tcPr>
          <w:p>
            <w:r/>
            <w:r>
              <w:rPr>
                <w:rFonts w:ascii="Calibri" w:hAnsi="Calibri"/>
                <w:b w:val="0"/>
                <w:color w:val="1F2937"/>
                <w:sz w:val="19"/>
              </w:rPr>
              <w:t>Datum van de meting</w:t>
            </w:r>
          </w:p>
        </w:tc>
      </w:tr>
      <w:tr>
        <w:tc>
          <w:tcPr>
            <w:tcW w:type="dxa" w:w="4759"/>
          </w:tcPr>
          <w:p>
            <w:r/>
            <w:r>
              <w:rPr>
                <w:rFonts w:ascii="Calibri" w:hAnsi="Calibri"/>
                <w:b w:val="0"/>
                <w:color w:val="1F2937"/>
                <w:sz w:val="19"/>
              </w:rPr>
              <w:t>Activiteit</w:t>
            </w:r>
          </w:p>
        </w:tc>
        <w:tc>
          <w:tcPr>
            <w:tcW w:type="dxa" w:w="4759"/>
          </w:tcPr>
          <w:p>
            <w:r/>
            <w:r>
              <w:rPr>
                <w:rFonts w:ascii="Calibri" w:hAnsi="Calibri"/>
                <w:b w:val="0"/>
                <w:color w:val="1F2937"/>
                <w:sz w:val="19"/>
              </w:rPr>
              <w:t>Werkactiviteit (bijv. snijwerk, reiniging, tankinspectie)</w:t>
            </w:r>
          </w:p>
        </w:tc>
      </w:tr>
      <w:tr>
        <w:tc>
          <w:tcPr>
            <w:tcW w:type="dxa" w:w="4759"/>
          </w:tcPr>
          <w:p>
            <w:r/>
            <w:r>
              <w:rPr>
                <w:rFonts w:ascii="Calibri" w:hAnsi="Calibri"/>
                <w:b w:val="0"/>
                <w:color w:val="1F2937"/>
                <w:sz w:val="19"/>
              </w:rPr>
              <w:t>Concentratie</w:t>
            </w:r>
          </w:p>
        </w:tc>
        <w:tc>
          <w:tcPr>
            <w:tcW w:type="dxa" w:w="4759"/>
          </w:tcPr>
          <w:p>
            <w:r/>
            <w:r>
              <w:rPr>
                <w:rFonts w:ascii="Calibri" w:hAnsi="Calibri"/>
                <w:b w:val="0"/>
                <w:color w:val="1F2937"/>
                <w:sz w:val="19"/>
              </w:rPr>
              <w:t>Resultaat ademhalingszone in mg/m³</w:t>
            </w:r>
          </w:p>
        </w:tc>
      </w:tr>
      <w:tr>
        <w:tc>
          <w:tcPr>
            <w:tcW w:type="dxa" w:w="4759"/>
          </w:tcPr>
          <w:p>
            <w:r/>
            <w:r>
              <w:rPr>
                <w:rFonts w:ascii="Calibri" w:hAnsi="Calibri"/>
                <w:b w:val="0"/>
                <w:color w:val="1F2937"/>
                <w:sz w:val="19"/>
              </w:rPr>
              <w:t>RPE-klasse</w:t>
            </w:r>
          </w:p>
        </w:tc>
        <w:tc>
          <w:tcPr>
            <w:tcW w:type="dxa" w:w="4759"/>
          </w:tcPr>
          <w:p>
            <w:r/>
            <w:r>
              <w:rPr>
                <w:rFonts w:ascii="Calibri" w:hAnsi="Calibri"/>
                <w:b w:val="0"/>
                <w:color w:val="1F2937"/>
                <w:sz w:val="19"/>
              </w:rPr>
              <w:t>Bandindeling conform Annex II</w:t>
            </w:r>
          </w:p>
        </w:tc>
      </w:tr>
      <w:tr>
        <w:tc>
          <w:tcPr>
            <w:tcW w:type="dxa" w:w="4759"/>
          </w:tcPr>
          <w:p>
            <w:r/>
            <w:r>
              <w:rPr>
                <w:rFonts w:ascii="Calibri" w:hAnsi="Calibri"/>
                <w:b w:val="0"/>
                <w:color w:val="1F2937"/>
                <w:sz w:val="19"/>
              </w:rPr>
              <w:t>Duur</w:t>
            </w:r>
          </w:p>
        </w:tc>
        <w:tc>
          <w:tcPr>
            <w:tcW w:type="dxa" w:w="4759"/>
          </w:tcPr>
          <w:p>
            <w:r/>
            <w:r>
              <w:rPr>
                <w:rFonts w:ascii="Calibri" w:hAnsi="Calibri"/>
                <w:b w:val="0"/>
                <w:color w:val="1F2937"/>
                <w:sz w:val="19"/>
              </w:rPr>
              <w:t>Blootstellingsduur in minuten of uren</w:t>
            </w:r>
          </w:p>
        </w:tc>
      </w:tr>
    </w:tbl>
    <w:p>
      <w:pPr>
        <w:spacing w:after="40"/>
      </w:pPr>
    </w:p>
    <w:p>
      <w:pPr>
        <w:pStyle w:val="Heading2"/>
      </w:pPr>
      <w:r>
        <w:t>3.3 Transportpassage Annex III “IBC tanks (ADR)” (audit R-03) [WET — ADR] — genuanceerd</w:t>
      </w:r>
    </w:p>
    <w:p>
      <w:pPr>
        <w:spacing w:after="120"/>
      </w:pPr>
      <w:r>
        <w:rPr>
          <w:rFonts w:ascii="Calibri" w:hAnsi="Calibri"/>
          <w:b/>
          <w:sz w:val="22"/>
        </w:rPr>
        <w:t xml:space="preserve">Locatie:  </w:t>
      </w:r>
      <w:r>
        <w:rPr>
          <w:rFonts w:ascii="Calibri" w:hAnsi="Calibri"/>
          <w:sz w:val="22"/>
        </w:rPr>
        <w:t>Annex III, vijfde bullet.</w:t>
      </w:r>
    </w:p>
    <w:p>
      <w:pPr>
        <w:spacing w:after="120"/>
      </w:pPr>
      <w:r>
        <w:rPr>
          <w:rFonts w:ascii="Calibri" w:hAnsi="Calibri"/>
          <w:b/>
          <w:sz w:val="22"/>
        </w:rPr>
        <w:t xml:space="preserve">Tekortkoming:  </w:t>
      </w:r>
      <w:r>
        <w:rPr>
          <w:rFonts w:ascii="Calibri" w:hAnsi="Calibri"/>
          <w:sz w:val="22"/>
        </w:rPr>
        <w:t>de huidige passage suggereert dat vloeibaar kwik in IBC's over de weg vervoerd kan worden. Het ADR sluit dit expliciet uit; voor zeetransport geldt het IMDG met vergelijkbare beperkingen.</w:t>
      </w:r>
    </w:p>
    <w:p>
      <w:pPr>
        <w:spacing w:after="120"/>
      </w:pPr>
      <w:r>
        <w:rPr>
          <w:rFonts w:ascii="Calibri" w:hAnsi="Calibri"/>
          <w:b/>
          <w:sz w:val="22"/>
        </w:rPr>
        <w:t xml:space="preserve">Voorgestelde proceduretekst:  </w:t>
      </w:r>
      <w:r>
        <w:rPr>
          <w:rFonts w:ascii="Calibri" w:hAnsi="Calibri"/>
          <w:sz w:val="22"/>
        </w:rPr>
      </w:r>
    </w:p>
    <w:p>
      <w:pPr>
        <w:pStyle w:val="ListBullet"/>
        <w:spacing w:after="60"/>
      </w:pPr>
      <w:r>
        <w:t>Vloeibaar kwik is ingedeeld als UN 2809, klasse 8, verpakkinggroep III, classificatiecode CT1, met gevaarslabels 8 en 6.1. Vervoer in IBC's, bulk en large packagings is volgens het ADR verboden. Voor zeetransport geldt het IMDG met dezelfde UN 2809-classificatie en verpakkingbeperkingen.</w:t>
      </w:r>
    </w:p>
    <w:p>
      <w:pPr>
        <w:pStyle w:val="ListBullet"/>
        <w:spacing w:after="60"/>
      </w:pPr>
      <w:r>
        <w:t>Vloeibare kwikresidu's worden uitsluitend vervoerd in UN-gecertificeerde stalen verpakkingen (PG III), dan wel afgevoerd via een erkende kwikverwerker of ophaalregeling.</w:t>
      </w:r>
    </w:p>
    <w:p>
      <w:pPr>
        <w:pStyle w:val="ListBullet"/>
        <w:spacing w:after="60"/>
      </w:pPr>
      <w:r>
        <w:t>Indien IBC's zijn bedoeld voor andere vloeistoffen (bijvoorbeeld spoel- of waswater): formuleer expliciet “voor zover geen vrij kwik aanwezig is en de inhoud niet onder UN 2809 valt”.</w:t>
      </w:r>
    </w:p>
    <w:p>
      <w:r>
        <w:br w:type="page"/>
      </w:r>
    </w:p>
    <w:p>
      <w:pPr>
        <w:pStyle w:val="Heading1"/>
      </w:pPr>
      <w:r>
        <w:t>4. Prioriteit 2 — Wettelijk verplicht / bindend</w:t>
      </w:r>
    </w:p>
    <w:p>
      <w:pPr>
        <w:pStyle w:val="Heading2"/>
      </w:pPr>
      <w:r>
        <w:t>4.1 CLP-hazardinformatie en etikettering (audit R-04) [WET — CLP]</w:t>
      </w:r>
    </w:p>
    <w:p>
      <w:pPr>
        <w:spacing w:after="120"/>
      </w:pPr>
      <w:r>
        <w:rPr>
          <w:rFonts w:ascii="Calibri" w:hAnsi="Calibri"/>
          <w:b/>
          <w:sz w:val="22"/>
        </w:rPr>
        <w:t xml:space="preserve">Locatie:  </w:t>
      </w:r>
      <w:r>
        <w:rPr>
          <w:rFonts w:ascii="Calibri" w:hAnsi="Calibri"/>
          <w:sz w:val="22"/>
        </w:rPr>
        <w:t>definities-tabel, uitbreiding.</w:t>
      </w:r>
    </w:p>
    <w:p>
      <w:pPr>
        <w:spacing w:after="120"/>
      </w:pPr>
      <w:r>
        <w:rPr>
          <w:rFonts w:ascii="Calibri" w:hAnsi="Calibri"/>
          <w:b/>
          <w:sz w:val="22"/>
        </w:rPr>
        <w:t xml:space="preserve">Voorgestelde proceduretekst:  </w:t>
      </w:r>
      <w:r>
        <w:rPr>
          <w:rFonts w:ascii="Calibri" w:hAnsi="Calibri"/>
          <w:sz w:val="22"/>
        </w:rPr>
        <w:t>voeg de onderstaande hazardinformatie aan de definities toe. Etiketeisen voor opslag- en transportverpakkingen volgen de CLP-verordening en, voor het transport, het ADR/IMDG. Etikettering wordt niet gedelegeerd zonder minimale inhoudseisen.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Veld</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Stof</w:t>
            </w:r>
          </w:p>
        </w:tc>
        <w:tc>
          <w:tcPr>
            <w:tcW w:type="dxa" w:w="4759"/>
          </w:tcPr>
          <w:p>
            <w:r/>
            <w:r>
              <w:rPr>
                <w:rFonts w:ascii="Calibri" w:hAnsi="Calibri"/>
                <w:b w:val="0"/>
                <w:color w:val="1F2937"/>
                <w:sz w:val="19"/>
              </w:rPr>
              <w:t>Kwik (mercury), metallisch</w:t>
            </w:r>
          </w:p>
        </w:tc>
      </w:tr>
      <w:tr>
        <w:tc>
          <w:tcPr>
            <w:tcW w:type="dxa" w:w="4759"/>
          </w:tcPr>
          <w:p>
            <w:r/>
            <w:r>
              <w:rPr>
                <w:rFonts w:ascii="Calibri" w:hAnsi="Calibri"/>
                <w:b w:val="0"/>
                <w:color w:val="1F2937"/>
                <w:sz w:val="19"/>
              </w:rPr>
              <w:t>CAS-nummer</w:t>
            </w:r>
          </w:p>
        </w:tc>
        <w:tc>
          <w:tcPr>
            <w:tcW w:type="dxa" w:w="4759"/>
          </w:tcPr>
          <w:p>
            <w:r/>
            <w:r>
              <w:rPr>
                <w:rFonts w:ascii="Calibri" w:hAnsi="Calibri"/>
                <w:b w:val="0"/>
                <w:color w:val="1F2937"/>
                <w:sz w:val="19"/>
              </w:rPr>
              <w:t>7439-97-6</w:t>
            </w:r>
          </w:p>
        </w:tc>
      </w:tr>
      <w:tr>
        <w:tc>
          <w:tcPr>
            <w:tcW w:type="dxa" w:w="4759"/>
          </w:tcPr>
          <w:p>
            <w:r/>
            <w:r>
              <w:rPr>
                <w:rFonts w:ascii="Calibri" w:hAnsi="Calibri"/>
                <w:b w:val="0"/>
                <w:color w:val="1F2937"/>
                <w:sz w:val="19"/>
              </w:rPr>
              <w:t>EG-nummer / Indexnummer</w:t>
            </w:r>
          </w:p>
        </w:tc>
        <w:tc>
          <w:tcPr>
            <w:tcW w:type="dxa" w:w="4759"/>
          </w:tcPr>
          <w:p>
            <w:r/>
            <w:r>
              <w:rPr>
                <w:rFonts w:ascii="Calibri" w:hAnsi="Calibri"/>
                <w:b w:val="0"/>
                <w:color w:val="1F2937"/>
                <w:sz w:val="19"/>
              </w:rPr>
              <w:t>231-106-7 / 080-001-00-0</w:t>
            </w:r>
          </w:p>
        </w:tc>
      </w:tr>
      <w:tr>
        <w:tc>
          <w:tcPr>
            <w:tcW w:type="dxa" w:w="4759"/>
          </w:tcPr>
          <w:p>
            <w:r/>
            <w:r>
              <w:rPr>
                <w:rFonts w:ascii="Calibri" w:hAnsi="Calibri"/>
                <w:b w:val="0"/>
                <w:color w:val="1F2937"/>
                <w:sz w:val="19"/>
              </w:rPr>
              <w:t>Classificatie (CLP Bijlage VI)</w:t>
            </w:r>
          </w:p>
        </w:tc>
        <w:tc>
          <w:tcPr>
            <w:tcW w:type="dxa" w:w="4759"/>
          </w:tcPr>
          <w:p>
            <w:r/>
            <w:r>
              <w:rPr>
                <w:rFonts w:ascii="Calibri" w:hAnsi="Calibri"/>
                <w:b w:val="0"/>
                <w:color w:val="1F2937"/>
                <w:sz w:val="19"/>
              </w:rPr>
              <w:t>Repr. 1B (H360D); STOT RE 1 (H372); Aquatic Acute 1 (H400); Aquatic Chronic 1 (H410)</w:t>
            </w:r>
          </w:p>
        </w:tc>
      </w:tr>
      <w:tr>
        <w:tc>
          <w:tcPr>
            <w:tcW w:type="dxa" w:w="4759"/>
          </w:tcPr>
          <w:p>
            <w:r/>
            <w:r>
              <w:rPr>
                <w:rFonts w:ascii="Calibri" w:hAnsi="Calibri"/>
                <w:b w:val="0"/>
                <w:color w:val="1F2937"/>
                <w:sz w:val="19"/>
              </w:rPr>
              <w:t>Signaalwoord</w:t>
            </w:r>
          </w:p>
        </w:tc>
        <w:tc>
          <w:tcPr>
            <w:tcW w:type="dxa" w:w="4759"/>
          </w:tcPr>
          <w:p>
            <w:r/>
            <w:r>
              <w:rPr>
                <w:rFonts w:ascii="Calibri" w:hAnsi="Calibri"/>
                <w:b w:val="0"/>
                <w:color w:val="1F2937"/>
                <w:sz w:val="19"/>
              </w:rPr>
              <w:t>Danger (Gevaar)</w:t>
            </w:r>
          </w:p>
        </w:tc>
      </w:tr>
      <w:tr>
        <w:tc>
          <w:tcPr>
            <w:tcW w:type="dxa" w:w="4759"/>
          </w:tcPr>
          <w:p>
            <w:r/>
            <w:r>
              <w:rPr>
                <w:rFonts w:ascii="Calibri" w:hAnsi="Calibri"/>
                <w:b w:val="0"/>
                <w:color w:val="1F2937"/>
                <w:sz w:val="19"/>
              </w:rPr>
              <w:t>Pictogrammen</w:t>
            </w:r>
          </w:p>
        </w:tc>
        <w:tc>
          <w:tcPr>
            <w:tcW w:type="dxa" w:w="4759"/>
          </w:tcPr>
          <w:p>
            <w:r/>
            <w:r>
              <w:rPr>
                <w:rFonts w:ascii="Calibri" w:hAnsi="Calibri"/>
                <w:b w:val="0"/>
                <w:color w:val="1F2937"/>
                <w:sz w:val="19"/>
              </w:rPr>
              <w:t>GHS08 en GHS09</w:t>
            </w:r>
          </w:p>
        </w:tc>
      </w:tr>
      <w:tr>
        <w:tc>
          <w:tcPr>
            <w:tcW w:type="dxa" w:w="4759"/>
          </w:tcPr>
          <w:p>
            <w:r/>
            <w:r>
              <w:rPr>
                <w:rFonts w:ascii="Calibri" w:hAnsi="Calibri"/>
                <w:b w:val="0"/>
                <w:color w:val="1F2937"/>
                <w:sz w:val="19"/>
              </w:rPr>
              <w:t>H-zinnen</w:t>
            </w:r>
          </w:p>
        </w:tc>
        <w:tc>
          <w:tcPr>
            <w:tcW w:type="dxa" w:w="4759"/>
          </w:tcPr>
          <w:p>
            <w:r/>
            <w:r>
              <w:rPr>
                <w:rFonts w:ascii="Calibri" w:hAnsi="Calibri"/>
                <w:b w:val="0"/>
                <w:color w:val="1F2937"/>
                <w:sz w:val="19"/>
              </w:rPr>
              <w:t>H360D, H372, H400, H410</w:t>
            </w:r>
          </w:p>
        </w:tc>
      </w:tr>
      <w:tr>
        <w:tc>
          <w:tcPr>
            <w:tcW w:type="dxa" w:w="4759"/>
          </w:tcPr>
          <w:p>
            <w:r/>
            <w:r>
              <w:rPr>
                <w:rFonts w:ascii="Calibri" w:hAnsi="Calibri"/>
                <w:b w:val="0"/>
                <w:color w:val="1F2937"/>
                <w:sz w:val="19"/>
              </w:rPr>
              <w:t>P-zinnen</w:t>
            </w:r>
          </w:p>
        </w:tc>
        <w:tc>
          <w:tcPr>
            <w:tcW w:type="dxa" w:w="4759"/>
          </w:tcPr>
          <w:p>
            <w:r/>
            <w:r>
              <w:rPr>
                <w:rFonts w:ascii="Calibri" w:hAnsi="Calibri"/>
                <w:b w:val="0"/>
                <w:color w:val="1F2937"/>
                <w:sz w:val="19"/>
              </w:rPr>
              <w:t>Conform de SDS (verkrijgbaar via Logistics)</w:t>
            </w:r>
          </w:p>
        </w:tc>
      </w:tr>
    </w:tbl>
    <w:p>
      <w:pPr>
        <w:spacing w:after="40"/>
      </w:pPr>
    </w:p>
    <w:p>
      <w:pPr>
        <w:pStyle w:val="Heading2"/>
      </w:pPr>
      <w:r>
        <w:t>4.2 Fit-test RPE (audit R-05) [NORM/AI-18]</w:t>
      </w:r>
    </w:p>
    <w:p>
      <w:pPr>
        <w:spacing w:after="120"/>
      </w:pPr>
      <w:r>
        <w:rPr>
          <w:rFonts w:ascii="Calibri" w:hAnsi="Calibri"/>
          <w:b/>
          <w:sz w:val="22"/>
        </w:rPr>
        <w:t xml:space="preserve">Locatie:  </w:t>
      </w:r>
      <w:r>
        <w:rPr>
          <w:rFonts w:ascii="Calibri" w:hAnsi="Calibri"/>
          <w:sz w:val="22"/>
        </w:rPr>
        <w:t>Annex II, toevoeging.</w:t>
      </w:r>
    </w:p>
    <w:p>
      <w:pPr>
        <w:spacing w:after="120"/>
      </w:pPr>
      <w:r>
        <w:rPr>
          <w:rFonts w:ascii="Calibri" w:hAnsi="Calibri"/>
          <w:b/>
          <w:sz w:val="22"/>
        </w:rPr>
        <w:t xml:space="preserve">Voorgestelde proceduretekst:  </w:t>
      </w:r>
      <w:r>
        <w:rPr>
          <w:rFonts w:ascii="Calibri" w:hAnsi="Calibri"/>
          <w:sz w:val="22"/>
        </w:rPr>
        <w:t>“Gebruikers van tight-fitting RPE (half- en volgelaatsmaskers) dienen een geslaagde fit-test te hebben overeenkomstig geldende normpraktijk. De fit-test wordt herhaald bij wisseling van type of model masker en periodiek.” Voeg daarnaast een Ex-geschikt meetmiddel toe (audit R-11), zodat metingen in ATEX-gebied uitvoerbaar blijven.</w:t>
      </w:r>
    </w:p>
    <w:p>
      <w:pPr>
        <w:pStyle w:val="Heading2"/>
      </w:pPr>
      <w:r>
        <w:t>4.3 RI&amp;E/TRA-koppeling (audit R-06) [WET]</w:t>
      </w:r>
    </w:p>
    <w:p>
      <w:pPr>
        <w:spacing w:after="120"/>
      </w:pPr>
      <w:r>
        <w:rPr>
          <w:rFonts w:ascii="Calibri" w:hAnsi="Calibri"/>
          <w:b/>
          <w:sz w:val="22"/>
        </w:rPr>
        <w:t xml:space="preserve">Locatie:  </w:t>
      </w:r>
      <w:r>
        <w:rPr>
          <w:rFonts w:ascii="Calibri" w:hAnsi="Calibri"/>
          <w:sz w:val="22"/>
        </w:rPr>
        <w:t>sectie 1 of 5, toevoeging.</w:t>
      </w:r>
    </w:p>
    <w:p>
      <w:pPr>
        <w:spacing w:after="120"/>
      </w:pPr>
      <w:r>
        <w:rPr>
          <w:rFonts w:ascii="Calibri" w:hAnsi="Calibri"/>
          <w:b/>
          <w:sz w:val="22"/>
        </w:rPr>
        <w:t xml:space="preserve">Voorgestelde proceduretekst:  </w:t>
      </w:r>
      <w:r>
        <w:rPr>
          <w:rFonts w:ascii="Calibri" w:hAnsi="Calibri"/>
          <w:sz w:val="22"/>
        </w:rPr>
        <w:t>“De meetstrategie en beheersmaatregelen volgen uit de project-TRA en de RI&amp;E-afsplitsing gevaarlijke stoffen. De TRA bevat minimaal de kwikbronnen, de blootstellingsroutes en de blootstellingsduur per activiteit.”</w:t>
      </w:r>
    </w:p>
    <w:p>
      <w:pPr>
        <w:pStyle w:val="Heading2"/>
      </w:pPr>
      <w:r>
        <w:t>4.4 Mijnbouwwet en referenties (audit R-07) [WET]</w:t>
      </w:r>
    </w:p>
    <w:p>
      <w:pPr>
        <w:spacing w:after="120"/>
      </w:pPr>
      <w:r>
        <w:rPr>
          <w:rFonts w:ascii="Calibri" w:hAnsi="Calibri"/>
          <w:b/>
          <w:sz w:val="22"/>
        </w:rPr>
        <w:t xml:space="preserve">Locatie:  </w:t>
      </w:r>
      <w:r>
        <w:rPr>
          <w:rFonts w:ascii="Calibri" w:hAnsi="Calibri"/>
          <w:sz w:val="22"/>
        </w:rPr>
        <w:t>referentielijst, uitbreiding.</w:t>
      </w:r>
    </w:p>
    <w:p>
      <w:pPr>
        <w:spacing w:after="120"/>
      </w:pPr>
      <w:r>
        <w:rPr>
          <w:rFonts w:ascii="Calibri" w:hAnsi="Calibri"/>
          <w:b/>
          <w:sz w:val="22"/>
        </w:rPr>
        <w:t xml:space="preserve">Voorgestelde proceduretekst:  </w:t>
      </w:r>
      <w:r>
        <w:rPr>
          <w:rFonts w:ascii="Calibri" w:hAnsi="Calibri"/>
          <w:sz w:val="22"/>
        </w:rPr>
        <w:t>voeg toe de Mijnbouwwet — arbeidsomstandigheden bij mijnbouwinstallaties op het Nederlandse continentale plat, handhaving door Staatstoezicht op de Mijnen — en de NOGEPA-richtlijnen (audit R-12).</w:t>
      </w:r>
    </w:p>
    <w:p>
      <w:pPr>
        <w:pStyle w:val="Heading1"/>
      </w:pPr>
      <w:r>
        <w:t>5. Prioriteit 3 — Verifieerbaarheid en robuustheid</w:t>
      </w:r>
    </w:p>
    <w:p>
      <w:pPr>
        <w:pStyle w:val="Heading2"/>
      </w:pPr>
      <w:r>
        <w:t>5.1 Training inhoudelijk verankeren (audit R-08) [WET]</w:t>
      </w:r>
    </w:p>
    <w:p>
      <w:pPr>
        <w:spacing w:after="120"/>
      </w:pPr>
      <w:r>
        <w:rPr>
          <w:rFonts w:ascii="Calibri" w:hAnsi="Calibri"/>
          <w:b/>
          <w:sz w:val="22"/>
        </w:rPr>
        <w:t xml:space="preserve">Locatie:  </w:t>
      </w:r>
      <w:r>
        <w:rPr>
          <w:rFonts w:ascii="Calibri" w:hAnsi="Calibri"/>
          <w:sz w:val="22"/>
        </w:rPr>
        <w:t>RASCI-matrix, uitwerking van de trainingsrij.</w:t>
      </w:r>
    </w:p>
    <w:p>
      <w:pPr>
        <w:spacing w:after="120"/>
      </w:pPr>
      <w:r>
        <w:rPr>
          <w:rFonts w:ascii="Calibri" w:hAnsi="Calibri"/>
          <w:b/>
          <w:sz w:val="22"/>
        </w:rPr>
        <w:t xml:space="preserve">Voorgestelde proceduretekst:  </w:t>
      </w:r>
      <w:r>
        <w:rPr>
          <w:rFonts w:ascii="Calibri" w:hAnsi="Calibri"/>
          <w:sz w:val="22"/>
        </w:rPr>
        <w:t>training vóór eerste inzet op kwikwerk, met periodieke herhaling (jaarlijks). Vaste onderwerpen: symptomen van kwikblootstelling, persoonlijke hygiëne, PBM-gebruik, meetuitvoering en spill-response. Voltooiing wordt vastgelegd als competentiebewijs in het persoonlijke dossier.</w:t>
      </w:r>
    </w:p>
    <w:p>
      <w:pPr>
        <w:pStyle w:val="Heading2"/>
      </w:pPr>
      <w:r>
        <w:t>5.2 Calamiteiten en EMVI uitbreiden (audit R-09) [WET/AI-31]</w:t>
      </w:r>
    </w:p>
    <w:p>
      <w:pPr>
        <w:spacing w:after="120"/>
      </w:pPr>
      <w:r>
        <w:rPr>
          <w:rFonts w:ascii="Calibri" w:hAnsi="Calibri"/>
          <w:b/>
          <w:sz w:val="22"/>
        </w:rPr>
        <w:t xml:space="preserve">Locatie:  </w:t>
      </w:r>
      <w:r>
        <w:rPr>
          <w:rFonts w:ascii="Calibri" w:hAnsi="Calibri"/>
          <w:sz w:val="22"/>
        </w:rPr>
        <w:t>nieuwe subsectie 8.3 “Emergency Response — Mercury Exposure”.</w:t>
      </w:r>
    </w:p>
    <w:p>
      <w:pPr>
        <w:spacing w:after="120"/>
      </w:pPr>
      <w:r>
        <w:rPr>
          <w:rFonts w:ascii="Calibri" w:hAnsi="Calibri"/>
          <w:b/>
          <w:sz w:val="22"/>
        </w:rPr>
        <w:t xml:space="preserve">Voorgestelde proceduretekst:  </w:t>
      </w:r>
      <w:r>
        <w:rPr>
          <w:rFonts w:ascii="Calibri" w:hAnsi="Calibri"/>
          <w:sz w:val="22"/>
        </w:rPr>
        <w:t>acute symptoomherkenning (ademhalingsklachten, hoofdpijn, tandvleesklachten); eerste hulp: overbrengen naar frisse lucht en verplichte medische beoordeling; alarmlijn naar QHSE en bedrijfsarts; elke blootstelling wordt binnen 30 minuten gemeld bij QHSE; koppeling met de incident investigation procedure.</w:t>
      </w:r>
    </w:p>
    <w:p>
      <w:pPr>
        <w:pStyle w:val="Heading2"/>
      </w:pPr>
      <w:r>
        <w:t>5.3 Afvalstroomdocumentatie (audit R-10) [WET Bal/EU]</w:t>
      </w:r>
    </w:p>
    <w:p>
      <w:pPr>
        <w:spacing w:after="120"/>
      </w:pPr>
      <w:r>
        <w:rPr>
          <w:rFonts w:ascii="Calibri" w:hAnsi="Calibri"/>
          <w:b/>
          <w:sz w:val="22"/>
        </w:rPr>
        <w:t xml:space="preserve">Locatie:  </w:t>
      </w:r>
      <w:r>
        <w:rPr>
          <w:rFonts w:ascii="Calibri" w:hAnsi="Calibri"/>
          <w:sz w:val="22"/>
        </w:rPr>
        <w:t>sectie 8.2, uitbreiding.</w:t>
      </w:r>
    </w:p>
    <w:p>
      <w:pPr>
        <w:spacing w:after="120"/>
      </w:pPr>
      <w:r>
        <w:rPr>
          <w:rFonts w:ascii="Calibri" w:hAnsi="Calibri"/>
          <w:b/>
          <w:sz w:val="22"/>
        </w:rPr>
        <w:t xml:space="preserve">Voorgestelde proceduretekst:  </w:t>
      </w:r>
      <w:r>
        <w:rPr>
          <w:rFonts w:ascii="Calibri" w:hAnsi="Calibri"/>
          <w:sz w:val="22"/>
        </w:rPr>
        <w:t>afvoer uitsluitend via een erkende en gecertificeerde verwerker. Bij elke zending zijn begeleidings- en afvalstroomdocumentatie aanwezig met Eural-codering (bijv. 06 04 20*, kwikhoudende anorganische afvalstoffen); een kopie wordt opgenomen in het projectdossier.</w:t>
      </w:r>
    </w:p>
    <w:p>
      <w:r>
        <w:br w:type="page"/>
      </w:r>
    </w:p>
    <w:p>
      <w:pPr>
        <w:pStyle w:val="Heading1"/>
      </w:pPr>
      <w:r>
        <w:t>6. Punt 11 — Aanvullende herzieningspunten uit de four-eyes review</w:t>
      </w:r>
    </w:p>
    <w:p>
      <w:pPr>
        <w:pStyle w:val="Heading2"/>
      </w:pPr>
      <w:r>
        <w:t>6.1 G-01 (midden) — Interne tegenstrijdigheid in 8.1.1</w:t>
      </w:r>
    </w:p>
    <w:p>
      <w:pPr>
        <w:spacing w:after="120"/>
      </w:pPr>
      <w:r>
        <w:rPr>
          <w:rFonts w:ascii="Calibri" w:hAnsi="Calibri"/>
          <w:b/>
          <w:sz w:val="22"/>
        </w:rPr>
        <w:t xml:space="preserve">Tekortkoming:  </w:t>
      </w:r>
      <w:r>
        <w:rPr>
          <w:rFonts w:ascii="Calibri" w:hAnsi="Calibri"/>
          <w:sz w:val="22"/>
        </w:rPr>
        <w:t>de formulering “may be considered mercury-free” in sectie 8.1.1 staat in tegenspraak met sectie 4 (“air monitoring alone does not confirm mercury-free”) en met 8.1.5 (herbesmettingsrisico).</w:t>
      </w:r>
    </w:p>
    <w:p>
      <w:pPr>
        <w:spacing w:after="120"/>
      </w:pPr>
      <w:r>
        <w:rPr>
          <w:rFonts w:ascii="Calibri" w:hAnsi="Calibri"/>
          <w:b/>
          <w:sz w:val="22"/>
        </w:rPr>
        <w:t xml:space="preserve">Voorgestelde proceduretekst:  </w:t>
      </w:r>
      <w:r>
        <w:rPr>
          <w:rFonts w:ascii="Calibri" w:hAnsi="Calibri"/>
          <w:sz w:val="22"/>
        </w:rPr>
        <w:t>“Materiaal kan uitsluitend als kwikvrij worden beschouwd na volledige decontaminatie en bevestiging door een gekwalificeerd laboratorium.” De huidige formulering wordt daarmee genüanceerd en consistent met sectie 4 en 8.1.5.</w:t>
      </w:r>
    </w:p>
    <w:p>
      <w:pPr>
        <w:pStyle w:val="Heading2"/>
      </w:pPr>
      <w:r>
        <w:t>6.2 G-02 (midden) — Zwangerschaps- en reproductiebeleid</w:t>
      </w:r>
    </w:p>
    <w:p>
      <w:pPr>
        <w:spacing w:after="120"/>
      </w:pPr>
      <w:r>
        <w:rPr>
          <w:rFonts w:ascii="Calibri" w:hAnsi="Calibri"/>
          <w:b/>
          <w:sz w:val="22"/>
        </w:rPr>
        <w:t xml:space="preserve">Tekortkoming:  </w:t>
      </w:r>
      <w:r>
        <w:rPr>
          <w:rFonts w:ascii="Calibri" w:hAnsi="Calibri"/>
          <w:sz w:val="22"/>
        </w:rPr>
        <w:t>ondanks de classificatie Repr. 1B (H360D) ontbreekt een zwangerschaps- en reproductiebeleid. Arbobesluit art. 2.35 vereist een risicogroepenbeoordeling zodra blootstelling aan reprotoxische stoffen niet is uitgesloten.</w:t>
      </w:r>
    </w:p>
    <w:p>
      <w:pPr>
        <w:spacing w:after="120"/>
      </w:pPr>
      <w:r>
        <w:rPr>
          <w:rFonts w:ascii="Calibri" w:hAnsi="Calibri"/>
          <w:b/>
          <w:sz w:val="22"/>
        </w:rPr>
        <w:t xml:space="preserve">Voorgestelde proceduretekst (nieuwe sectie 5.6 “Pregnancy and Reproductive Health”):  </w:t>
      </w:r>
      <w:r>
        <w:rPr>
          <w:rFonts w:ascii="Calibri" w:hAnsi="Calibri"/>
          <w:sz w:val="22"/>
        </w:rPr>
        <w:t>zwangere werknemers en werknemers die borstvoeding geven worden niet ingezet in de kwik-werkzone; hen worden alternatieve taken aangeboden; consultatie van de bedrijfsarts is verplicht vóór herpositievering.</w:t>
      </w:r>
    </w:p>
    <w:p>
      <w:pPr>
        <w:pStyle w:val="Heading2"/>
      </w:pPr>
      <w:r>
        <w:t>6.3 G-03 (laag-midden) — Monstervervoer</w:t>
      </w:r>
    </w:p>
    <w:p>
      <w:pPr>
        <w:spacing w:after="120"/>
      </w:pPr>
      <w:r>
        <w:rPr>
          <w:rFonts w:ascii="Calibri" w:hAnsi="Calibri"/>
          <w:b/>
          <w:sz w:val="22"/>
        </w:rPr>
        <w:t xml:space="preserve">Tekortkoming:  </w:t>
      </w:r>
      <w:r>
        <w:rPr>
          <w:rFonts w:ascii="Calibri" w:hAnsi="Calibri"/>
          <w:sz w:val="22"/>
        </w:rPr>
        <w:t>het vervoer van kwikhoudende monsters (bijv. laboratoriumzendingen naar SGS/NRG) is niet geregeld.</w:t>
      </w:r>
    </w:p>
    <w:p>
      <w:pPr>
        <w:spacing w:after="120"/>
      </w:pPr>
      <w:r>
        <w:rPr>
          <w:rFonts w:ascii="Calibri" w:hAnsi="Calibri"/>
          <w:b/>
          <w:sz w:val="22"/>
        </w:rPr>
        <w:t xml:space="preserve">Voorgestelde proceduretekst (nieuwe subsectie 6.6 “Sample Transport”):  </w:t>
      </w:r>
      <w:r>
        <w:rPr>
          <w:rFonts w:ascii="Calibri" w:hAnsi="Calibri"/>
          <w:sz w:val="22"/>
        </w:rPr>
        <w:t>verzending van kwikhoudende monsters uitsluitend in UN-gecertificeerde verpakkingen conform ADR/IMDG, met volledige transportdocumentatie: UN-nummer, klasse, verpakkinggroep en etikettering.</w:t>
      </w:r>
    </w:p>
    <w:p>
      <w:pPr>
        <w:pStyle w:val="Heading1"/>
      </w:pPr>
      <w:r>
        <w:t>7. Vastgestelde sterke punten — ongewijzigd behouden</w:t>
      </w:r>
    </w:p>
    <w:p>
      <w:pPr>
        <w:spacing w:after="120"/>
      </w:pPr>
      <w:r>
        <w:rPr>
          <w:rFonts w:ascii="Calibri" w:hAnsi="Calibri"/>
          <w:b w:val="0"/>
          <w:i w:val="0"/>
          <w:sz w:val="22"/>
        </w:rPr>
        <w:t>Onderstaande elementen van de procedure voldoen en blijven ongewijzigd:</w:t>
      </w:r>
    </w:p>
    <w:p>
      <w:pPr>
        <w:pStyle w:val="ListBullet"/>
        <w:spacing w:after="60"/>
      </w:pPr>
      <w:r>
        <w:t>Grenswaarde 0,02 mg/m³ zonder STEL, conform de geldende grenswaardenregelgeving.</w:t>
      </w:r>
    </w:p>
    <w:p>
      <w:pPr>
        <w:pStyle w:val="ListBullet"/>
        <w:spacing w:after="60"/>
      </w:pPr>
      <w:r>
        <w:t>Meetfrequenties inclusief hermeet-triggers.</w:t>
      </w:r>
    </w:p>
    <w:p>
      <w:pPr>
        <w:pStyle w:val="ListBullet"/>
        <w:spacing w:after="60"/>
      </w:pPr>
      <w:r>
        <w:t>RPE-bandindeling in Annex II, inclusief filterduur van twee werkdagen en rotatieschema's.</w:t>
      </w:r>
    </w:p>
    <w:p>
      <w:pPr>
        <w:pStyle w:val="ListBullet"/>
        <w:spacing w:after="60"/>
      </w:pPr>
      <w:r>
        <w:t>Toepassing van de beheersmaatregelenhiërarchie (eliminatie, substitutie, technische en organisatorische maatregelen, PBM).</w:t>
      </w:r>
    </w:p>
    <w:p>
      <w:pPr>
        <w:pStyle w:val="ListBullet"/>
        <w:spacing w:after="60"/>
      </w:pPr>
      <w:r>
        <w:t>Hygiëneprotocol en herbesmettingsbewustzijn.</w:t>
      </w:r>
    </w:p>
    <w:p>
      <w:pPr>
        <w:pStyle w:val="ListBullet"/>
        <w:spacing w:after="60"/>
      </w:pPr>
      <w:r>
        <w:t>Eural 3%-drempel voor de afvalstromenclassificatie.</w:t>
      </w:r>
    </w:p>
    <w:p>
      <w:pPr>
        <w:pStyle w:val="ListBullet"/>
        <w:spacing w:after="60"/>
      </w:pPr>
      <w:r>
        <w:t>Verpakkingsstandaard (blindflensen, pondliner-skip).</w:t>
      </w:r>
    </w:p>
    <w:p>
      <w:pPr>
        <w:pStyle w:val="ListBullet"/>
        <w:spacing w:after="60"/>
      </w:pPr>
      <w:r>
        <w:t>LSA/Mercury/Benzene Statement Card.</w:t>
      </w:r>
    </w:p>
    <w:p>
      <w:pPr>
        <w:pStyle w:val="Heading1"/>
      </w:pPr>
      <w:r>
        <w:t>8. Verificatiepunten voor de redacteur (actie, geen tekstaanpassing)</w:t>
      </w:r>
    </w:p>
    <w:p>
      <w:pPr>
        <w:pStyle w:val="ListNumber"/>
        <w:spacing w:after="60"/>
      </w:pPr>
      <w:r>
        <w:t>IBC-transport (R-03): interne check bij Logistics Den Helder wat er feitelijk wordt vervoerd; conclusie verwerken in de procedure.</w:t>
      </w:r>
    </w:p>
    <w:p>
      <w:pPr>
        <w:pStyle w:val="ListNumber"/>
        <w:spacing w:after="60"/>
      </w:pPr>
      <w:r>
        <w:t>Walafhandeling definitieve opslag: partij-afhankelijk; per project vastleggen.</w:t>
      </w:r>
    </w:p>
    <w:p>
      <w:pPr>
        <w:pStyle w:val="ListNumber"/>
        <w:spacing w:after="60"/>
      </w:pPr>
      <w:r>
        <w:t>Kalibratie en onderhoud Jerome J405 en Dräg: aantoonbaar maken middels kalibratiecertificaten.</w:t>
      </w:r>
    </w:p>
    <w:p>
      <w:pPr>
        <w:pStyle w:val="ListNumber"/>
        <w:spacing w:after="60"/>
      </w:pPr>
      <w:r>
        <w:t>Accreditatie laboratoria (SGS/NRG): ISO 17025-verificatie opnemen in de leveranciersbeoordeling.</w:t>
      </w:r>
    </w:p>
    <w:p>
      <w:r>
        <w:br w:type="page"/>
      </w:r>
    </w:p>
    <w:p>
      <w:pPr>
        <w:pStyle w:val="Heading1"/>
      </w:pPr>
      <w:r>
        <w:t>9. Implementation Roadmap</w:t>
      </w:r>
    </w:p>
    <w:p>
      <w:pPr>
        <w:spacing w:after="120"/>
      </w:pPr>
      <w:r>
        <w:rPr>
          <w:rFonts w:ascii="Calibri" w:hAnsi="Calibri"/>
          <w:b w:val="0"/>
          <w:i w:val="0"/>
          <w:sz w:val="22"/>
        </w:rPr>
        <w:t>De roadmap doorloopt vier fasen van spoedimplementatie tot volledige consolidatie. De gemiddelde doorlooptijd bedraagt circa tien weken na vrijgave van dit voorstel. Eigenaar van de roadmap is de QHSE Manager van Koole; JvG Consultancy verzorgt de review na elke fase.</w:t>
      </w:r>
    </w:p>
    <w:tbl>
      <w:tblPr>
        <w:tblStyle w:val="TableGrid"/>
        <w:tblW w:type="auto" w:w="0"/>
        <w:jc w:val="center"/>
        <w:tblLook w:firstColumn="1" w:firstRow="1" w:lastColumn="0" w:lastRow="0" w:noHBand="0" w:noVBand="1" w:val="04A0"/>
      </w:tblPr>
      <w:tblGrid>
        <w:gridCol w:w="1586"/>
        <w:gridCol w:w="1586"/>
        <w:gridCol w:w="1586"/>
        <w:gridCol w:w="1586"/>
        <w:gridCol w:w="1586"/>
        <w:gridCol w:w="1586"/>
      </w:tblGrid>
      <w:tr>
        <w:tc>
          <w:tcPr>
            <w:tcW w:type="dxa" w:w="1586"/>
            <w:shd w:val="clear" w:color="auto" w:fill="003366"/>
          </w:tcPr>
          <w:p>
            <w:r/>
            <w:r>
              <w:rPr>
                <w:rFonts w:ascii="Calibri" w:hAnsi="Calibri"/>
                <w:b/>
                <w:color w:val="FFFFFF"/>
                <w:sz w:val="19"/>
              </w:rPr>
              <w:t>Fase</w:t>
            </w:r>
          </w:p>
        </w:tc>
        <w:tc>
          <w:tcPr>
            <w:tcW w:type="dxa" w:w="1586"/>
            <w:shd w:val="clear" w:color="auto" w:fill="003366"/>
          </w:tcPr>
          <w:p>
            <w:r/>
            <w:r>
              <w:rPr>
                <w:rFonts w:ascii="Calibri" w:hAnsi="Calibri"/>
                <w:b/>
                <w:color w:val="FFFFFF"/>
                <w:sz w:val="19"/>
              </w:rPr>
              <w:t>Revisie</w:t>
            </w:r>
          </w:p>
        </w:tc>
        <w:tc>
          <w:tcPr>
            <w:tcW w:type="dxa" w:w="1586"/>
            <w:shd w:val="clear" w:color="auto" w:fill="003366"/>
          </w:tcPr>
          <w:p>
            <w:r/>
            <w:r>
              <w:rPr>
                <w:rFonts w:ascii="Calibri" w:hAnsi="Calibri"/>
                <w:b/>
                <w:color w:val="FFFFFF"/>
                <w:sz w:val="19"/>
              </w:rPr>
              <w:t>Onderwerpen</w:t>
            </w:r>
          </w:p>
        </w:tc>
        <w:tc>
          <w:tcPr>
            <w:tcW w:type="dxa" w:w="1586"/>
            <w:shd w:val="clear" w:color="auto" w:fill="003366"/>
          </w:tcPr>
          <w:p>
            <w:r/>
            <w:r>
              <w:rPr>
                <w:rFonts w:ascii="Calibri" w:hAnsi="Calibri"/>
                <w:b/>
                <w:color w:val="FFFFFF"/>
                <w:sz w:val="19"/>
              </w:rPr>
              <w:t>Doorlooptijd</w:t>
            </w:r>
          </w:p>
        </w:tc>
        <w:tc>
          <w:tcPr>
            <w:tcW w:type="dxa" w:w="1586"/>
            <w:shd w:val="clear" w:color="auto" w:fill="003366"/>
          </w:tcPr>
          <w:p>
            <w:r/>
            <w:r>
              <w:rPr>
                <w:rFonts w:ascii="Calibri" w:hAnsi="Calibri"/>
                <w:b/>
                <w:color w:val="FFFFFF"/>
                <w:sz w:val="19"/>
              </w:rPr>
              <w:t>Einddatum (richtlijn)</w:t>
            </w:r>
          </w:p>
        </w:tc>
        <w:tc>
          <w:tcPr>
            <w:tcW w:type="dxa" w:w="1586"/>
            <w:shd w:val="clear" w:color="auto" w:fill="003366"/>
          </w:tcPr>
          <w:p>
            <w:r/>
            <w:r>
              <w:rPr>
                <w:rFonts w:ascii="Calibri" w:hAnsi="Calibri"/>
                <w:b/>
                <w:color w:val="FFFFFF"/>
                <w:sz w:val="19"/>
              </w:rPr>
              <w:t>Eigenaar</w:t>
            </w:r>
          </w:p>
        </w:tc>
      </w:tr>
      <w:tr>
        <w:tc>
          <w:tcPr>
            <w:tcW w:type="dxa" w:w="1586"/>
          </w:tcPr>
          <w:p>
            <w:r/>
            <w:r>
              <w:rPr>
                <w:rFonts w:ascii="Calibri" w:hAnsi="Calibri"/>
                <w:b w:val="0"/>
                <w:color w:val="1F2937"/>
                <w:sz w:val="19"/>
              </w:rPr>
              <w:t>1 — Spoed</w:t>
            </w:r>
          </w:p>
        </w:tc>
        <w:tc>
          <w:tcPr>
            <w:tcW w:type="dxa" w:w="1586"/>
          </w:tcPr>
          <w:p>
            <w:r/>
            <w:r>
              <w:rPr>
                <w:rFonts w:ascii="Calibri" w:hAnsi="Calibri"/>
                <w:b w:val="0"/>
                <w:color w:val="1F2937"/>
                <w:sz w:val="19"/>
              </w:rPr>
              <w:t>Rev 2</w:t>
            </w:r>
          </w:p>
        </w:tc>
        <w:tc>
          <w:tcPr>
            <w:tcW w:type="dxa" w:w="1586"/>
          </w:tcPr>
          <w:p>
            <w:r/>
            <w:r>
              <w:rPr>
                <w:rFonts w:ascii="Calibri" w:hAnsi="Calibri"/>
                <w:b w:val="0"/>
                <w:color w:val="1F2937"/>
                <w:sz w:val="19"/>
              </w:rPr>
              <w:t>P1: medische surveillance, blootstellingsregister, ADR/IMDG-nuancering</w:t>
            </w:r>
          </w:p>
        </w:tc>
        <w:tc>
          <w:tcPr>
            <w:tcW w:type="dxa" w:w="1586"/>
          </w:tcPr>
          <w:p>
            <w:r/>
            <w:r>
              <w:rPr>
                <w:rFonts w:ascii="Calibri" w:hAnsi="Calibri"/>
                <w:b w:val="0"/>
                <w:color w:val="1F2937"/>
                <w:sz w:val="19"/>
              </w:rPr>
              <w:t>1 week</w:t>
            </w:r>
          </w:p>
        </w:tc>
        <w:tc>
          <w:tcPr>
            <w:tcW w:type="dxa" w:w="1586"/>
          </w:tcPr>
          <w:p>
            <w:r/>
            <w:r>
              <w:rPr>
                <w:rFonts w:ascii="Calibri" w:hAnsi="Calibri"/>
                <w:b w:val="0"/>
                <w:color w:val="1F2937"/>
                <w:sz w:val="19"/>
              </w:rPr>
              <w:t>01-09-2026</w:t>
            </w:r>
          </w:p>
        </w:tc>
        <w:tc>
          <w:tcPr>
            <w:tcW w:type="dxa" w:w="1586"/>
          </w:tcPr>
          <w:p>
            <w:r/>
            <w:r>
              <w:rPr>
                <w:rFonts w:ascii="Calibri" w:hAnsi="Calibri"/>
                <w:b w:val="0"/>
                <w:color w:val="1F2937"/>
                <w:sz w:val="19"/>
              </w:rPr>
              <w:t>QHSE Manager</w:t>
            </w:r>
          </w:p>
        </w:tc>
      </w:tr>
      <w:tr>
        <w:tc>
          <w:tcPr>
            <w:tcW w:type="dxa" w:w="1586"/>
          </w:tcPr>
          <w:p>
            <w:r/>
            <w:r>
              <w:rPr>
                <w:rFonts w:ascii="Calibri" w:hAnsi="Calibri"/>
                <w:b w:val="0"/>
                <w:color w:val="1F2937"/>
                <w:sz w:val="19"/>
              </w:rPr>
              <w:t>2 — Wettelijk</w:t>
            </w:r>
          </w:p>
        </w:tc>
        <w:tc>
          <w:tcPr>
            <w:tcW w:type="dxa" w:w="1586"/>
          </w:tcPr>
          <w:p>
            <w:r/>
            <w:r>
              <w:rPr>
                <w:rFonts w:ascii="Calibri" w:hAnsi="Calibri"/>
                <w:b w:val="0"/>
                <w:color w:val="1F2937"/>
                <w:sz w:val="19"/>
              </w:rPr>
              <w:t>Rev 3</w:t>
            </w:r>
          </w:p>
        </w:tc>
        <w:tc>
          <w:tcPr>
            <w:tcW w:type="dxa" w:w="1586"/>
          </w:tcPr>
          <w:p>
            <w:r/>
            <w:r>
              <w:rPr>
                <w:rFonts w:ascii="Calibri" w:hAnsi="Calibri"/>
                <w:b w:val="0"/>
                <w:color w:val="1F2937"/>
                <w:sz w:val="19"/>
              </w:rPr>
              <w:t>P2 + P4: CLP, fit-test, RI&amp;E/TRA, mijnbouwwet, G-01 t/m G-03</w:t>
            </w:r>
          </w:p>
        </w:tc>
        <w:tc>
          <w:tcPr>
            <w:tcW w:type="dxa" w:w="1586"/>
          </w:tcPr>
          <w:p>
            <w:r/>
            <w:r>
              <w:rPr>
                <w:rFonts w:ascii="Calibri" w:hAnsi="Calibri"/>
                <w:b w:val="0"/>
                <w:color w:val="1F2937"/>
                <w:sz w:val="19"/>
              </w:rPr>
              <w:t>3 weken</w:t>
            </w:r>
          </w:p>
        </w:tc>
        <w:tc>
          <w:tcPr>
            <w:tcW w:type="dxa" w:w="1586"/>
          </w:tcPr>
          <w:p>
            <w:r/>
            <w:r>
              <w:rPr>
                <w:rFonts w:ascii="Calibri" w:hAnsi="Calibri"/>
                <w:b w:val="0"/>
                <w:color w:val="1F2937"/>
                <w:sz w:val="19"/>
              </w:rPr>
              <w:t>22-09-2026</w:t>
            </w:r>
          </w:p>
        </w:tc>
        <w:tc>
          <w:tcPr>
            <w:tcW w:type="dxa" w:w="1586"/>
          </w:tcPr>
          <w:p>
            <w:r/>
            <w:r>
              <w:rPr>
                <w:rFonts w:ascii="Calibri" w:hAnsi="Calibri"/>
                <w:b w:val="0"/>
                <w:color w:val="1F2937"/>
                <w:sz w:val="19"/>
              </w:rPr>
              <w:t>QHSE Manager + redacteur</w:t>
            </w:r>
          </w:p>
        </w:tc>
      </w:tr>
      <w:tr>
        <w:tc>
          <w:tcPr>
            <w:tcW w:type="dxa" w:w="1586"/>
          </w:tcPr>
          <w:p>
            <w:r/>
            <w:r>
              <w:rPr>
                <w:rFonts w:ascii="Calibri" w:hAnsi="Calibri"/>
                <w:b w:val="0"/>
                <w:color w:val="1F2937"/>
                <w:sz w:val="19"/>
              </w:rPr>
              <w:t>3 — Robuustheid</w:t>
            </w:r>
          </w:p>
        </w:tc>
        <w:tc>
          <w:tcPr>
            <w:tcW w:type="dxa" w:w="1586"/>
          </w:tcPr>
          <w:p>
            <w:r/>
            <w:r>
              <w:rPr>
                <w:rFonts w:ascii="Calibri" w:hAnsi="Calibri"/>
                <w:b w:val="0"/>
                <w:color w:val="1F2937"/>
                <w:sz w:val="19"/>
              </w:rPr>
              <w:t>Rev 3 (aanvulling)</w:t>
            </w:r>
          </w:p>
        </w:tc>
        <w:tc>
          <w:tcPr>
            <w:tcW w:type="dxa" w:w="1586"/>
          </w:tcPr>
          <w:p>
            <w:r/>
            <w:r>
              <w:rPr>
                <w:rFonts w:ascii="Calibri" w:hAnsi="Calibri"/>
                <w:b w:val="0"/>
                <w:color w:val="1F2937"/>
                <w:sz w:val="19"/>
              </w:rPr>
              <w:t>P3: training, EMVI, afvalstroom</w:t>
            </w:r>
          </w:p>
        </w:tc>
        <w:tc>
          <w:tcPr>
            <w:tcW w:type="dxa" w:w="1586"/>
          </w:tcPr>
          <w:p>
            <w:r/>
            <w:r>
              <w:rPr>
                <w:rFonts w:ascii="Calibri" w:hAnsi="Calibri"/>
                <w:b w:val="0"/>
                <w:color w:val="1F2937"/>
                <w:sz w:val="19"/>
              </w:rPr>
              <w:t>2 weken</w:t>
            </w:r>
          </w:p>
        </w:tc>
        <w:tc>
          <w:tcPr>
            <w:tcW w:type="dxa" w:w="1586"/>
          </w:tcPr>
          <w:p>
            <w:r/>
            <w:r>
              <w:rPr>
                <w:rFonts w:ascii="Calibri" w:hAnsi="Calibri"/>
                <w:b w:val="0"/>
                <w:color w:val="1F2937"/>
                <w:sz w:val="19"/>
              </w:rPr>
              <w:t>06-10-2026</w:t>
            </w:r>
          </w:p>
        </w:tc>
        <w:tc>
          <w:tcPr>
            <w:tcW w:type="dxa" w:w="1586"/>
          </w:tcPr>
          <w:p>
            <w:r/>
            <w:r>
              <w:rPr>
                <w:rFonts w:ascii="Calibri" w:hAnsi="Calibri"/>
                <w:b w:val="0"/>
                <w:color w:val="1F2937"/>
                <w:sz w:val="19"/>
              </w:rPr>
              <w:t>Redacteur</w:t>
            </w:r>
          </w:p>
        </w:tc>
      </w:tr>
      <w:tr>
        <w:tc>
          <w:tcPr>
            <w:tcW w:type="dxa" w:w="1586"/>
          </w:tcPr>
          <w:p>
            <w:r/>
            <w:r>
              <w:rPr>
                <w:rFonts w:ascii="Calibri" w:hAnsi="Calibri"/>
                <w:b w:val="0"/>
                <w:color w:val="1F2937"/>
                <w:sz w:val="19"/>
              </w:rPr>
              <w:t>4 — Verificatie</w:t>
            </w:r>
          </w:p>
        </w:tc>
        <w:tc>
          <w:tcPr>
            <w:tcW w:type="dxa" w:w="1586"/>
          </w:tcPr>
          <w:p>
            <w:r/>
            <w:r>
              <w:rPr>
                <w:rFonts w:ascii="Calibri" w:hAnsi="Calibri"/>
                <w:b w:val="0"/>
                <w:color w:val="1F2937"/>
                <w:sz w:val="19"/>
              </w:rPr>
              <w:t>Rev 2/3 audits</w:t>
            </w:r>
          </w:p>
        </w:tc>
        <w:tc>
          <w:tcPr>
            <w:tcW w:type="dxa" w:w="1586"/>
          </w:tcPr>
          <w:p>
            <w:r/>
            <w:r>
              <w:rPr>
                <w:rFonts w:ascii="Calibri" w:hAnsi="Calibri"/>
                <w:b w:val="0"/>
                <w:color w:val="1F2937"/>
                <w:sz w:val="19"/>
              </w:rPr>
              <w:t>Verificatiepunten 1 t/m 4; kalibratie- en accreditatiebewijs</w:t>
            </w:r>
          </w:p>
        </w:tc>
        <w:tc>
          <w:tcPr>
            <w:tcW w:type="dxa" w:w="1586"/>
          </w:tcPr>
          <w:p>
            <w:r/>
            <w:r>
              <w:rPr>
                <w:rFonts w:ascii="Calibri" w:hAnsi="Calibri"/>
                <w:b w:val="0"/>
                <w:color w:val="1F2937"/>
                <w:sz w:val="19"/>
              </w:rPr>
              <w:t>2 weken</w:t>
            </w:r>
          </w:p>
        </w:tc>
        <w:tc>
          <w:tcPr>
            <w:tcW w:type="dxa" w:w="1586"/>
          </w:tcPr>
          <w:p>
            <w:r/>
            <w:r>
              <w:rPr>
                <w:rFonts w:ascii="Calibri" w:hAnsi="Calibri"/>
                <w:b w:val="0"/>
                <w:color w:val="1F2937"/>
                <w:sz w:val="19"/>
              </w:rPr>
              <w:t>20-10-2026</w:t>
            </w:r>
          </w:p>
        </w:tc>
        <w:tc>
          <w:tcPr>
            <w:tcW w:type="dxa" w:w="1586"/>
          </w:tcPr>
          <w:p>
            <w:r/>
            <w:r>
              <w:rPr>
                <w:rFonts w:ascii="Calibri" w:hAnsi="Calibri"/>
                <w:b w:val="0"/>
                <w:color w:val="1F2937"/>
                <w:sz w:val="19"/>
              </w:rPr>
              <w:t>QHSE + Logistics</w:t>
            </w:r>
          </w:p>
        </w:tc>
      </w:tr>
    </w:tbl>
    <w:p>
      <w:pPr>
        <w:spacing w:after="40"/>
      </w:pPr>
    </w:p>
    <w:p>
      <w:pPr>
        <w:pStyle w:val="Heading2"/>
      </w:pPr>
      <w:r>
        <w:t>9.1 Mijlpalen</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Mijlpaal</w:t>
            </w:r>
          </w:p>
        </w:tc>
        <w:tc>
          <w:tcPr>
            <w:tcW w:type="dxa" w:w="3173"/>
            <w:shd w:val="clear" w:color="auto" w:fill="003366"/>
          </w:tcPr>
          <w:p>
            <w:r/>
            <w:r>
              <w:rPr>
                <w:rFonts w:ascii="Calibri" w:hAnsi="Calibri"/>
                <w:b/>
                <w:color w:val="FFFFFF"/>
                <w:sz w:val="19"/>
              </w:rPr>
              <w:t>Criterium</w:t>
            </w:r>
          </w:p>
        </w:tc>
        <w:tc>
          <w:tcPr>
            <w:tcW w:type="dxa" w:w="3173"/>
            <w:shd w:val="clear" w:color="auto" w:fill="003366"/>
          </w:tcPr>
          <w:p>
            <w:r/>
            <w:r>
              <w:rPr>
                <w:rFonts w:ascii="Calibri" w:hAnsi="Calibri"/>
                <w:b/>
                <w:color w:val="FFFFFF"/>
                <w:sz w:val="19"/>
              </w:rPr>
              <w:t>Datum (richtlijn)</w:t>
            </w:r>
          </w:p>
        </w:tc>
      </w:tr>
      <w:tr>
        <w:tc>
          <w:tcPr>
            <w:tcW w:type="dxa" w:w="3173"/>
          </w:tcPr>
          <w:p>
            <w:r/>
            <w:r>
              <w:rPr>
                <w:rFonts w:ascii="Calibri" w:hAnsi="Calibri"/>
                <w:b w:val="0"/>
                <w:color w:val="1F2937"/>
                <w:sz w:val="19"/>
              </w:rPr>
              <w:t>M1 — Rev 2 gepubliceerd</w:t>
            </w:r>
          </w:p>
        </w:tc>
        <w:tc>
          <w:tcPr>
            <w:tcW w:type="dxa" w:w="3173"/>
          </w:tcPr>
          <w:p>
            <w:r/>
            <w:r>
              <w:rPr>
                <w:rFonts w:ascii="Calibri" w:hAnsi="Calibri"/>
                <w:b w:val="0"/>
                <w:color w:val="1F2937"/>
                <w:sz w:val="19"/>
              </w:rPr>
              <w:t>P1-punten geïmplementeerd en goedgekeurd</w:t>
            </w:r>
          </w:p>
        </w:tc>
        <w:tc>
          <w:tcPr>
            <w:tcW w:type="dxa" w:w="3173"/>
          </w:tcPr>
          <w:p>
            <w:r/>
            <w:r>
              <w:rPr>
                <w:rFonts w:ascii="Calibri" w:hAnsi="Calibri"/>
                <w:b w:val="0"/>
                <w:color w:val="1F2937"/>
                <w:sz w:val="19"/>
              </w:rPr>
              <w:t>01-09-2026</w:t>
            </w:r>
          </w:p>
        </w:tc>
      </w:tr>
      <w:tr>
        <w:tc>
          <w:tcPr>
            <w:tcW w:type="dxa" w:w="3173"/>
          </w:tcPr>
          <w:p>
            <w:r/>
            <w:r>
              <w:rPr>
                <w:rFonts w:ascii="Calibri" w:hAnsi="Calibri"/>
                <w:b w:val="0"/>
                <w:color w:val="1F2937"/>
                <w:sz w:val="19"/>
              </w:rPr>
              <w:t>M2 — Arbodienstovereenkomst actief</w:t>
            </w:r>
          </w:p>
        </w:tc>
        <w:tc>
          <w:tcPr>
            <w:tcW w:type="dxa" w:w="3173"/>
          </w:tcPr>
          <w:p>
            <w:r/>
            <w:r>
              <w:rPr>
                <w:rFonts w:ascii="Calibri" w:hAnsi="Calibri"/>
                <w:b w:val="0"/>
                <w:color w:val="1F2937"/>
                <w:sz w:val="19"/>
              </w:rPr>
              <w:t>Aanbod onderzoek uitstaan bij betrokken personeel</w:t>
            </w:r>
          </w:p>
        </w:tc>
        <w:tc>
          <w:tcPr>
            <w:tcW w:type="dxa" w:w="3173"/>
          </w:tcPr>
          <w:p>
            <w:r/>
            <w:r>
              <w:rPr>
                <w:rFonts w:ascii="Calibri" w:hAnsi="Calibri"/>
                <w:b w:val="0"/>
                <w:color w:val="1F2937"/>
                <w:sz w:val="19"/>
              </w:rPr>
              <w:t>04-09-2026</w:t>
            </w:r>
          </w:p>
        </w:tc>
      </w:tr>
      <w:tr>
        <w:tc>
          <w:tcPr>
            <w:tcW w:type="dxa" w:w="3173"/>
          </w:tcPr>
          <w:p>
            <w:r/>
            <w:r>
              <w:rPr>
                <w:rFonts w:ascii="Calibri" w:hAnsi="Calibri"/>
                <w:b w:val="0"/>
                <w:color w:val="1F2937"/>
                <w:sz w:val="19"/>
              </w:rPr>
              <w:t>M3 — Rev 3 gepubliceerd</w:t>
            </w:r>
          </w:p>
        </w:tc>
        <w:tc>
          <w:tcPr>
            <w:tcW w:type="dxa" w:w="3173"/>
          </w:tcPr>
          <w:p>
            <w:r/>
            <w:r>
              <w:rPr>
                <w:rFonts w:ascii="Calibri" w:hAnsi="Calibri"/>
                <w:b w:val="0"/>
                <w:color w:val="1F2937"/>
                <w:sz w:val="19"/>
              </w:rPr>
              <w:t>P2, P3 en P4 geïmplementeerd</w:t>
            </w:r>
          </w:p>
        </w:tc>
        <w:tc>
          <w:tcPr>
            <w:tcW w:type="dxa" w:w="3173"/>
          </w:tcPr>
          <w:p>
            <w:r/>
            <w:r>
              <w:rPr>
                <w:rFonts w:ascii="Calibri" w:hAnsi="Calibri"/>
                <w:b w:val="0"/>
                <w:color w:val="1F2937"/>
                <w:sz w:val="19"/>
              </w:rPr>
              <w:t>06-10-2026</w:t>
            </w:r>
          </w:p>
        </w:tc>
      </w:tr>
      <w:tr>
        <w:tc>
          <w:tcPr>
            <w:tcW w:type="dxa" w:w="3173"/>
          </w:tcPr>
          <w:p>
            <w:r/>
            <w:r>
              <w:rPr>
                <w:rFonts w:ascii="Calibri" w:hAnsi="Calibri"/>
                <w:b w:val="0"/>
                <w:color w:val="1F2937"/>
                <w:sz w:val="19"/>
              </w:rPr>
              <w:t>M4 — Verificatierapport</w:t>
            </w:r>
          </w:p>
        </w:tc>
        <w:tc>
          <w:tcPr>
            <w:tcW w:type="dxa" w:w="3173"/>
          </w:tcPr>
          <w:p>
            <w:r/>
            <w:r>
              <w:rPr>
                <w:rFonts w:ascii="Calibri" w:hAnsi="Calibri"/>
                <w:b w:val="0"/>
                <w:color w:val="1F2937"/>
                <w:sz w:val="19"/>
              </w:rPr>
              <w:t>Alle verificatiepunten afgerond</w:t>
            </w:r>
          </w:p>
        </w:tc>
        <w:tc>
          <w:tcPr>
            <w:tcW w:type="dxa" w:w="3173"/>
          </w:tcPr>
          <w:p>
            <w:r/>
            <w:r>
              <w:rPr>
                <w:rFonts w:ascii="Calibri" w:hAnsi="Calibri"/>
                <w:b w:val="0"/>
                <w:color w:val="1F2937"/>
                <w:sz w:val="19"/>
              </w:rPr>
              <w:t>20-10-2026</w:t>
            </w:r>
          </w:p>
        </w:tc>
      </w:tr>
      <w:tr>
        <w:tc>
          <w:tcPr>
            <w:tcW w:type="dxa" w:w="3173"/>
          </w:tcPr>
          <w:p>
            <w:r/>
            <w:r>
              <w:rPr>
                <w:rFonts w:ascii="Calibri" w:hAnsi="Calibri"/>
                <w:b w:val="0"/>
                <w:color w:val="1F2937"/>
                <w:sz w:val="19"/>
              </w:rPr>
              <w:t>M5 — Project-GO</w:t>
            </w:r>
          </w:p>
        </w:tc>
        <w:tc>
          <w:tcPr>
            <w:tcW w:type="dxa" w:w="3173"/>
          </w:tcPr>
          <w:p>
            <w:r/>
            <w:r>
              <w:rPr>
                <w:rFonts w:ascii="Calibri" w:hAnsi="Calibri"/>
                <w:b w:val="0"/>
                <w:color w:val="1F2937"/>
                <w:sz w:val="19"/>
              </w:rPr>
              <w:t>Procedure Rev 3 + verificatie afgerond vóór start decommissioning</w:t>
            </w:r>
          </w:p>
        </w:tc>
        <w:tc>
          <w:tcPr>
            <w:tcW w:type="dxa" w:w="3173"/>
          </w:tcPr>
          <w:p>
            <w:r/>
            <w:r>
              <w:rPr>
                <w:rFonts w:ascii="Calibri" w:hAnsi="Calibri"/>
                <w:b w:val="0"/>
                <w:color w:val="1F2937"/>
                <w:sz w:val="19"/>
              </w:rPr>
              <w:t>vóór projectstart</w:t>
            </w:r>
          </w:p>
        </w:tc>
      </w:tr>
    </w:tbl>
    <w:p>
      <w:pPr>
        <w:spacing w:after="40"/>
      </w:pPr>
    </w:p>
    <w:p>
      <w:pPr>
        <w:pStyle w:val="Heading2"/>
      </w:pPr>
      <w:r>
        <w:t>9.2 Reviewdatum en status</w:t>
      </w:r>
    </w:p>
    <w:p>
      <w:pPr>
        <w:spacing w:after="120"/>
      </w:pPr>
      <w:r>
        <w:rPr>
          <w:rFonts w:ascii="Calibri" w:hAnsi="Calibri"/>
          <w:b w:val="0"/>
          <w:i w:val="0"/>
          <w:sz w:val="22"/>
        </w:rPr>
        <w:t>Eerste review van de geïmplementeerde wijzigingen: 01-09-2026. Verantwoordelijke: QHSE Manager Koole. Dit voorstel heeft de status GO voor implementatie van Rev 2 t/m de verificatiefase.</w:t>
      </w:r>
    </w:p>
    <w:p>
      <w:pPr>
        <w:pStyle w:val="Heading1"/>
      </w:pPr>
      <w:r>
        <w:t>10. Bronnen</w:t>
      </w:r>
    </w:p>
    <w:p>
      <w:pPr>
        <w:pStyle w:val="ListBullet"/>
        <w:spacing w:after="60"/>
      </w:pPr>
      <w:r>
        <w:t>Koole MSD 003.057 “Safe Handling of Mercury” Rev 1 (12-05-2026) — brontekst.</w:t>
      </w:r>
    </w:p>
    <w:p>
      <w:pPr>
        <w:pStyle w:val="ListBullet"/>
        <w:spacing w:after="60"/>
      </w:pPr>
      <w:r>
        <w:t>JvG Consultancy, Compliance Audit 003.057 v2.0 (24-08-2026) — bevindingen R-01 t/m R-12.</w:t>
      </w:r>
    </w:p>
    <w:p>
      <w:pPr>
        <w:pStyle w:val="ListBullet"/>
        <w:spacing w:after="60"/>
      </w:pPr>
      <w:r>
        <w:t>JvG Consultancy, Herzieningsvoorstel 003.057 v2.0 (24-08-2026) — punten 1 t/m 11.</w:t>
      </w:r>
    </w:p>
    <w:p>
      <w:pPr>
        <w:pStyle w:val="ListBullet"/>
        <w:spacing w:after="60"/>
      </w:pPr>
      <w:r>
        <w:t>Arbobesluit, hoofdstuk 4 (art. 4.10a, art. 4.15) en art. 2.35.</w:t>
      </w:r>
    </w:p>
    <w:p>
      <w:pPr>
        <w:pStyle w:val="ListBullet"/>
        <w:spacing w:after="60"/>
      </w:pPr>
      <w:r>
        <w:t>Arboregeling / SER-grenswaarden — kwik 0,02 mg/m³.</w:t>
      </w:r>
    </w:p>
    <w:p>
      <w:pPr>
        <w:pStyle w:val="ListBullet"/>
        <w:spacing w:after="60"/>
      </w:pPr>
      <w:r>
        <w:t>ECHA, CLP-verordening (EG) nr. 1272/2008, Bijlage VI — index 080-001-00-0.</w:t>
      </w:r>
    </w:p>
    <w:p>
      <w:pPr>
        <w:pStyle w:val="ListBullet"/>
        <w:spacing w:after="60"/>
      </w:pPr>
      <w:r>
        <w:t>ADR, deel 3, tabel A — UN 2809 (klasse 8, PG III, CT1; IBC/bulk/large packagings verboden); IMDG met overeenkomstige classificatie.</w:t>
      </w:r>
    </w:p>
    <w:p>
      <w:pPr>
        <w:pStyle w:val="ListBullet"/>
        <w:spacing w:after="60"/>
      </w:pPr>
      <w:r>
        <w:t>EU-afvalstoffenlijst (Eural) — codering 06 04 20*.</w:t>
      </w:r>
    </w:p>
    <w:p>
      <w:pPr>
        <w:pStyle w:val="ListBullet"/>
        <w:spacing w:after="60"/>
      </w:pPr>
      <w:r>
        <w:t>Mijnbouwwet — arbeidsomstandigheden mijnbouwinstallaties, continentaal plat; Staatstoezicht op de Mijnen; NOGEPA-richtlijnen.</w:t>
      </w:r>
    </w:p>
    <w:p>
      <w:pPr>
        <w:spacing w:after="80"/>
      </w:pPr>
      <w:r>
        <w:rPr>
          <w:rFonts w:ascii="Calibri" w:hAnsi="Calibri"/>
          <w:b w:val="0"/>
          <w:i/>
          <w:sz w:val="19"/>
        </w:rPr>
        <w:t>Alle wettelijke verwijzingen geverifieerd op 24-08-2026.</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Herzieningsvoorstel 003.057 Kwik v3.0 — 25-08-2026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Herzieningsvoorstel 003.057 Safe Handling of Mercury v3.0</dc:title>
  <dc:subject>Herzieningsvoorstel MSD 003.057 Rev 2 (KOO B.V.)</dc:subject>
  <dc:creator>JvG Consultancy — HSEQ Divisie</dc:creator>
  <cp:keywords>003.057; kwik; mercury; Arbobesluit; ADR; CLP; herzieningsvoorstel; v3.0</cp:keywords>
  <dc:description>Volledige uitwerking van herzieningsvoorstel v2.0: medische surveillance, blootstellingsregister, ADR/IMDG, CLP, fit-test, RI&amp;E/TRA, mijnbouwwet, four-eyes review en Implementation Roadmap.</dc:description>
  <cp:lastModifiedBy/>
  <cp:revision>1</cp:revision>
  <dcterms:created xsi:type="dcterms:W3CDTF">2026-08-25T00:00:00Z</dcterms:created>
  <dcterms:modified xsi:type="dcterms:W3CDTF">2026-08-25T00:00:00Z</dcterms:modified>
  <cp:category>HSEQ Compliance</cp:category>
  <cp:version>3.0</cp:version>
</cp:coreProperties>
</file>