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Herzieningsvoorstel — Procedure 003.057 Safe Handling of Mercury</w:t>
      </w:r>
    </w:p>
    <w:p>
      <w:pPr>
        <w:pStyle w:val="Author"/>
      </w:pPr>
      <w:r>
        <w:t xml:space="preserve">JvG Consultancy</w:t>
      </w:r>
    </w:p>
    <w:p>
      <w:pPr>
        <w:pStyle w:val="Date"/>
      </w:pPr>
      <w:r>
        <w:t xml:space="preserve">24-08-2026</w:t>
      </w:r>
    </w:p>
    <w:bookmarkStart w:id="36" w:name="Xcdc16bcbe215e5d2cd1fefc4f0bc00b941fd086"/>
    <w:p>
      <w:pPr>
        <w:pStyle w:val="Heading1"/>
      </w:pPr>
      <w:r>
        <w:t xml:space="preserve">Herzieningsvoorstel — Procedure 003.057 Safe Handling of Mercury Rev 1</w:t>
      </w:r>
    </w:p>
    <w:p>
      <w:pPr>
        <w:pStyle w:val="FirstParagraph"/>
      </w:pPr>
      <w:r>
        <w:rPr>
          <w:b/>
          <w:bCs/>
        </w:rPr>
        <w:t xml:space="preserve">Voor de redacteur van de procedure (KOO B.V.)</w:t>
      </w:r>
      <w:r>
        <w:t xml:space="preserve"> </w:t>
      </w:r>
      <w:r>
        <w:rPr>
          <w:b/>
          <w:bCs/>
        </w:rPr>
        <w:t xml:space="preserve">Basis:</w:t>
      </w:r>
      <w:r>
        <w:t xml:space="preserve"> </w:t>
      </w:r>
      <w:r>
        <w:t xml:space="preserve">Compliance Audit 003.057 v2.0 (JvG Consultancy, 24-08-2026)</w:t>
      </w:r>
      <w:r>
        <w:t xml:space="preserve"> </w:t>
      </w:r>
      <w:r>
        <w:rPr>
          <w:b/>
          <w:bCs/>
        </w:rPr>
        <w:t xml:space="preserve">Doel:</w:t>
      </w:r>
      <w:r>
        <w:t xml:space="preserve"> </w:t>
      </w:r>
      <w:r>
        <w:t xml:space="preserve">Concrete verbeterteksten ter opname in Rev 2, geprioriteerd en geclasseerd.</w:t>
      </w:r>
    </w:p>
    <w:p>
      <w:r>
        <w:pict>
          <v:rect style="width:0;height:1.5pt" o:hralign="center" o:hrstd="t" o:hr="t"/>
        </w:pict>
      </w:r>
    </w:p>
    <w:bookmarkStart w:id="23" w:name="Xc198c98a1629de15e5cbda4e5aa43c76840ac10"/>
    <w:p>
      <w:pPr>
        <w:pStyle w:val="Heading2"/>
      </w:pPr>
      <w:r>
        <w:t xml:space="preserve">PRIORITEIT 1 — Wettelijk verplicht (vóór projectuitvoering herzien)</w:t>
      </w:r>
    </w:p>
    <w:bookmarkStart w:id="20" w:name="medische-surveillance-audit-r-01-wet"/>
    <w:p>
      <w:pPr>
        <w:pStyle w:val="Heading3"/>
      </w:pPr>
      <w:r>
        <w:t xml:space="preserve">1. Medische surveillance (audit R-01) [WET]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Nieuwe sectie 5.5</w:t>
      </w:r>
      <w:r>
        <w:t xml:space="preserve"> </w:t>
      </w:r>
      <w:r>
        <w:t xml:space="preserve">“</w:t>
      </w:r>
      <w:r>
        <w:t xml:space="preserve">Health Surveillance</w:t>
      </w:r>
      <w:r>
        <w:t xml:space="preserve">”</w:t>
      </w:r>
      <w:r>
        <w:t xml:space="preserve">:</w:t>
      </w:r>
      <w:r>
        <w:t xml:space="preserve"> </w:t>
      </w:r>
      <w:r>
        <w:t xml:space="preserve">- Aanbod arbeidsgezondheidskundig onderzoek (Arbobesluit art. 4.10a) aan personeel met (mogelijke) kwikblootstelling, uitgevoerd door de arbodienst/bedrijfsarts: vóór aanvang, tussentijds en na beëindiging van de blootstelling.</w:t>
      </w:r>
      <w:r>
        <w:t xml:space="preserve"> </w:t>
      </w:r>
      <w:r>
        <w:t xml:space="preserve">- Biologische monitoring: kwik in urine (referentie volgens geldende arbodienst-protocollen); interpretatie door bedrijfsarts.</w:t>
      </w:r>
      <w:r>
        <w:t xml:space="preserve"> </w:t>
      </w:r>
      <w:r>
        <w:t xml:space="preserve">- Registratie in persoonlijk gezondheidsdossier; koppeling aan blootstellingsregister (punt 2).</w:t>
      </w:r>
      <w:r>
        <w:t xml:space="preserve"> </w:t>
      </w:r>
      <w:r>
        <w:t xml:space="preserve">- RASCI: QHSE R/A, Decom Master S, User I; arbodienst/bedrijfsarts minimaal</w:t>
      </w:r>
      <w:r>
        <w:t xml:space="preserve"> </w:t>
      </w:r>
      <w:r>
        <w:rPr>
          <w:b/>
          <w:bCs/>
        </w:rPr>
        <w:t xml:space="preserve">C</w:t>
      </w:r>
      <w:r>
        <w:t xml:space="preserve"> </w:t>
      </w:r>
      <w:r>
        <w:t xml:space="preserve">(geraadpleegd) — de aanbodverplichting blijft bij de werkgever (KOO).</w:t>
      </w:r>
    </w:p>
    <w:bookmarkEnd w:id="20"/>
    <w:bookmarkStart w:id="21" w:name="blootstellingsregister-audit-r-02-wet"/>
    <w:p>
      <w:pPr>
        <w:pStyle w:val="Heading3"/>
      </w:pPr>
      <w:r>
        <w:t xml:space="preserve">2. Blootstellingsregister (audit R-02) [WET]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Nieuwe subsectie 6.5</w:t>
      </w:r>
      <w:r>
        <w:t xml:space="preserve"> </w:t>
      </w:r>
      <w:r>
        <w:t xml:space="preserve">“</w:t>
      </w:r>
      <w:r>
        <w:t xml:space="preserve">Exposure Register</w:t>
      </w:r>
      <w:r>
        <w:t xml:space="preserve">”</w:t>
      </w:r>
      <w:r>
        <w:t xml:space="preserve">:</w:t>
      </w:r>
      <w:r>
        <w:t xml:space="preserve"> </w:t>
      </w:r>
      <w:r>
        <w:t xml:space="preserve">- Alle persoonlijke ademhalingszone-meetresultaten worden vastgelegd in een persoonlijk blootstellingsregister (naam, datum, activiteit, concentratie, RPE-klasse, duur).</w:t>
      </w:r>
      <w:r>
        <w:t xml:space="preserve"> </w:t>
      </w:r>
      <w:r>
        <w:t xml:space="preserve">- Verankering in Arbobesluit art. 4.15 (CMR-lijst van werknemers, incl. inzage- en afschriftrecht werknemer): lijst per werknemer met ondergaan blootstelling (datum, activiteit, concentratie, RPE-klasse, duur).</w:t>
      </w:r>
      <w:r>
        <w:t xml:space="preserve"> </w:t>
      </w:r>
      <w:r>
        <w:t xml:space="preserve">- Bewaartermijn vaststellen conform wettelijke eisen en branchepraktijk (langdurig; nader te bevestigen door QHSE Legal).</w:t>
      </w:r>
      <w:r>
        <w:t xml:space="preserve"> </w:t>
      </w:r>
      <w:r>
        <w:t xml:space="preserve">- Toegankelijk voor werknemer en Arbodienst.</w:t>
      </w:r>
    </w:p>
    <w:bookmarkEnd w:id="21"/>
    <w:bookmarkStart w:id="22" w:name="X71c405f406103c8e973dec1d7e038a8355e88a0"/>
    <w:p>
      <w:pPr>
        <w:pStyle w:val="Heading3"/>
      </w:pPr>
      <w:r>
        <w:t xml:space="preserve">3. Transportpassage Annex III</w:t>
      </w:r>
      <w:r>
        <w:t xml:space="preserve"> </w:t>
      </w:r>
      <w:r>
        <w:t xml:space="preserve">“</w:t>
      </w:r>
      <w:r>
        <w:t xml:space="preserve">IBC tanks (ADR)</w:t>
      </w:r>
      <w:r>
        <w:t xml:space="preserve">”</w:t>
      </w:r>
      <w:r>
        <w:t xml:space="preserve"> </w:t>
      </w:r>
      <w:r>
        <w:t xml:space="preserve">(audit R-03) [WET — ADR]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Annex III, vijfde bullet, nuanceren:</w:t>
      </w:r>
      <w:r>
        <w:t xml:space="preserve"> </w:t>
      </w:r>
      <w:r>
        <w:t xml:space="preserve">- Vloeibaar kwik = UN 2809, klasse 8, PG III, classificatiecode CT1, labels 8 + 6.1 —</w:t>
      </w:r>
      <w:r>
        <w:t xml:space="preserve"> </w:t>
      </w:r>
      <w:r>
        <w:rPr>
          <w:b/>
          <w:bCs/>
        </w:rPr>
        <w:t xml:space="preserve">VERVOER IN IBC’S, BULK EN LARGE PACKAGINGS IS VERBODEN</w:t>
      </w:r>
      <w:r>
        <w:t xml:space="preserve"> </w:t>
      </w:r>
      <w:r>
        <w:t xml:space="preserve">(ADR; voor zeetransport geldt het IMDG met dezelfde UN 2809-classificatie en verpakkingbeperkingen).</w:t>
      </w:r>
      <w:r>
        <w:t xml:space="preserve"> </w:t>
      </w:r>
      <w:r>
        <w:t xml:space="preserve">- Vloeibare kwikresidu’s uitsluitend in UN-gecertificeerde stalen verpakkingen (PG III) of via erkende kwikverwerker/ophaalregeling.</w:t>
      </w:r>
      <w:r>
        <w:t xml:space="preserve"> </w:t>
      </w:r>
      <w:r>
        <w:t xml:space="preserve">- Indien IBC’s bedoeld zijn voor andere vloeistoffen (bijv. spoel-/waswater): expliciet schrijven</w:t>
      </w:r>
      <w:r>
        <w:t xml:space="preserve"> </w:t>
      </w:r>
      <w:r>
        <w:t xml:space="preserve">“</w:t>
      </w:r>
      <w:r>
        <w:t xml:space="preserve">voor zover geen vrij kwik aanwezig is en de inhoud niet onder UN 2809 valt</w:t>
      </w:r>
      <w:r>
        <w:t xml:space="preserve">”</w:t>
      </w:r>
      <w:r>
        <w:t xml:space="preserve">.</w:t>
      </w:r>
    </w:p>
    <w:bookmarkEnd w:id="22"/>
    <w:bookmarkEnd w:id="23"/>
    <w:bookmarkStart w:id="28" w:name="prioriteit-2-wettelijk-verplicht-bindend"/>
    <w:p>
      <w:pPr>
        <w:pStyle w:val="Heading2"/>
      </w:pPr>
      <w:r>
        <w:t xml:space="preserve">PRIORITEIT 2 — Wettelijk verplicht / bindend</w:t>
      </w:r>
    </w:p>
    <w:bookmarkStart w:id="24" w:name="Xcad5e9073959c4ca748afeb81cd4816f1264100"/>
    <w:p>
      <w:pPr>
        <w:pStyle w:val="Heading3"/>
      </w:pPr>
      <w:r>
        <w:t xml:space="preserve">4. CLP-hazardinformatie en etikettering (audit R-04) [WET — CLP]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Definities-tabel uitbreiden:</w:t>
      </w:r>
      <w:r>
        <w:t xml:space="preserve"> </w:t>
      </w:r>
      <w:r>
        <w:t xml:space="preserve">- Kwik (CAS 7439-97-6, EG 231-106-7, index 080-001-00-0): Repr. 1B (H360D), STOT RE 1 (H372), Aquatic Acute 1 (H400), Aquatic Chronic 1 (H410); etiket: signaalwoord</w:t>
      </w:r>
      <w:r>
        <w:t xml:space="preserve"> </w:t>
      </w:r>
      <w:r>
        <w:rPr>
          <w:b/>
          <w:bCs/>
        </w:rPr>
        <w:t xml:space="preserve">Danger (Gevaar)</w:t>
      </w:r>
      <w:r>
        <w:t xml:space="preserve">, pictogrammen GHS08 en GHS09, H-zinnen 360D–372–400–410, P-zinnen conform SDS. SDS verkrijgbaar via Logistics.</w:t>
      </w:r>
      <w:r>
        <w:t xml:space="preserve"> </w:t>
      </w:r>
      <w:r>
        <w:t xml:space="preserve">- Etiketeisen voor opslag-/transportverpakkingen conform CLP en ADR/IMDG; niet delegeren zonder minimale inhoudseisen.</w:t>
      </w:r>
    </w:p>
    <w:bookmarkEnd w:id="24"/>
    <w:bookmarkStart w:id="25" w:name="fit-test-rpe-audit-r-05-normai-18"/>
    <w:p>
      <w:pPr>
        <w:pStyle w:val="Heading3"/>
      </w:pPr>
      <w:r>
        <w:t xml:space="preserve">5. Fit-test RPE (audit R-05) [NORM/AI-18]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Annex II toevoegen:</w:t>
      </w:r>
      <w:r>
        <w:t xml:space="preserve"> </w:t>
      </w:r>
      <w:r>
        <w:t xml:space="preserve">“</w:t>
      </w:r>
      <w:r>
        <w:t xml:space="preserve">Gebruikers van tight-fitting RPE (half-/volgelaatsmasker) dienen een geslaagde fit-test te hebben overeenkomstig geldende normpraktijk, te herhalen bij type-/modelwijziging en periodiek.</w:t>
      </w:r>
      <w:r>
        <w:t xml:space="preserve">”</w:t>
      </w:r>
      <w:r>
        <w:t xml:space="preserve"> </w:t>
      </w:r>
      <w:r>
        <w:t xml:space="preserve">Bied tevens Ex-geschikt meetmiddel aan (audit R-11).</w:t>
      </w:r>
    </w:p>
    <w:bookmarkEnd w:id="25"/>
    <w:bookmarkStart w:id="26" w:name="rietra-koppeling-audit-r-06-wet"/>
    <w:p>
      <w:pPr>
        <w:pStyle w:val="Heading3"/>
      </w:pPr>
      <w:r>
        <w:t xml:space="preserve">6. RI&amp;E/TRA-koppeling (audit R-06) [WET]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Sectie 1 of 5 toevoegen:</w:t>
      </w:r>
      <w:r>
        <w:t xml:space="preserve"> </w:t>
      </w:r>
      <w:r>
        <w:t xml:space="preserve">“</w:t>
      </w:r>
      <w:r>
        <w:t xml:space="preserve">De meetstrategie en beheersmaatregelen volgen uit de project-TRA en de RI&amp;E-afsplitsing gevaarlijke stoffen; de TRA bevat minimaal kwikbronnen, blootstellingsroutes en -duur.</w:t>
      </w:r>
      <w:r>
        <w:t xml:space="preserve">”</w:t>
      </w:r>
    </w:p>
    <w:bookmarkEnd w:id="26"/>
    <w:bookmarkStart w:id="27" w:name="mijnbouwwet-referenties-audit-r-07-wet"/>
    <w:p>
      <w:pPr>
        <w:pStyle w:val="Heading3"/>
      </w:pPr>
      <w:r>
        <w:t xml:space="preserve">7. Mijnbouwwet + referenties (audit R-07) [WET]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Referentielijst uitbreiden met Mijnbouwwet (arbeidsomstandigheden mijnbouwinstallaties, NL continentaal plat, Staatstoezicht op de Mijnen) en NOGEPA-richtlijnen (audit R-12).</w:t>
      </w:r>
    </w:p>
    <w:bookmarkEnd w:id="27"/>
    <w:bookmarkEnd w:id="28"/>
    <w:bookmarkStart w:id="32" w:name="X61a9c8c40707fa6307328a23225147d53fbaf72"/>
    <w:p>
      <w:pPr>
        <w:pStyle w:val="Heading2"/>
      </w:pPr>
      <w:r>
        <w:t xml:space="preserve">PRIORITEIT 3 — Verifieerbaarheid en robuustheid</w:t>
      </w:r>
    </w:p>
    <w:bookmarkStart w:id="29" w:name="X37aa952471210d4ee4bedff7fe96b5a25a06543"/>
    <w:p>
      <w:pPr>
        <w:pStyle w:val="Heading3"/>
      </w:pPr>
      <w:r>
        <w:t xml:space="preserve">8. Training inhoudelijk verankeren (audit R-08) [WET]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RASCI-rij uitwerken: training vóór eerste inzet + periodieke herhaling; onderwerpen = symptomen, hygiëne, PBM, meten, spill; registratie competentiebewijs.</w:t>
      </w:r>
    </w:p>
    <w:bookmarkEnd w:id="29"/>
    <w:bookmarkStart w:id="30" w:name="X677d188e45152afdef98ed27929c80c0489ccbb"/>
    <w:p>
      <w:pPr>
        <w:pStyle w:val="Heading3"/>
      </w:pPr>
      <w:r>
        <w:t xml:space="preserve">9. Calamiteiten/EMVI uitbreiden (audit R-09) [WET/AI-31]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Nieuwe subsectie 8.x</w:t>
      </w:r>
      <w:r>
        <w:t xml:space="preserve"> </w:t>
      </w:r>
      <w:r>
        <w:t xml:space="preserve">“</w:t>
      </w:r>
      <w:r>
        <w:t xml:space="preserve">Emergency Response — Mercury Exposure</w:t>
      </w:r>
      <w:r>
        <w:t xml:space="preserve">”</w:t>
      </w:r>
      <w:r>
        <w:t xml:space="preserve">: acute symptoomherkenning, eerste hulp (fris lucht, medische beoordeling), alarmlijn, melding QHSE; koppeling incident investigation procedure.</w:t>
      </w:r>
    </w:p>
    <w:bookmarkEnd w:id="30"/>
    <w:bookmarkStart w:id="31" w:name="X1ee90c4642af90d507a1df9de66a8b58f0e77a0"/>
    <w:p>
      <w:pPr>
        <w:pStyle w:val="Heading3"/>
      </w:pPr>
      <w:r>
        <w:t xml:space="preserve">10. Afvalstroomdocumentatie (audit R-10) [WET Bal/EU]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Sectie 8.2 uitbreiden: erkende/gecertificeerde verwerker vereist; begeleidings- en afvalstroomdocumentatie (Eural-codering, bijv. 06 04 20*) bij elke zending; kopie in projectdossier.</w:t>
      </w:r>
    </w:p>
    <w:bookmarkEnd w:id="31"/>
    <w:bookmarkEnd w:id="32"/>
    <w:bookmarkStart w:id="33" w:name="X1558c51eebfb9b74510e509120db6c571d60e91"/>
    <w:p>
      <w:pPr>
        <w:pStyle w:val="Heading2"/>
      </w:pPr>
      <w:r>
        <w:t xml:space="preserve">GROENE BEVINDINGEN — behouden (geen wijziging)</w:t>
      </w:r>
    </w:p>
    <w:p>
      <w:pPr>
        <w:pStyle w:val="FirstParagraph"/>
      </w:pPr>
      <w:r>
        <w:t xml:space="preserve">Grenswaarde 0,02 mg/m³ zonder STEL | meetfrequenties incl. triggers | RPE-bandindeling Annex II (incl. filterduur 2 werkdagen, rotatieschema’s) | OH-hiërarchie | hygiëneprotocol | herbesmettingsbewustzijn | Eural 3%-drempel | verpakkingsstandaard (blindflensen, pondliner-skip) | LSA/Mercury/Benzene Statement Card.</w:t>
      </w:r>
    </w:p>
    <w:bookmarkEnd w:id="33"/>
    <w:bookmarkStart w:id="35" w:name="X24d16b2f18d429c7088c6939a346531c6678ed1"/>
    <w:p>
      <w:pPr>
        <w:pStyle w:val="Heading2"/>
      </w:pPr>
      <w:r>
        <w:t xml:space="preserve">Verificatiepunten voor de redacteur (geen tekstaanpassing, wel actie)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IBC-transport (R-03):</w:t>
      </w:r>
      <w:r>
        <w:t xml:space="preserve"> </w:t>
      </w:r>
      <w:r>
        <w:t xml:space="preserve">interne check bij Logistics Den Helder wat er feitelijk wordt vervoerd; conclusie verwerken.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Walafhandeling definitieve opslag:</w:t>
      </w:r>
      <w:r>
        <w:t xml:space="preserve"> </w:t>
      </w:r>
      <w:r>
        <w:t xml:space="preserve">partij-afhankelijk; vastleggen per project.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Kalibratie/onderhoud Jerome J405 en Dräger:</w:t>
      </w:r>
      <w:r>
        <w:t xml:space="preserve"> </w:t>
      </w:r>
      <w:r>
        <w:t xml:space="preserve">aantoonbaar maken (kalibratiecertificaten).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Accreditatie laboratoria (SGS/NRG):</w:t>
      </w:r>
      <w:r>
        <w:t xml:space="preserve"> </w:t>
      </w:r>
      <w:r>
        <w:t xml:space="preserve">ISO 17025-verificatie opnemen in leveranciersbeoordeling.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Opstellingsbasis: Koole 003.057 Rev 1 (brontekst); Arboregeling/SER-grenswaarden; ECHA CLP Annex VI; ADR deel 3 tabel A; Eural; Arbobesluit H4. Alle wettelijke verwijzingen geverifieerd op 24-08-2026.</w:t>
      </w:r>
    </w:p>
    <w:bookmarkStart w:id="34" w:name="Xcf8d8e294608f59c803c705d189b0862b5c7e53"/>
    <w:p>
      <w:pPr>
        <w:pStyle w:val="Heading3"/>
      </w:pPr>
      <w:r>
        <w:t xml:space="preserve">11. Aanvullende herzieningspunten uit four-eyes review (vóór Rev 2)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G-01 (MIDDEN) — Interne tegenstrijdigheid 8.1.1:</w:t>
      </w:r>
      <w:r>
        <w:t xml:space="preserve"> </w:t>
      </w:r>
      <w:r>
        <w:t xml:space="preserve">“</w:t>
      </w:r>
      <w:r>
        <w:t xml:space="preserve">may be considered mercury-free</w:t>
      </w:r>
      <w:r>
        <w:t xml:space="preserve">”</w:t>
      </w:r>
      <w:r>
        <w:t xml:space="preserve"> </w:t>
      </w:r>
      <w:r>
        <w:t xml:space="preserve">staat in tegenspraak met sectie 4 (</w:t>
      </w:r>
      <w:r>
        <w:t xml:space="preserve">“</w:t>
      </w:r>
      <w:r>
        <w:t xml:space="preserve">air monitoring alone does not confirm mercury-free</w:t>
      </w:r>
      <w:r>
        <w:t xml:space="preserve">”</w:t>
      </w:r>
      <w:r>
        <w:t xml:space="preserve">) en 8.1.5 (recontaminatie). Nuanceren of verwijderen.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G-02 (MIDDEN) — Zwangerschaps-/reproductiebeleid:</w:t>
      </w:r>
      <w:r>
        <w:t xml:space="preserve"> </w:t>
      </w:r>
      <w:r>
        <w:t xml:space="preserve">ontbreekt ondanks Repr. 1B (H360D); Arbobesluit art. 2.35 vereist risicogroepenbeoordeling zodra blootstelling niet is uitgesloten.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G-03 (LAAG-MIDDEN) — Monstervervoer:</w:t>
      </w:r>
      <w:r>
        <w:t xml:space="preserve"> </w:t>
      </w:r>
      <w:r>
        <w:t xml:space="preserve">vereis UN-gecertificeerde verpakking conform ADR/IMDG bij verzending van kwikhoudende monsters.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Herzieningsvoorstel — Procedure 003.057 Safe Handling of Mercury</dc:title>
  <dc:creator>JvG Consultancy</dc:creator>
  <cp:keywords/>
  <dcterms:created xsi:type="dcterms:W3CDTF">2026-08-24T17:48:59Z</dcterms:created>
  <dcterms:modified xsi:type="dcterms:W3CDTF">2026-08-24T17:48:59Z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24-08-2026</vt:lpwstr>
  </property>
</Properties>
</file>