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after="40"/>
        <w:jc w:val="center"/>
      </w:pPr>
      <w:r>
        <w:rPr>
          <w:rFonts w:ascii="Calibri" w:hAnsi="Calibri"/>
          <w:b/>
          <w:i w:val="0"/>
          <w:color w:val="003366"/>
          <w:sz w:val="28"/>
        </w:rPr>
        <w:t>JvG CONSULTANCY — HSEQ</w:t>
      </w:r>
    </w:p>
    <w:p>
      <w:pPr>
        <w:spacing w:after="40"/>
        <w:jc w:val="center"/>
      </w:pPr>
      <w:r>
        <w:rPr>
          <w:rFonts w:ascii="Calibri" w:hAnsi="Calibri"/>
          <w:b/>
          <w:i w:val="0"/>
          <w:color w:val="003366"/>
          <w:sz w:val="48"/>
        </w:rPr>
        <w:t>GOLDEN STANDARD AUDIT</w:t>
      </w:r>
    </w:p>
    <w:p>
      <w:pPr>
        <w:spacing w:after="40"/>
        <w:jc w:val="center"/>
      </w:pPr>
      <w:r>
        <w:rPr>
          <w:rFonts w:ascii="Calibri" w:hAnsi="Calibri"/>
          <w:b/>
          <w:i w:val="0"/>
          <w:color w:val="003366"/>
          <w:sz w:val="32"/>
        </w:rPr>
        <w:t>Kwik — Koole 003.057</w:t>
      </w:r>
    </w:p>
    <w:p>
      <w:pPr>
        <w:spacing w:after="320"/>
        <w:jc w:val="center"/>
      </w:pPr>
      <w:r>
        <w:rPr>
          <w:rFonts w:ascii="Calibri" w:hAnsi="Calibri"/>
          <w:b w:val="0"/>
          <w:i w:val="0"/>
          <w:sz w:val="24"/>
        </w:rPr>
        <w:t>Diepgaande toetsing per wetsartikel — Wintershall Decommissioning</w:t>
      </w:r>
    </w:p>
    <w:p>
      <w:pPr>
        <w:spacing w:after="80"/>
        <w:jc w:val="center"/>
      </w:pPr>
      <w:r>
        <w:rPr>
          <w:rFonts w:ascii="Calibri" w:hAnsi="Calibri"/>
          <w:b w:val="0"/>
          <w:i w:val="0"/>
          <w:sz w:val="20"/>
        </w:rPr>
        <w:t>Brondocument: MSD 003.057 "Safe Handling of Mercury" Rev 1 (12-05-2026)</w:t>
      </w:r>
    </w:p>
    <w:p>
      <w:pPr>
        <w:spacing w:after="80"/>
        <w:jc w:val="center"/>
      </w:pPr>
      <w:r>
        <w:rPr>
          <w:rFonts w:ascii="Calibri" w:hAnsi="Calibri"/>
          <w:b w:val="0"/>
          <w:i w:val="0"/>
          <w:sz w:val="20"/>
        </w:rPr>
        <w:t>Format: Golden Standard Audit Asbest 003.059 v2.0</w:t>
      </w:r>
    </w:p>
    <w:p>
      <w:pPr>
        <w:spacing w:after="400"/>
        <w:jc w:val="center"/>
      </w:pPr>
      <w:r>
        <w:rPr>
          <w:rFonts w:ascii="Calibri" w:hAnsi="Calibri"/>
          <w:b w:val="0"/>
          <w:i/>
          <w:sz w:val="20"/>
        </w:rPr>
        <w:t>Status: Definitief — Vertrouwelijk</w:t>
      </w:r>
    </w:p>
    <w:p>
      <w:pPr>
        <w:pStyle w:val="Heading1"/>
      </w:pPr>
      <w:r>
        <w:t>1. Managementsamenvatting</w:t>
      </w:r>
    </w:p>
    <w:p>
      <w:pPr>
        <w:spacing w:after="120"/>
      </w:pPr>
      <w:r>
        <w:rPr>
          <w:rFonts w:ascii="Calibri" w:hAnsi="Calibri"/>
          <w:b w:val="0"/>
          <w:i w:val="0"/>
          <w:sz w:val="22"/>
        </w:rPr>
        <w:t>Deze Golden Standard Audit toetst de Koole-procedure MSD 003.057 “Safe Handling of Mercury” (Rev 1, 12-05-2026) integraal aan het Nederlandse wettelijke kader voor het werken met kwik tijdens offshore decommissioning. De audit volgt het format van de Golden Standard Audit Asbest 003.059 (augustus 2026) en combineert een clause-voor-clausule documenttoetsing met verificatie van alle kernfeiten tegen primaire bronnen.</w:t>
      </w:r>
    </w:p>
    <w:p>
      <w:pPr>
        <w:spacing w:after="120"/>
      </w:pPr>
      <w:r>
        <w:rPr>
          <w:rFonts w:ascii="Calibri" w:hAnsi="Calibri"/>
          <w:b w:val="0"/>
          <w:i w:val="0"/>
          <w:sz w:val="22"/>
        </w:rPr>
        <w:t>Eindoordeel: de procedure is technisch volwassen en scoort op de Arbobesluit-kern ≈50% volledig conform (5 conform, 4 deels conform, 3 ontbrekend van 12 kerneisen). Twee wettelijk verplichte hiaten hebben hoge ernst: ontbrekende medische surveillance (art. 4.10a/4.10b) en ontbrekend CMR-blootstellingsregister (art. 4.15). Eén potentieel onjuiste instructie (IBC-transport in Annex III) vereist verificatie en herschrijving. Herziening op R-01 t/m R-03 is vereist vóór projectuitvoering.</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Kengetal</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Bevindingen totaal</w:t>
            </w:r>
          </w:p>
        </w:tc>
        <w:tc>
          <w:tcPr>
            <w:tcW w:type="dxa" w:w="4759"/>
          </w:tcPr>
          <w:p>
            <w:r/>
            <w:r>
              <w:rPr>
                <w:rFonts w:ascii="Calibri" w:hAnsi="Calibri"/>
                <w:b w:val="0"/>
                <w:color w:val="1F2937"/>
                <w:sz w:val="19"/>
              </w:rPr>
              <w:t>12 (R-01 t/m R-12)</w:t>
            </w:r>
          </w:p>
        </w:tc>
      </w:tr>
      <w:tr>
        <w:tc>
          <w:tcPr>
            <w:tcW w:type="dxa" w:w="4759"/>
          </w:tcPr>
          <w:p>
            <w:r/>
            <w:r>
              <w:rPr>
                <w:rFonts w:ascii="Calibri" w:hAnsi="Calibri"/>
                <w:b w:val="0"/>
                <w:color w:val="1F2937"/>
                <w:sz w:val="19"/>
              </w:rPr>
              <w:t>HOOG (wettelijk verplicht / potentieel onjuiste instructie)</w:t>
            </w:r>
          </w:p>
        </w:tc>
        <w:tc>
          <w:tcPr>
            <w:tcW w:type="dxa" w:w="4759"/>
          </w:tcPr>
          <w:p>
            <w:r/>
            <w:r>
              <w:rPr>
                <w:rFonts w:ascii="Calibri" w:hAnsi="Calibri"/>
                <w:b w:val="0"/>
                <w:color w:val="1F2937"/>
                <w:sz w:val="19"/>
              </w:rPr>
              <w:t>3</w:t>
            </w:r>
          </w:p>
        </w:tc>
      </w:tr>
      <w:tr>
        <w:tc>
          <w:tcPr>
            <w:tcW w:type="dxa" w:w="4759"/>
          </w:tcPr>
          <w:p>
            <w:r/>
            <w:r>
              <w:rPr>
                <w:rFonts w:ascii="Calibri" w:hAnsi="Calibri"/>
                <w:b w:val="0"/>
                <w:color w:val="1F2937"/>
                <w:sz w:val="19"/>
              </w:rPr>
              <w:t>MIDDEN (onvolledig / verbeterpunten)</w:t>
            </w:r>
          </w:p>
        </w:tc>
        <w:tc>
          <w:tcPr>
            <w:tcW w:type="dxa" w:w="4759"/>
          </w:tcPr>
          <w:p>
            <w:r/>
            <w:r>
              <w:rPr>
                <w:rFonts w:ascii="Calibri" w:hAnsi="Calibri"/>
                <w:b w:val="0"/>
                <w:color w:val="1F2937"/>
                <w:sz w:val="19"/>
              </w:rPr>
              <w:t>6</w:t>
            </w:r>
          </w:p>
        </w:tc>
      </w:tr>
      <w:tr>
        <w:tc>
          <w:tcPr>
            <w:tcW w:type="dxa" w:w="4759"/>
          </w:tcPr>
          <w:p>
            <w:r/>
            <w:r>
              <w:rPr>
                <w:rFonts w:ascii="Calibri" w:hAnsi="Calibri"/>
                <w:b w:val="0"/>
                <w:color w:val="1F2937"/>
                <w:sz w:val="19"/>
              </w:rPr>
              <w:t>LAAG (best practice / detail)</w:t>
            </w:r>
          </w:p>
        </w:tc>
        <w:tc>
          <w:tcPr>
            <w:tcW w:type="dxa" w:w="4759"/>
          </w:tcPr>
          <w:p>
            <w:r/>
            <w:r>
              <w:rPr>
                <w:rFonts w:ascii="Calibri" w:hAnsi="Calibri"/>
                <w:b w:val="0"/>
                <w:color w:val="1F2937"/>
                <w:sz w:val="19"/>
              </w:rPr>
              <w:t>3</w:t>
            </w:r>
          </w:p>
        </w:tc>
      </w:tr>
      <w:tr>
        <w:tc>
          <w:tcPr>
            <w:tcW w:type="dxa" w:w="4759"/>
          </w:tcPr>
          <w:p>
            <w:r/>
            <w:r>
              <w:rPr>
                <w:rFonts w:ascii="Calibri" w:hAnsi="Calibri"/>
                <w:b w:val="0"/>
                <w:color w:val="1F2937"/>
                <w:sz w:val="19"/>
              </w:rPr>
              <w:t>Positieve bevindingen</w:t>
            </w:r>
          </w:p>
        </w:tc>
        <w:tc>
          <w:tcPr>
            <w:tcW w:type="dxa" w:w="4759"/>
          </w:tcPr>
          <w:p>
            <w:r/>
            <w:r>
              <w:rPr>
                <w:rFonts w:ascii="Calibri" w:hAnsi="Calibri"/>
                <w:b w:val="0"/>
                <w:color w:val="1F2937"/>
                <w:sz w:val="19"/>
              </w:rPr>
              <w:t>8</w:t>
            </w:r>
          </w:p>
        </w:tc>
      </w:tr>
      <w:tr>
        <w:tc>
          <w:tcPr>
            <w:tcW w:type="dxa" w:w="4759"/>
          </w:tcPr>
          <w:p>
            <w:r/>
            <w:r>
              <w:rPr>
                <w:rFonts w:ascii="Calibri" w:hAnsi="Calibri"/>
                <w:b w:val="0"/>
                <w:color w:val="1F2937"/>
                <w:sz w:val="19"/>
              </w:rPr>
              <w:t>Verificatiepunten (veldinspectie)</w:t>
            </w:r>
          </w:p>
        </w:tc>
        <w:tc>
          <w:tcPr>
            <w:tcW w:type="dxa" w:w="4759"/>
          </w:tcPr>
          <w:p>
            <w:r/>
            <w:r>
              <w:rPr>
                <w:rFonts w:ascii="Calibri" w:hAnsi="Calibri"/>
                <w:b w:val="0"/>
                <w:color w:val="1F2937"/>
                <w:sz w:val="19"/>
              </w:rPr>
              <w:t>3</w:t>
            </w:r>
          </w:p>
        </w:tc>
      </w:tr>
      <w:tr>
        <w:tc>
          <w:tcPr>
            <w:tcW w:type="dxa" w:w="4759"/>
          </w:tcPr>
          <w:p>
            <w:r/>
            <w:r>
              <w:rPr>
                <w:rFonts w:ascii="Calibri" w:hAnsi="Calibri"/>
                <w:b w:val="0"/>
                <w:color w:val="1F2937"/>
                <w:sz w:val="19"/>
              </w:rPr>
              <w:t>Definitief oordeel</w:t>
            </w:r>
          </w:p>
        </w:tc>
        <w:tc>
          <w:tcPr>
            <w:tcW w:type="dxa" w:w="4759"/>
          </w:tcPr>
          <w:p>
            <w:r/>
            <w:r>
              <w:rPr>
                <w:rFonts w:ascii="Calibri" w:hAnsi="Calibri"/>
                <w:b w:val="0"/>
                <w:color w:val="1F2937"/>
                <w:sz w:val="19"/>
              </w:rPr>
              <w:t>MATIG-HOOG risico — herziening vereist vóór uitvoering</w:t>
            </w:r>
          </w:p>
        </w:tc>
      </w:tr>
    </w:tbl>
    <w:p>
      <w:pPr>
        <w:spacing w:after="40"/>
      </w:pPr>
    </w:p>
    <w:p>
      <w:pPr>
        <w:pStyle w:val="Heading1"/>
      </w:pPr>
      <w:r>
        <w:t>2. Auditopdracht en Scope</w:t>
      </w:r>
    </w:p>
    <w:p>
      <w:pPr>
        <w:pStyle w:val="Heading2"/>
      </w:pPr>
      <w:r>
        <w:t>2.1 Brondocument</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Titel</w:t>
            </w:r>
          </w:p>
        </w:tc>
        <w:tc>
          <w:tcPr>
            <w:tcW w:type="dxa" w:w="4759"/>
          </w:tcPr>
          <w:p>
            <w:r/>
            <w:r>
              <w:rPr>
                <w:rFonts w:ascii="Calibri" w:hAnsi="Calibri"/>
                <w:b w:val="0"/>
                <w:color w:val="1F2937"/>
                <w:sz w:val="19"/>
              </w:rPr>
              <w:t>MSD 003 Procedure Manual — Safe Handling of Mercury</w:t>
            </w:r>
          </w:p>
        </w:tc>
      </w:tr>
      <w:tr>
        <w:tc>
          <w:tcPr>
            <w:tcW w:type="dxa" w:w="4759"/>
          </w:tcPr>
          <w:p>
            <w:r/>
            <w:r>
              <w:rPr>
                <w:rFonts w:ascii="Calibri" w:hAnsi="Calibri"/>
                <w:b w:val="0"/>
                <w:color w:val="1F2937"/>
                <w:sz w:val="19"/>
              </w:rPr>
              <w:t>Documentnummer</w:t>
            </w:r>
          </w:p>
        </w:tc>
        <w:tc>
          <w:tcPr>
            <w:tcW w:type="dxa" w:w="4759"/>
          </w:tcPr>
          <w:p>
            <w:r/>
            <w:r>
              <w:rPr>
                <w:rFonts w:ascii="Calibri" w:hAnsi="Calibri"/>
                <w:b w:val="0"/>
                <w:color w:val="1F2937"/>
                <w:sz w:val="19"/>
              </w:rPr>
              <w:t>003.057</w:t>
            </w:r>
          </w:p>
        </w:tc>
      </w:tr>
      <w:tr>
        <w:tc>
          <w:tcPr>
            <w:tcW w:type="dxa" w:w="4759"/>
          </w:tcPr>
          <w:p>
            <w:r/>
            <w:r>
              <w:rPr>
                <w:rFonts w:ascii="Calibri" w:hAnsi="Calibri"/>
                <w:b w:val="0"/>
                <w:color w:val="1F2937"/>
                <w:sz w:val="19"/>
              </w:rPr>
              <w:t>Revisie</w:t>
            </w:r>
          </w:p>
        </w:tc>
        <w:tc>
          <w:tcPr>
            <w:tcW w:type="dxa" w:w="4759"/>
          </w:tcPr>
          <w:p>
            <w:r/>
            <w:r>
              <w:rPr>
                <w:rFonts w:ascii="Calibri" w:hAnsi="Calibri"/>
                <w:b w:val="0"/>
                <w:color w:val="1F2937"/>
                <w:sz w:val="19"/>
              </w:rPr>
              <w:t>Rev 1 (12-05-2026), Issued for Implementation; Rev A (02-03-2026) Issued for Comments</w:t>
            </w:r>
          </w:p>
        </w:tc>
      </w:tr>
      <w:tr>
        <w:tc>
          <w:tcPr>
            <w:tcW w:type="dxa" w:w="4759"/>
          </w:tcPr>
          <w:p>
            <w:r/>
            <w:r>
              <w:rPr>
                <w:rFonts w:ascii="Calibri" w:hAnsi="Calibri"/>
                <w:b w:val="0"/>
                <w:color w:val="1F2937"/>
                <w:sz w:val="19"/>
              </w:rPr>
              <w:t>Goedkeuring</w:t>
            </w:r>
          </w:p>
        </w:tc>
        <w:tc>
          <w:tcPr>
            <w:tcW w:type="dxa" w:w="4759"/>
          </w:tcPr>
          <w:p>
            <w:r/>
            <w:r>
              <w:rPr>
                <w:rFonts w:ascii="Calibri" w:hAnsi="Calibri"/>
                <w:b w:val="0"/>
                <w:color w:val="1F2937"/>
                <w:sz w:val="19"/>
              </w:rPr>
              <w:t>Prepared: R. Versluis; Checked: D. Wijngaard; Approved: W. van Lingen</w:t>
            </w:r>
          </w:p>
        </w:tc>
      </w:tr>
      <w:tr>
        <w:tc>
          <w:tcPr>
            <w:tcW w:type="dxa" w:w="4759"/>
          </w:tcPr>
          <w:p>
            <w:r/>
            <w:r>
              <w:rPr>
                <w:rFonts w:ascii="Calibri" w:hAnsi="Calibri"/>
                <w:b w:val="0"/>
                <w:color w:val="1F2937"/>
                <w:sz w:val="19"/>
              </w:rPr>
              <w:t>Omvang</w:t>
            </w:r>
          </w:p>
        </w:tc>
        <w:tc>
          <w:tcPr>
            <w:tcW w:type="dxa" w:w="4759"/>
          </w:tcPr>
          <w:p>
            <w:r/>
            <w:r>
              <w:rPr>
                <w:rFonts w:ascii="Calibri" w:hAnsi="Calibri"/>
                <w:b w:val="0"/>
                <w:color w:val="1F2937"/>
                <w:sz w:val="19"/>
              </w:rPr>
              <w:t>22 pagina’s incl. Annex I (decision flowchart), Annex II (RPE-banden), Annex III (verpakking/transport)</w:t>
            </w:r>
          </w:p>
        </w:tc>
      </w:tr>
      <w:tr>
        <w:tc>
          <w:tcPr>
            <w:tcW w:type="dxa" w:w="4759"/>
          </w:tcPr>
          <w:p>
            <w:r/>
            <w:r>
              <w:rPr>
                <w:rFonts w:ascii="Calibri" w:hAnsi="Calibri"/>
                <w:b w:val="0"/>
                <w:color w:val="1F2937"/>
                <w:sz w:val="19"/>
              </w:rPr>
              <w:t>Eigenaar</w:t>
            </w:r>
          </w:p>
        </w:tc>
        <w:tc>
          <w:tcPr>
            <w:tcW w:type="dxa" w:w="4759"/>
          </w:tcPr>
          <w:p>
            <w:r/>
            <w:r>
              <w:rPr>
                <w:rFonts w:ascii="Calibri" w:hAnsi="Calibri"/>
                <w:b w:val="0"/>
                <w:color w:val="1F2937"/>
                <w:sz w:val="19"/>
              </w:rPr>
              <w:t>Koole Offshore Operations (KOO B.V.)</w:t>
            </w:r>
          </w:p>
        </w:tc>
      </w:tr>
    </w:tbl>
    <w:p>
      <w:pPr>
        <w:spacing w:after="40"/>
      </w:pPr>
    </w:p>
    <w:p>
      <w:pPr>
        <w:pStyle w:val="Heading2"/>
      </w:pPr>
      <w:r>
        <w:t>2.2 Referentiekader</w:t>
      </w:r>
    </w:p>
    <w:p>
      <w:pPr>
        <w:pStyle w:val="ListBullet"/>
        <w:spacing w:after="60"/>
      </w:pPr>
      <w:r>
        <w:t>Arbeidsomstandighedenwet (art. 3, 5, 8) — zorgplicht, RI&amp;E, instructie.</w:t>
      </w:r>
    </w:p>
    <w:p>
      <w:pPr>
        <w:pStyle w:val="ListBullet"/>
        <w:spacing w:after="60"/>
      </w:pPr>
      <w:r>
        <w:t>Arbobesluit Hoofdstuk 4 — gevaarlijke stoffen, incl. CMR-regime (art. 4.10a, 4.10b, 4.13, 4.15, 4.21).</w:t>
      </w:r>
    </w:p>
    <w:p>
      <w:pPr>
        <w:pStyle w:val="ListBullet"/>
        <w:spacing w:after="60"/>
      </w:pPr>
      <w:r>
        <w:t>Arbeidsomstandighedenregeling afd. 4.4 — wettelijke grenswaarden.</w:t>
      </w:r>
    </w:p>
    <w:p>
      <w:pPr>
        <w:pStyle w:val="ListBullet"/>
        <w:spacing w:after="60"/>
      </w:pPr>
      <w:r>
        <w:t>EU-Kwikverordening (EU) 2017/852; Besluit kwik en kwikhoudende producten.</w:t>
      </w:r>
    </w:p>
    <w:p>
      <w:pPr>
        <w:pStyle w:val="ListBullet"/>
        <w:spacing w:after="60"/>
      </w:pPr>
      <w:r>
        <w:t>REACH (EG) 1907/2006; CLP (EG) 1272/2008 (harmonisatie Bijlage VI).</w:t>
      </w:r>
    </w:p>
    <w:p>
      <w:pPr>
        <w:pStyle w:val="ListBullet"/>
        <w:spacing w:after="60"/>
      </w:pPr>
      <w:r>
        <w:t>Bal; Wet milieubeheer/Eural; ADR/IMDG; Mijnbouwwet; OSPAR/MARPOL.</w:t>
      </w:r>
    </w:p>
    <w:p>
      <w:pPr>
        <w:pStyle w:val="ListBullet"/>
        <w:spacing w:after="60"/>
      </w:pPr>
      <w:r>
        <w:t>AI-bladen 31, 18, 64; NOGEPA Standard 86; NEN-EN 689/482.</w:t>
      </w:r>
    </w:p>
    <w:p>
      <w:pPr>
        <w:pStyle w:val="Heading2"/>
      </w:pPr>
      <w:r>
        <w:t>2.3 Scope en context</w:t>
      </w:r>
    </w:p>
    <w:p>
      <w:pPr>
        <w:spacing w:after="120"/>
      </w:pPr>
      <w:r>
        <w:rPr>
          <w:rFonts w:ascii="Calibri" w:hAnsi="Calibri"/>
          <w:b w:val="0"/>
          <w:i w:val="0"/>
          <w:sz w:val="22"/>
        </w:rPr>
        <w:t>Auditobject is uitsluitend het brondocument. De audit is document-based: uitvoering in het veld, certificaten, kalibratieregisters, trainingsdossiers en locatiecondities zijn niet beoordeeld. Context: Wintershall-decommissioning, small piece removal, offshore platform Nederlandse Noordzee; uitvoerder Koole.</w:t>
      </w:r>
    </w:p>
    <w:p>
      <w:pPr>
        <w:pStyle w:val="Heading2"/>
      </w:pPr>
      <w:r>
        <w:t>2.4 Beperkingen</w:t>
      </w:r>
    </w:p>
    <w:p>
      <w:pPr>
        <w:pStyle w:val="ListBullet"/>
        <w:spacing w:after="60"/>
      </w:pPr>
      <w:r>
        <w:t>Geen veldverificatie van metingen, kalibratie en registraties.</w:t>
      </w:r>
    </w:p>
    <w:p>
      <w:pPr>
        <w:pStyle w:val="ListBullet"/>
        <w:spacing w:after="60"/>
      </w:pPr>
      <w:r>
        <w:t>Annex III transportpassage vereist verificatie tegen de actuele ADR-editie (verificatiepunt V-1).</w:t>
      </w:r>
    </w:p>
    <w:p>
      <w:pPr>
        <w:pStyle w:val="ListBullet"/>
        <w:spacing w:after="60"/>
      </w:pPr>
      <w:r>
        <w:t>Vertaal-/interpretatieverschillen tussen Engelse proeceduretekst en Nederlandse wetgeving zijn pragmatisch opgelost; bij twijfel telt de wettekst.</w:t>
      </w:r>
    </w:p>
    <w:p>
      <w:pPr>
        <w:pStyle w:val="Heading1"/>
      </w:pPr>
      <w:r>
        <w:t>3. Wettelijk Kader en Referentiekader</w:t>
      </w:r>
    </w:p>
    <w:p>
      <w:pPr>
        <w:pStyle w:val="Heading2"/>
      </w:pPr>
      <w:r>
        <w:t>3.1 Primaire wetgeving</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val="clear" w:color="auto" w:fill="003366"/>
          </w:tcPr>
          <w:p>
            <w:r/>
            <w:r>
              <w:rPr>
                <w:rFonts w:ascii="Calibri" w:hAnsi="Calibri"/>
                <w:b/>
                <w:color w:val="FFFFFF"/>
                <w:sz w:val="19"/>
              </w:rPr>
              <w:t>Instrument</w:t>
            </w:r>
          </w:p>
        </w:tc>
        <w:tc>
          <w:tcPr>
            <w:tcW w:type="dxa" w:w="3173"/>
            <w:shd w:val="clear" w:color="auto" w:fill="003366"/>
          </w:tcPr>
          <w:p>
            <w:r/>
            <w:r>
              <w:rPr>
                <w:rFonts w:ascii="Calibri" w:hAnsi="Calibri"/>
                <w:b/>
                <w:color w:val="FFFFFF"/>
                <w:sz w:val="19"/>
              </w:rPr>
              <w:t>Artikelen</w:t>
            </w:r>
          </w:p>
        </w:tc>
        <w:tc>
          <w:tcPr>
            <w:tcW w:type="dxa" w:w="3173"/>
            <w:shd w:val="clear" w:color="auto" w:fill="003366"/>
          </w:tcPr>
          <w:p>
            <w:r/>
            <w:r>
              <w:rPr>
                <w:rFonts w:ascii="Calibri" w:hAnsi="Calibri"/>
                <w:b/>
                <w:color w:val="FFFFFF"/>
                <w:sz w:val="19"/>
              </w:rPr>
              <w:t>Relevantie</w:t>
            </w:r>
          </w:p>
        </w:tc>
      </w:tr>
      <w:tr>
        <w:tc>
          <w:tcPr>
            <w:tcW w:type="dxa" w:w="3173"/>
          </w:tcPr>
          <w:p>
            <w:r/>
            <w:r>
              <w:rPr>
                <w:rFonts w:ascii="Calibri" w:hAnsi="Calibri"/>
                <w:b w:val="0"/>
                <w:color w:val="1F2937"/>
                <w:sz w:val="19"/>
              </w:rPr>
              <w:t>Arbowet</w:t>
            </w:r>
          </w:p>
        </w:tc>
        <w:tc>
          <w:tcPr>
            <w:tcW w:type="dxa" w:w="3173"/>
          </w:tcPr>
          <w:p>
            <w:r/>
            <w:r>
              <w:rPr>
                <w:rFonts w:ascii="Calibri" w:hAnsi="Calibri"/>
                <w:b w:val="0"/>
                <w:color w:val="1F2937"/>
                <w:sz w:val="19"/>
              </w:rPr>
              <w:t>3, 5, 8</w:t>
            </w:r>
          </w:p>
        </w:tc>
        <w:tc>
          <w:tcPr>
            <w:tcW w:type="dxa" w:w="3173"/>
          </w:tcPr>
          <w:p>
            <w:r/>
            <w:r>
              <w:rPr>
                <w:rFonts w:ascii="Calibri" w:hAnsi="Calibri"/>
                <w:b w:val="0"/>
                <w:color w:val="1F2937"/>
                <w:sz w:val="19"/>
              </w:rPr>
              <w:t>Zorgplicht, RI&amp;E, instructie — overkoepelend</w:t>
            </w:r>
          </w:p>
        </w:tc>
      </w:tr>
      <w:tr>
        <w:tc>
          <w:tcPr>
            <w:tcW w:type="dxa" w:w="3173"/>
          </w:tcPr>
          <w:p>
            <w:r/>
            <w:r>
              <w:rPr>
                <w:rFonts w:ascii="Calibri" w:hAnsi="Calibri"/>
                <w:b w:val="0"/>
                <w:color w:val="1F2937"/>
                <w:sz w:val="19"/>
              </w:rPr>
              <w:t>Arbobesluit H4</w:t>
            </w:r>
          </w:p>
        </w:tc>
        <w:tc>
          <w:tcPr>
            <w:tcW w:type="dxa" w:w="3173"/>
          </w:tcPr>
          <w:p>
            <w:r/>
            <w:r>
              <w:rPr>
                <w:rFonts w:ascii="Calibri" w:hAnsi="Calibri"/>
                <w:b w:val="0"/>
                <w:color w:val="1F2937"/>
                <w:sz w:val="19"/>
              </w:rPr>
              <w:t>4.1-4.21</w:t>
            </w:r>
          </w:p>
        </w:tc>
        <w:tc>
          <w:tcPr>
            <w:tcW w:type="dxa" w:w="3173"/>
          </w:tcPr>
          <w:p>
            <w:r/>
            <w:r>
              <w:rPr>
                <w:rFonts w:ascii="Calibri" w:hAnsi="Calibri"/>
                <w:b w:val="0"/>
                <w:color w:val="1F2937"/>
                <w:sz w:val="19"/>
              </w:rPr>
              <w:t>Gevaarlijke stoffen incl. CMR-blok</w:t>
            </w:r>
          </w:p>
        </w:tc>
      </w:tr>
      <w:tr>
        <w:tc>
          <w:tcPr>
            <w:tcW w:type="dxa" w:w="3173"/>
          </w:tcPr>
          <w:p>
            <w:r/>
            <w:r>
              <w:rPr>
                <w:rFonts w:ascii="Calibri" w:hAnsi="Calibri"/>
                <w:b w:val="0"/>
                <w:color w:val="1F2937"/>
                <w:sz w:val="19"/>
              </w:rPr>
              <w:t>Arboregeling afd. 4.4</w:t>
            </w:r>
          </w:p>
        </w:tc>
        <w:tc>
          <w:tcPr>
            <w:tcW w:type="dxa" w:w="3173"/>
          </w:tcPr>
          <w:p>
            <w:r/>
            <w:r>
              <w:rPr>
                <w:rFonts w:ascii="Calibri" w:hAnsi="Calibri"/>
                <w:b w:val="0"/>
                <w:color w:val="1F2937"/>
                <w:sz w:val="19"/>
              </w:rPr>
              <w:t>—</w:t>
            </w:r>
          </w:p>
        </w:tc>
        <w:tc>
          <w:tcPr>
            <w:tcW w:type="dxa" w:w="3173"/>
          </w:tcPr>
          <w:p>
            <w:r/>
            <w:r>
              <w:rPr>
                <w:rFonts w:ascii="Calibri" w:hAnsi="Calibri"/>
                <w:b w:val="0"/>
                <w:color w:val="1F2937"/>
                <w:sz w:val="19"/>
              </w:rPr>
              <w:t>TGG-8u 0,02 mg/m³; geen STEL</w:t>
            </w:r>
          </w:p>
        </w:tc>
      </w:tr>
      <w:tr>
        <w:tc>
          <w:tcPr>
            <w:tcW w:type="dxa" w:w="3173"/>
          </w:tcPr>
          <w:p>
            <w:r/>
            <w:r>
              <w:rPr>
                <w:rFonts w:ascii="Calibri" w:hAnsi="Calibri"/>
                <w:b w:val="0"/>
                <w:color w:val="1F2937"/>
                <w:sz w:val="19"/>
              </w:rPr>
              <w:t>EU 2017/852</w:t>
            </w:r>
          </w:p>
        </w:tc>
        <w:tc>
          <w:tcPr>
            <w:tcW w:type="dxa" w:w="3173"/>
          </w:tcPr>
          <w:p>
            <w:r/>
            <w:r>
              <w:rPr>
                <w:rFonts w:ascii="Calibri" w:hAnsi="Calibri"/>
                <w:b w:val="0"/>
                <w:color w:val="1F2937"/>
                <w:sz w:val="19"/>
              </w:rPr>
              <w:t>art. 5-9</w:t>
            </w:r>
          </w:p>
        </w:tc>
        <w:tc>
          <w:tcPr>
            <w:tcW w:type="dxa" w:w="3173"/>
          </w:tcPr>
          <w:p>
            <w:r/>
            <w:r>
              <w:rPr>
                <w:rFonts w:ascii="Calibri" w:hAnsi="Calibri"/>
                <w:b w:val="0"/>
                <w:color w:val="1F2937"/>
                <w:sz w:val="19"/>
              </w:rPr>
              <w:t>Kwik: opslag, informatie, afval</w:t>
            </w:r>
          </w:p>
        </w:tc>
      </w:tr>
      <w:tr>
        <w:tc>
          <w:tcPr>
            <w:tcW w:type="dxa" w:w="3173"/>
          </w:tcPr>
          <w:p>
            <w:r/>
            <w:r>
              <w:rPr>
                <w:rFonts w:ascii="Calibri" w:hAnsi="Calibri"/>
                <w:b w:val="0"/>
                <w:color w:val="1F2937"/>
                <w:sz w:val="19"/>
              </w:rPr>
              <w:t>CLP</w:t>
            </w:r>
          </w:p>
        </w:tc>
        <w:tc>
          <w:tcPr>
            <w:tcW w:type="dxa" w:w="3173"/>
          </w:tcPr>
          <w:p>
            <w:r/>
            <w:r>
              <w:rPr>
                <w:rFonts w:ascii="Calibri" w:hAnsi="Calibri"/>
                <w:b w:val="0"/>
                <w:color w:val="1F2937"/>
                <w:sz w:val="19"/>
              </w:rPr>
              <w:t>Bijlage VI</w:t>
            </w:r>
          </w:p>
        </w:tc>
        <w:tc>
          <w:tcPr>
            <w:tcW w:type="dxa" w:w="3173"/>
          </w:tcPr>
          <w:p>
            <w:r/>
            <w:r>
              <w:rPr>
                <w:rFonts w:ascii="Calibri" w:hAnsi="Calibri"/>
                <w:b w:val="0"/>
                <w:color w:val="1F2937"/>
                <w:sz w:val="19"/>
              </w:rPr>
              <w:t>H360D, H372, H400, H410</w:t>
            </w:r>
          </w:p>
        </w:tc>
      </w:tr>
      <w:tr>
        <w:tc>
          <w:tcPr>
            <w:tcW w:type="dxa" w:w="3173"/>
          </w:tcPr>
          <w:p>
            <w:r/>
            <w:r>
              <w:rPr>
                <w:rFonts w:ascii="Calibri" w:hAnsi="Calibri"/>
                <w:b w:val="0"/>
                <w:color w:val="1F2937"/>
                <w:sz w:val="19"/>
              </w:rPr>
              <w:t>ADR</w:t>
            </w:r>
          </w:p>
        </w:tc>
        <w:tc>
          <w:tcPr>
            <w:tcW w:type="dxa" w:w="3173"/>
          </w:tcPr>
          <w:p>
            <w:r/>
            <w:r>
              <w:rPr>
                <w:rFonts w:ascii="Calibri" w:hAnsi="Calibri"/>
                <w:b w:val="0"/>
                <w:color w:val="1F2937"/>
                <w:sz w:val="19"/>
              </w:rPr>
              <w:t>tabel A</w:t>
            </w:r>
          </w:p>
        </w:tc>
        <w:tc>
          <w:tcPr>
            <w:tcW w:type="dxa" w:w="3173"/>
          </w:tcPr>
          <w:p>
            <w:r/>
            <w:r>
              <w:rPr>
                <w:rFonts w:ascii="Calibri" w:hAnsi="Calibri"/>
                <w:b w:val="0"/>
                <w:color w:val="1F2937"/>
                <w:sz w:val="19"/>
              </w:rPr>
              <w:t>UN 2809; IBC-verbod</w:t>
            </w:r>
          </w:p>
        </w:tc>
      </w:tr>
      <w:tr>
        <w:tc>
          <w:tcPr>
            <w:tcW w:type="dxa" w:w="3173"/>
          </w:tcPr>
          <w:p>
            <w:r/>
            <w:r>
              <w:rPr>
                <w:rFonts w:ascii="Calibri" w:hAnsi="Calibri"/>
                <w:b w:val="0"/>
                <w:color w:val="1F2937"/>
                <w:sz w:val="19"/>
              </w:rPr>
              <w:t>Bal/Wet milieubeheer</w:t>
            </w:r>
          </w:p>
        </w:tc>
        <w:tc>
          <w:tcPr>
            <w:tcW w:type="dxa" w:w="3173"/>
          </w:tcPr>
          <w:p>
            <w:r/>
            <w:r>
              <w:rPr>
                <w:rFonts w:ascii="Calibri" w:hAnsi="Calibri"/>
                <w:b w:val="0"/>
                <w:color w:val="1F2937"/>
                <w:sz w:val="19"/>
              </w:rPr>
              <w:t>—</w:t>
            </w:r>
          </w:p>
        </w:tc>
        <w:tc>
          <w:tcPr>
            <w:tcW w:type="dxa" w:w="3173"/>
          </w:tcPr>
          <w:p>
            <w:r/>
            <w:r>
              <w:rPr>
                <w:rFonts w:ascii="Calibri" w:hAnsi="Calibri"/>
                <w:b w:val="0"/>
                <w:color w:val="1F2937"/>
                <w:sz w:val="19"/>
              </w:rPr>
              <w:t>Eural 06 04 20*; begeleidingsbrief</w:t>
            </w:r>
          </w:p>
        </w:tc>
      </w:tr>
      <w:tr>
        <w:tc>
          <w:tcPr>
            <w:tcW w:type="dxa" w:w="3173"/>
          </w:tcPr>
          <w:p>
            <w:r/>
            <w:r>
              <w:rPr>
                <w:rFonts w:ascii="Calibri" w:hAnsi="Calibri"/>
                <w:b w:val="0"/>
                <w:color w:val="1F2937"/>
                <w:sz w:val="19"/>
              </w:rPr>
              <w:t>Mijnbouwwet</w:t>
            </w:r>
          </w:p>
        </w:tc>
        <w:tc>
          <w:tcPr>
            <w:tcW w:type="dxa" w:w="3173"/>
          </w:tcPr>
          <w:p>
            <w:r/>
            <w:r>
              <w:rPr>
                <w:rFonts w:ascii="Calibri" w:hAnsi="Calibri"/>
                <w:b w:val="0"/>
                <w:color w:val="1F2937"/>
                <w:sz w:val="19"/>
              </w:rPr>
              <w:t>—</w:t>
            </w:r>
          </w:p>
        </w:tc>
        <w:tc>
          <w:tcPr>
            <w:tcW w:type="dxa" w:w="3173"/>
          </w:tcPr>
          <w:p>
            <w:r/>
            <w:r>
              <w:rPr>
                <w:rFonts w:ascii="Calibri" w:hAnsi="Calibri"/>
                <w:b w:val="0"/>
                <w:color w:val="1F2937"/>
                <w:sz w:val="19"/>
              </w:rPr>
              <w:t>Toezicht continentale plat (Stoom)</w:t>
            </w:r>
          </w:p>
        </w:tc>
      </w:tr>
    </w:tbl>
    <w:p>
      <w:pPr>
        <w:spacing w:after="40"/>
      </w:pPr>
    </w:p>
    <w:p>
      <w:pPr>
        <w:pStyle w:val="Heading2"/>
      </w:pPr>
      <w:r>
        <w:t>3.2 Grenswaarde en classificatie</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val="clear" w:color="auto" w:fill="003366"/>
          </w:tcPr>
          <w:p>
            <w:r/>
            <w:r>
              <w:rPr>
                <w:rFonts w:ascii="Calibri" w:hAnsi="Calibri"/>
                <w:b/>
                <w:color w:val="FFFFFF"/>
                <w:sz w:val="19"/>
              </w:rPr>
              <w:t>Parameter</w:t>
            </w:r>
          </w:p>
        </w:tc>
        <w:tc>
          <w:tcPr>
            <w:tcW w:type="dxa" w:w="3173"/>
            <w:shd w:val="clear" w:color="auto" w:fill="003366"/>
          </w:tcPr>
          <w:p>
            <w:r/>
            <w:r>
              <w:rPr>
                <w:rFonts w:ascii="Calibri" w:hAnsi="Calibri"/>
                <w:b/>
                <w:color w:val="FFFFFF"/>
                <w:sz w:val="19"/>
              </w:rPr>
              <w:t>Waarde</w:t>
            </w:r>
          </w:p>
        </w:tc>
        <w:tc>
          <w:tcPr>
            <w:tcW w:type="dxa" w:w="3173"/>
            <w:shd w:val="clear" w:color="auto" w:fill="003366"/>
          </w:tcPr>
          <w:p>
            <w:r/>
            <w:r>
              <w:rPr>
                <w:rFonts w:ascii="Calibri" w:hAnsi="Calibri"/>
                <w:b/>
                <w:color w:val="FFFFFF"/>
                <w:sz w:val="19"/>
              </w:rPr>
              <w:t>Verificatie</w:t>
            </w:r>
          </w:p>
        </w:tc>
      </w:tr>
      <w:tr>
        <w:tc>
          <w:tcPr>
            <w:tcW w:type="dxa" w:w="3173"/>
          </w:tcPr>
          <w:p>
            <w:r/>
            <w:r>
              <w:rPr>
                <w:rFonts w:ascii="Calibri" w:hAnsi="Calibri"/>
                <w:b w:val="0"/>
                <w:color w:val="1F2937"/>
                <w:sz w:val="19"/>
              </w:rPr>
              <w:t>TGG-8u kwikdamp</w:t>
            </w:r>
          </w:p>
        </w:tc>
        <w:tc>
          <w:tcPr>
            <w:tcW w:type="dxa" w:w="3173"/>
          </w:tcPr>
          <w:p>
            <w:r/>
            <w:r>
              <w:rPr>
                <w:rFonts w:ascii="Calibri" w:hAnsi="Calibri"/>
                <w:b w:val="0"/>
                <w:color w:val="1F2937"/>
                <w:sz w:val="19"/>
              </w:rPr>
              <w:t>0,02 mg/m³ (≈ 0,0024 ppm)</w:t>
            </w:r>
          </w:p>
        </w:tc>
        <w:tc>
          <w:tcPr>
            <w:tcW w:type="dxa" w:w="3173"/>
          </w:tcPr>
          <w:p>
            <w:r/>
            <w:r>
              <w:rPr>
                <w:rFonts w:ascii="Calibri" w:hAnsi="Calibri"/>
                <w:b w:val="0"/>
                <w:color w:val="1F2937"/>
                <w:sz w:val="19"/>
              </w:rPr>
              <w:t>Arboregeling/SER — gecontroleerd</w:t>
            </w:r>
          </w:p>
        </w:tc>
      </w:tr>
      <w:tr>
        <w:tc>
          <w:tcPr>
            <w:tcW w:type="dxa" w:w="3173"/>
          </w:tcPr>
          <w:p>
            <w:r/>
            <w:r>
              <w:rPr>
                <w:rFonts w:ascii="Calibri" w:hAnsi="Calibri"/>
                <w:b w:val="0"/>
                <w:color w:val="1F2937"/>
                <w:sz w:val="19"/>
              </w:rPr>
              <w:t>STEL</w:t>
            </w:r>
          </w:p>
        </w:tc>
        <w:tc>
          <w:tcPr>
            <w:tcW w:type="dxa" w:w="3173"/>
          </w:tcPr>
          <w:p>
            <w:r/>
            <w:r>
              <w:rPr>
                <w:rFonts w:ascii="Calibri" w:hAnsi="Calibri"/>
                <w:b w:val="0"/>
                <w:color w:val="1F2937"/>
                <w:sz w:val="19"/>
              </w:rPr>
              <w:t>Niet vastgesteld in NL</w:t>
            </w:r>
          </w:p>
        </w:tc>
        <w:tc>
          <w:tcPr>
            <w:tcW w:type="dxa" w:w="3173"/>
          </w:tcPr>
          <w:p>
            <w:r/>
            <w:r>
              <w:rPr>
                <w:rFonts w:ascii="Calibri" w:hAnsi="Calibri"/>
                <w:b w:val="0"/>
                <w:color w:val="1F2937"/>
                <w:sz w:val="19"/>
              </w:rPr>
              <w:t>Arboregeling/SER — gecontroleerd</w:t>
            </w:r>
          </w:p>
        </w:tc>
      </w:tr>
      <w:tr>
        <w:tc>
          <w:tcPr>
            <w:tcW w:type="dxa" w:w="3173"/>
          </w:tcPr>
          <w:p>
            <w:r/>
            <w:r>
              <w:rPr>
                <w:rFonts w:ascii="Calibri" w:hAnsi="Calibri"/>
                <w:b w:val="0"/>
                <w:color w:val="1F2937"/>
                <w:sz w:val="19"/>
              </w:rPr>
              <w:t>CLP</w:t>
            </w:r>
          </w:p>
        </w:tc>
        <w:tc>
          <w:tcPr>
            <w:tcW w:type="dxa" w:w="3173"/>
          </w:tcPr>
          <w:p>
            <w:r/>
            <w:r>
              <w:rPr>
                <w:rFonts w:ascii="Calibri" w:hAnsi="Calibri"/>
                <w:b w:val="0"/>
                <w:color w:val="1F2937"/>
                <w:sz w:val="19"/>
              </w:rPr>
              <w:t>Repr. 1B H360D; STOT RE 1 H372; Aquatic Acute 1 H400; Aquatic Chronic 1 H410</w:t>
            </w:r>
          </w:p>
        </w:tc>
        <w:tc>
          <w:tcPr>
            <w:tcW w:type="dxa" w:w="3173"/>
          </w:tcPr>
          <w:p>
            <w:r/>
            <w:r>
              <w:rPr>
                <w:rFonts w:ascii="Calibri" w:hAnsi="Calibri"/>
                <w:b w:val="0"/>
                <w:color w:val="1F2937"/>
                <w:sz w:val="19"/>
              </w:rPr>
              <w:t>ECHA Bijlage VI — gecontroleerd</w:t>
            </w:r>
          </w:p>
        </w:tc>
      </w:tr>
      <w:tr>
        <w:tc>
          <w:tcPr>
            <w:tcW w:type="dxa" w:w="3173"/>
          </w:tcPr>
          <w:p>
            <w:r/>
            <w:r>
              <w:rPr>
                <w:rFonts w:ascii="Calibri" w:hAnsi="Calibri"/>
                <w:b w:val="0"/>
                <w:color w:val="1F2937"/>
                <w:sz w:val="19"/>
              </w:rPr>
              <w:t>ADR</w:t>
            </w:r>
          </w:p>
        </w:tc>
        <w:tc>
          <w:tcPr>
            <w:tcW w:type="dxa" w:w="3173"/>
          </w:tcPr>
          <w:p>
            <w:r/>
            <w:r>
              <w:rPr>
                <w:rFonts w:ascii="Calibri" w:hAnsi="Calibri"/>
                <w:b w:val="0"/>
                <w:color w:val="1F2937"/>
                <w:sz w:val="19"/>
              </w:rPr>
              <w:t>UN 2809, klasse 8, PG III, tunnel (E); IBC verboden</w:t>
            </w:r>
          </w:p>
        </w:tc>
        <w:tc>
          <w:tcPr>
            <w:tcW w:type="dxa" w:w="3173"/>
          </w:tcPr>
          <w:p>
            <w:r/>
            <w:r>
              <w:rPr>
                <w:rFonts w:ascii="Calibri" w:hAnsi="Calibri"/>
                <w:b w:val="0"/>
                <w:color w:val="1F2937"/>
                <w:sz w:val="19"/>
              </w:rPr>
              <w:t>ADR deel 3 — gecontroleerd</w:t>
            </w:r>
          </w:p>
        </w:tc>
      </w:tr>
      <w:tr>
        <w:tc>
          <w:tcPr>
            <w:tcW w:type="dxa" w:w="3173"/>
          </w:tcPr>
          <w:p>
            <w:r/>
            <w:r>
              <w:rPr>
                <w:rFonts w:ascii="Calibri" w:hAnsi="Calibri"/>
                <w:b w:val="0"/>
                <w:color w:val="1F2937"/>
                <w:sz w:val="19"/>
              </w:rPr>
              <w:t>Eural</w:t>
            </w:r>
          </w:p>
        </w:tc>
        <w:tc>
          <w:tcPr>
            <w:tcW w:type="dxa" w:w="3173"/>
          </w:tcPr>
          <w:p>
            <w:r/>
            <w:r>
              <w:rPr>
                <w:rFonts w:ascii="Calibri" w:hAnsi="Calibri"/>
                <w:b w:val="0"/>
                <w:color w:val="1F2937"/>
                <w:sz w:val="19"/>
              </w:rPr>
              <w:t>&gt;3% massaconcentratie → gevaarlijk afval</w:t>
            </w:r>
          </w:p>
        </w:tc>
        <w:tc>
          <w:tcPr>
            <w:tcW w:type="dxa" w:w="3173"/>
          </w:tcPr>
          <w:p>
            <w:r/>
            <w:r>
              <w:rPr>
                <w:rFonts w:ascii="Calibri" w:hAnsi="Calibri"/>
                <w:b w:val="0"/>
                <w:color w:val="1F2937"/>
                <w:sz w:val="19"/>
              </w:rPr>
              <w:t>Eural-lijst — gecontroleerd</w:t>
            </w:r>
          </w:p>
        </w:tc>
      </w:tr>
    </w:tbl>
    <w:p>
      <w:pPr>
        <w:spacing w:after="40"/>
      </w:pPr>
    </w:p>
    <w:p>
      <w:pPr>
        <w:pStyle w:val="Heading2"/>
      </w:pPr>
      <w:r>
        <w:t>3.3 Eisen CMR-regime</w:t>
      </w:r>
    </w:p>
    <w:p>
      <w:pPr>
        <w:spacing w:after="120"/>
      </w:pPr>
      <w:r>
        <w:rPr>
          <w:rFonts w:ascii="Calibri" w:hAnsi="Calibri"/>
          <w:b w:val="0"/>
          <w:i w:val="0"/>
          <w:sz w:val="22"/>
        </w:rPr>
        <w:t>Kwik is als Repr. 1B geclassificeerd en valt daarmee onder het regime voor reprotoxische stoffen (CMR-afdeling van Arbobesluit H4). Dit brengt aanvullende verplichtingen met zich mee die verder gaan dan het reguliere gevaarlijke-stoffenregime: arbeidsgezondheidskundig onderzoek (4.10a/b), vermelding in de RI&amp;E inclusief vervangingsafweging (4.13), blootstellingsregister met inzagerecht (4.15) en het abnormale-blootstellingsregime (4.21).</w:t>
      </w:r>
    </w:p>
    <w:p>
      <w:pPr>
        <w:pStyle w:val="Heading1"/>
      </w:pPr>
      <w:r>
        <w:t>4. Auditmethodiek</w:t>
      </w:r>
    </w:p>
    <w:p>
      <w:pPr>
        <w:spacing w:after="120"/>
      </w:pPr>
      <w:r>
        <w:rPr>
          <w:rFonts w:ascii="Calibri" w:hAnsi="Calibri"/>
          <w:b w:val="0"/>
          <w:i w:val="0"/>
          <w:sz w:val="22"/>
        </w:rPr>
        <w:t>De audit is uitgevoerd in vijf stappen: (1) integrale extractie van de brontekst; (2) opbouw van het toetsingskader uit primaire bronnen; (3) clause-voor-clausule toetsing met vaststelling van status (Conform / Deels / Ontbreekt) en prioriteit (HOOG/MIDDEN/LAAG); (4) verificatie van alle kernfeiten (grenswaarden, classificaties, ADR-gegevens) tegen primaire bronnen; (5) samenstelling van bevindingenregister, conformiteitsmatrix en herzieningsvoorstellen.</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Status</w:t>
            </w:r>
          </w:p>
        </w:tc>
        <w:tc>
          <w:tcPr>
            <w:tcW w:type="dxa" w:w="4759"/>
            <w:shd w:val="clear" w:color="auto" w:fill="003366"/>
          </w:tcPr>
          <w:p>
            <w:r/>
            <w:r>
              <w:rPr>
                <w:rFonts w:ascii="Calibri" w:hAnsi="Calibri"/>
                <w:b/>
                <w:color w:val="FFFFFF"/>
                <w:sz w:val="19"/>
              </w:rPr>
              <w:t>Definitie</w:t>
            </w:r>
          </w:p>
        </w:tc>
      </w:tr>
      <w:tr>
        <w:tc>
          <w:tcPr>
            <w:tcW w:type="dxa" w:w="4759"/>
          </w:tcPr>
          <w:p>
            <w:r/>
            <w:r>
              <w:rPr>
                <w:rFonts w:ascii="Calibri" w:hAnsi="Calibri"/>
                <w:b w:val="0"/>
                <w:color w:val="1F2937"/>
                <w:sz w:val="19"/>
              </w:rPr>
              <w:t>CONFORM</w:t>
            </w:r>
          </w:p>
        </w:tc>
        <w:tc>
          <w:tcPr>
            <w:tcW w:type="dxa" w:w="4759"/>
          </w:tcPr>
          <w:p>
            <w:r/>
            <w:r>
              <w:rPr>
                <w:rFonts w:ascii="Calibri" w:hAnsi="Calibri"/>
                <w:b w:val="0"/>
                <w:color w:val="1F2937"/>
                <w:sz w:val="19"/>
              </w:rPr>
              <w:t>Vereiste volledig en correct in het brondocument opgenomen</w:t>
            </w:r>
          </w:p>
        </w:tc>
      </w:tr>
      <w:tr>
        <w:tc>
          <w:tcPr>
            <w:tcW w:type="dxa" w:w="4759"/>
          </w:tcPr>
          <w:p>
            <w:r/>
            <w:r>
              <w:rPr>
                <w:rFonts w:ascii="Calibri" w:hAnsi="Calibri"/>
                <w:b w:val="0"/>
                <w:color w:val="1F2937"/>
                <w:sz w:val="19"/>
              </w:rPr>
              <w:t>DEELS</w:t>
            </w:r>
          </w:p>
        </w:tc>
        <w:tc>
          <w:tcPr>
            <w:tcW w:type="dxa" w:w="4759"/>
          </w:tcPr>
          <w:p>
            <w:r/>
            <w:r>
              <w:rPr>
                <w:rFonts w:ascii="Calibri" w:hAnsi="Calibri"/>
                <w:b w:val="0"/>
                <w:color w:val="1F2937"/>
                <w:sz w:val="19"/>
              </w:rPr>
              <w:t>Vereiste aanwezig maar onvolledig of niet verankerd</w:t>
            </w:r>
          </w:p>
        </w:tc>
      </w:tr>
      <w:tr>
        <w:tc>
          <w:tcPr>
            <w:tcW w:type="dxa" w:w="4759"/>
          </w:tcPr>
          <w:p>
            <w:r/>
            <w:r>
              <w:rPr>
                <w:rFonts w:ascii="Calibri" w:hAnsi="Calibri"/>
                <w:b w:val="0"/>
                <w:color w:val="1F2937"/>
                <w:sz w:val="19"/>
              </w:rPr>
              <w:t>ONTBREEKT</w:t>
            </w:r>
          </w:p>
        </w:tc>
        <w:tc>
          <w:tcPr>
            <w:tcW w:type="dxa" w:w="4759"/>
          </w:tcPr>
          <w:p>
            <w:r/>
            <w:r>
              <w:rPr>
                <w:rFonts w:ascii="Calibri" w:hAnsi="Calibri"/>
                <w:b w:val="0"/>
                <w:color w:val="1F2937"/>
                <w:sz w:val="19"/>
              </w:rPr>
              <w:t>Vereiste niet opgenomen — wet- of normverzuim</w:t>
            </w:r>
          </w:p>
        </w:tc>
      </w:tr>
      <w:tr>
        <w:tc>
          <w:tcPr>
            <w:tcW w:type="dxa" w:w="4759"/>
          </w:tcPr>
          <w:p>
            <w:r/>
            <w:r>
              <w:rPr>
                <w:rFonts w:ascii="Calibri" w:hAnsi="Calibri"/>
                <w:b w:val="0"/>
                <w:color w:val="1F2937"/>
                <w:sz w:val="19"/>
              </w:rPr>
              <w:t>VERIFICATIE</w:t>
            </w:r>
          </w:p>
        </w:tc>
        <w:tc>
          <w:tcPr>
            <w:tcW w:type="dxa" w:w="4759"/>
          </w:tcPr>
          <w:p>
            <w:r/>
            <w:r>
              <w:rPr>
                <w:rFonts w:ascii="Calibri" w:hAnsi="Calibri"/>
                <w:b w:val="0"/>
                <w:color w:val="1F2937"/>
                <w:sz w:val="19"/>
              </w:rPr>
              <w:t>Feit of instructie die veld- of brontoezicht vereist</w:t>
            </w:r>
          </w:p>
        </w:tc>
      </w:tr>
    </w:tbl>
    <w:p>
      <w:pPr>
        <w:spacing w:after="40"/>
      </w:pPr>
    </w:p>
    <w:p>
      <w:pPr>
        <w:pStyle w:val="Heading2"/>
      </w:pPr>
      <w:r>
        <w:t>4.1 Kwaliteitsborging van de toetsing</w:t>
      </w:r>
    </w:p>
    <w:p>
      <w:pPr>
        <w:pStyle w:val="ListBullet"/>
        <w:spacing w:after="60"/>
      </w:pPr>
      <w:r>
        <w:t>Tweede-lezer-beginsel: elke HOOG-bevinding is door een tweede beoordelaar tegengelezen op feitjuistheid.</w:t>
      </w:r>
    </w:p>
    <w:p>
      <w:pPr>
        <w:pStyle w:val="ListBullet"/>
        <w:spacing w:after="60"/>
      </w:pPr>
      <w:r>
        <w:t>Bronnenhiërarchie: wettekst &gt; verordening &gt; norm/AI-blad &gt; branchestandaard &gt; brondocument.</w:t>
      </w:r>
    </w:p>
    <w:p>
      <w:pPr>
        <w:pStyle w:val="ListBullet"/>
        <w:spacing w:after="60"/>
      </w:pPr>
      <w:r>
        <w:t>Traceerbaarheid: elke bevinding heeft een uniek ID (R/F/T-serie) en is terug te voeren op de conformiteitsmatrix.</w:t>
      </w:r>
    </w:p>
    <w:p>
      <w:pPr>
        <w:pStyle w:val="ListBullet"/>
        <w:spacing w:after="60"/>
      </w:pPr>
      <w:r>
        <w:t>Actualiteit: toetskader is de op de auditdatum geldende versie van wet- en regelgeving.</w:t>
      </w:r>
    </w:p>
    <w:p>
      <w:pPr>
        <w:pStyle w:val="ListBullet"/>
        <w:spacing w:after="60"/>
      </w:pPr>
      <w:r>
        <w:t>Herstelgericht: elke bevinding is voorzien van een concrete hersteltekst (T-serie) in het Tekstueel Verbeteradvies.</w:t>
      </w:r>
    </w:p>
    <w:p>
      <w:pPr>
        <w:pStyle w:val="Heading2"/>
      </w:pPr>
      <w:r>
        <w:t>4.2 Classificatie van ernst</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Ernst</w:t>
            </w:r>
          </w:p>
        </w:tc>
        <w:tc>
          <w:tcPr>
            <w:tcW w:type="dxa" w:w="4759"/>
            <w:shd w:val="clear" w:color="auto" w:fill="003366"/>
          </w:tcPr>
          <w:p>
            <w:r/>
            <w:r>
              <w:rPr>
                <w:rFonts w:ascii="Calibri" w:hAnsi="Calibri"/>
                <w:b/>
                <w:color w:val="FFFFFF"/>
                <w:sz w:val="19"/>
              </w:rPr>
              <w:t>Criterium</w:t>
            </w:r>
          </w:p>
        </w:tc>
      </w:tr>
      <w:tr>
        <w:tc>
          <w:tcPr>
            <w:tcW w:type="dxa" w:w="4759"/>
          </w:tcPr>
          <w:p>
            <w:r/>
            <w:r>
              <w:rPr>
                <w:rFonts w:ascii="Calibri" w:hAnsi="Calibri"/>
                <w:b w:val="0"/>
                <w:color w:val="1F2937"/>
                <w:sz w:val="19"/>
              </w:rPr>
              <w:t>HOOG</w:t>
            </w:r>
          </w:p>
        </w:tc>
        <w:tc>
          <w:tcPr>
            <w:tcW w:type="dxa" w:w="4759"/>
          </w:tcPr>
          <w:p>
            <w:r/>
            <w:r>
              <w:rPr>
                <w:rFonts w:ascii="Calibri" w:hAnsi="Calibri"/>
                <w:b w:val="0"/>
                <w:color w:val="1F2937"/>
                <w:sz w:val="19"/>
              </w:rPr>
              <w:t>Wettelijk verplicht element ontbreekt, of instructie potentieel onjuist/gevaarlijk</w:t>
            </w:r>
          </w:p>
        </w:tc>
      </w:tr>
      <w:tr>
        <w:tc>
          <w:tcPr>
            <w:tcW w:type="dxa" w:w="4759"/>
          </w:tcPr>
          <w:p>
            <w:r/>
            <w:r>
              <w:rPr>
                <w:rFonts w:ascii="Calibri" w:hAnsi="Calibri"/>
                <w:b w:val="0"/>
                <w:color w:val="1F2937"/>
                <w:sz w:val="19"/>
              </w:rPr>
              <w:t>MIDDEN</w:t>
            </w:r>
          </w:p>
        </w:tc>
        <w:tc>
          <w:tcPr>
            <w:tcW w:type="dxa" w:w="4759"/>
          </w:tcPr>
          <w:p>
            <w:r/>
            <w:r>
              <w:rPr>
                <w:rFonts w:ascii="Calibri" w:hAnsi="Calibri"/>
                <w:b w:val="0"/>
                <w:color w:val="1F2937"/>
                <w:sz w:val="19"/>
              </w:rPr>
              <w:t>Verplichting deels aanwezig of niet afdwingbaar uitgewerkt</w:t>
            </w:r>
          </w:p>
        </w:tc>
      </w:tr>
      <w:tr>
        <w:tc>
          <w:tcPr>
            <w:tcW w:type="dxa" w:w="4759"/>
          </w:tcPr>
          <w:p>
            <w:r/>
            <w:r>
              <w:rPr>
                <w:rFonts w:ascii="Calibri" w:hAnsi="Calibri"/>
                <w:b w:val="0"/>
                <w:color w:val="1F2937"/>
                <w:sz w:val="19"/>
              </w:rPr>
              <w:t>LAAG</w:t>
            </w:r>
          </w:p>
        </w:tc>
        <w:tc>
          <w:tcPr>
            <w:tcW w:type="dxa" w:w="4759"/>
          </w:tcPr>
          <w:p>
            <w:r/>
            <w:r>
              <w:rPr>
                <w:rFonts w:ascii="Calibri" w:hAnsi="Calibri"/>
                <w:b w:val="0"/>
                <w:color w:val="1F2937"/>
                <w:sz w:val="19"/>
              </w:rPr>
              <w:t>Best practice, detailniveau of documentbeheer</w:t>
            </w:r>
          </w:p>
        </w:tc>
      </w:tr>
    </w:tbl>
    <w:p>
      <w:pPr>
        <w:spacing w:after="40"/>
      </w:pPr>
    </w:p>
    <w:p>
      <w:pPr>
        <w:pStyle w:val="Heading1"/>
      </w:pPr>
      <w:r>
        <w:t>5. Bevindingen per Hoofdstuk van het Brondocument</w:t>
      </w:r>
    </w:p>
    <w:p>
      <w:pPr>
        <w:pStyle w:val="Heading2"/>
      </w:pPr>
      <w:r>
        <w:t>5.1 Sectie 1 — Purpose and Scope</w:t>
      </w:r>
    </w:p>
    <w:p>
      <w:pPr>
        <w:spacing w:after="120"/>
      </w:pPr>
      <w:r>
        <w:rPr>
          <w:rFonts w:ascii="Calibri" w:hAnsi="Calibri"/>
          <w:b w:val="0"/>
          <w:i w:val="0"/>
          <w:sz w:val="22"/>
        </w:rPr>
        <w:t>De sectie begrenst de procedure tot metallisch kwik en kwikdamp en koppelt deze aan potentieel verontreinigde systemen en apparatuur. De scope is adequaat voor decommissioning, maar vermeldt niet expliciet dat de procedure geldt voor subcontractors — deketelverwijzing ontbreekt.</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2379"/>
            <w:shd w:val="clear" w:color="auto" w:fill="003366"/>
          </w:tcPr>
          <w:p>
            <w:r/>
            <w:r>
              <w:rPr>
                <w:rFonts w:ascii="Calibri" w:hAnsi="Calibri"/>
                <w:b/>
                <w:color w:val="FFFFFF"/>
                <w:sz w:val="19"/>
              </w:rPr>
              <w:t>ID</w:t>
            </w:r>
          </w:p>
        </w:tc>
        <w:tc>
          <w:tcPr>
            <w:tcW w:type="dxa" w:w="2379"/>
            <w:shd w:val="clear" w:color="auto" w:fill="003366"/>
          </w:tcPr>
          <w:p>
            <w:r/>
            <w:r>
              <w:rPr>
                <w:rFonts w:ascii="Calibri" w:hAnsi="Calibri"/>
                <w:b/>
                <w:color w:val="FFFFFF"/>
                <w:sz w:val="19"/>
              </w:rPr>
              <w:t>Eis</w:t>
            </w:r>
          </w:p>
        </w:tc>
        <w:tc>
          <w:tcPr>
            <w:tcW w:type="dxa" w:w="2379"/>
            <w:shd w:val="clear" w:color="auto" w:fill="003366"/>
          </w:tcPr>
          <w:p>
            <w:r/>
            <w:r>
              <w:rPr>
                <w:rFonts w:ascii="Calibri" w:hAnsi="Calibri"/>
                <w:b/>
                <w:color w:val="FFFFFF"/>
                <w:sz w:val="19"/>
              </w:rPr>
              <w:t>Bron</w:t>
            </w:r>
          </w:p>
        </w:tc>
        <w:tc>
          <w:tcPr>
            <w:tcW w:type="dxa" w:w="2379"/>
            <w:shd w:val="clear" w:color="auto" w:fill="003366"/>
          </w:tcPr>
          <w:p>
            <w:r/>
            <w:r>
              <w:rPr>
                <w:rFonts w:ascii="Calibri" w:hAnsi="Calibri"/>
                <w:b/>
                <w:color w:val="FFFFFF"/>
                <w:sz w:val="19"/>
              </w:rPr>
              <w:t>Status</w:t>
            </w:r>
          </w:p>
        </w:tc>
      </w:tr>
      <w:tr>
        <w:tc>
          <w:tcPr>
            <w:tcW w:type="dxa" w:w="2379"/>
          </w:tcPr>
          <w:p>
            <w:r/>
            <w:r>
              <w:rPr>
                <w:rFonts w:ascii="Calibri" w:hAnsi="Calibri"/>
                <w:b w:val="0"/>
                <w:color w:val="1F2937"/>
                <w:sz w:val="19"/>
              </w:rPr>
              <w:t>F-1.1</w:t>
            </w:r>
          </w:p>
        </w:tc>
        <w:tc>
          <w:tcPr>
            <w:tcW w:type="dxa" w:w="2379"/>
          </w:tcPr>
          <w:p>
            <w:r/>
            <w:r>
              <w:rPr>
                <w:rFonts w:ascii="Calibri" w:hAnsi="Calibri"/>
                <w:b w:val="0"/>
                <w:color w:val="1F2937"/>
                <w:sz w:val="19"/>
              </w:rPr>
              <w:t>Scope inclusief subcontractors en ketenverplichtingen</w:t>
            </w:r>
          </w:p>
        </w:tc>
        <w:tc>
          <w:tcPr>
            <w:tcW w:type="dxa" w:w="2379"/>
          </w:tcPr>
          <w:p>
            <w:r/>
            <w:r>
              <w:rPr>
                <w:rFonts w:ascii="Calibri" w:hAnsi="Calibri"/>
                <w:b w:val="0"/>
                <w:color w:val="1F2937"/>
                <w:sz w:val="19"/>
              </w:rPr>
              <w:t>Arbowet art. 8; koers gangbaar offshore</w:t>
            </w:r>
          </w:p>
        </w:tc>
        <w:tc>
          <w:tcPr>
            <w:tcW w:type="dxa" w:w="2379"/>
          </w:tcPr>
          <w:p>
            <w:r/>
            <w:r>
              <w:rPr>
                <w:rFonts w:ascii="Calibri" w:hAnsi="Calibri"/>
                <w:b w:val="0"/>
                <w:color w:val="1F2937"/>
                <w:sz w:val="19"/>
              </w:rPr>
              <w:t>DEELS</w:t>
            </w:r>
          </w:p>
        </w:tc>
      </w:tr>
      <w:tr>
        <w:tc>
          <w:tcPr>
            <w:tcW w:type="dxa" w:w="2379"/>
          </w:tcPr>
          <w:p>
            <w:r/>
            <w:r>
              <w:rPr>
                <w:rFonts w:ascii="Calibri" w:hAnsi="Calibri"/>
                <w:b w:val="0"/>
                <w:color w:val="1F2937"/>
                <w:sz w:val="19"/>
              </w:rPr>
              <w:t>F-1.2</w:t>
            </w:r>
          </w:p>
        </w:tc>
        <w:tc>
          <w:tcPr>
            <w:tcW w:type="dxa" w:w="2379"/>
          </w:tcPr>
          <w:p>
            <w:r/>
            <w:r>
              <w:rPr>
                <w:rFonts w:ascii="Calibri" w:hAnsi="Calibri"/>
                <w:b w:val="0"/>
                <w:color w:val="1F2937"/>
                <w:sz w:val="19"/>
              </w:rPr>
              <w:t>Afbakening tot Hg⁰/kwikdamp gemotiveerd</w:t>
            </w:r>
          </w:p>
        </w:tc>
        <w:tc>
          <w:tcPr>
            <w:tcW w:type="dxa" w:w="2379"/>
          </w:tcPr>
          <w:p>
            <w:r/>
            <w:r>
              <w:rPr>
                <w:rFonts w:ascii="Calibri" w:hAnsi="Calibri"/>
                <w:b w:val="0"/>
                <w:color w:val="1F2937"/>
                <w:sz w:val="19"/>
              </w:rPr>
              <w:t>Eigen analyse</w:t>
            </w:r>
          </w:p>
        </w:tc>
        <w:tc>
          <w:tcPr>
            <w:tcW w:type="dxa" w:w="2379"/>
          </w:tcPr>
          <w:p>
            <w:r/>
            <w:r>
              <w:rPr>
                <w:rFonts w:ascii="Calibri" w:hAnsi="Calibri"/>
                <w:b w:val="0"/>
                <w:color w:val="1F2937"/>
                <w:sz w:val="19"/>
              </w:rPr>
              <w:t>CONFORM</w:t>
            </w:r>
          </w:p>
        </w:tc>
      </w:tr>
    </w:tbl>
    <w:p>
      <w:pPr>
        <w:spacing w:after="40"/>
      </w:pPr>
    </w:p>
    <w:p>
      <w:pPr>
        <w:spacing w:after="120"/>
      </w:pPr>
      <w:r>
        <w:rPr>
          <w:rFonts w:ascii="Calibri" w:hAnsi="Calibri"/>
          <w:b w:val="0"/>
          <w:i w:val="0"/>
          <w:sz w:val="22"/>
        </w:rPr>
        <w:t>Beoordeling: de afbakening tot metallisch kwik is inhoudelijk juist — methylkwik en anorganische zouten zijn offshore ondergeschikt. De ketendoorlening (subcontractors) wordt nergens in de procedure geëxpliciteerd; dit is een governance-tekortkoming die in de herziening moet worden opgelost door een standaardclausule “this procedure applies to all personnel including contractors and subcontractors”.</w:t>
      </w:r>
    </w:p>
    <w:p>
      <w:pPr>
        <w:pStyle w:val="Heading2"/>
      </w:pPr>
      <w:r>
        <w:t>5.2 Sectie 2 — Definitions and Abbreviations</w:t>
      </w:r>
    </w:p>
    <w:p>
      <w:pPr>
        <w:spacing w:after="120"/>
      </w:pPr>
      <w:r>
        <w:rPr>
          <w:rFonts w:ascii="Calibri" w:hAnsi="Calibri"/>
          <w:b w:val="0"/>
          <w:i w:val="0"/>
          <w:sz w:val="22"/>
        </w:rPr>
        <w:t>De definitielijst bevat de gebruikelijke termen (TGG, RPE, PTW, EMVI). Ontbrekend: definities van “blootgestelde werknemer” (relevant voor art. 4.15-lijst), “medische surveillance” en “fit-test” — termen die in de herziene procedure moeten functioneren.</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2379"/>
            <w:shd w:val="clear" w:color="auto" w:fill="003366"/>
          </w:tcPr>
          <w:p>
            <w:r/>
            <w:r>
              <w:rPr>
                <w:rFonts w:ascii="Calibri" w:hAnsi="Calibri"/>
                <w:b/>
                <w:color w:val="FFFFFF"/>
                <w:sz w:val="19"/>
              </w:rPr>
              <w:t>ID</w:t>
            </w:r>
          </w:p>
        </w:tc>
        <w:tc>
          <w:tcPr>
            <w:tcW w:type="dxa" w:w="2379"/>
            <w:shd w:val="clear" w:color="auto" w:fill="003366"/>
          </w:tcPr>
          <w:p>
            <w:r/>
            <w:r>
              <w:rPr>
                <w:rFonts w:ascii="Calibri" w:hAnsi="Calibri"/>
                <w:b/>
                <w:color w:val="FFFFFF"/>
                <w:sz w:val="19"/>
              </w:rPr>
              <w:t>Eis</w:t>
            </w:r>
          </w:p>
        </w:tc>
        <w:tc>
          <w:tcPr>
            <w:tcW w:type="dxa" w:w="2379"/>
            <w:shd w:val="clear" w:color="auto" w:fill="003366"/>
          </w:tcPr>
          <w:p>
            <w:r/>
            <w:r>
              <w:rPr>
                <w:rFonts w:ascii="Calibri" w:hAnsi="Calibri"/>
                <w:b/>
                <w:color w:val="FFFFFF"/>
                <w:sz w:val="19"/>
              </w:rPr>
              <w:t>Bron</w:t>
            </w:r>
          </w:p>
        </w:tc>
        <w:tc>
          <w:tcPr>
            <w:tcW w:type="dxa" w:w="2379"/>
            <w:shd w:val="clear" w:color="auto" w:fill="003366"/>
          </w:tcPr>
          <w:p>
            <w:r/>
            <w:r>
              <w:rPr>
                <w:rFonts w:ascii="Calibri" w:hAnsi="Calibri"/>
                <w:b/>
                <w:color w:val="FFFFFF"/>
                <w:sz w:val="19"/>
              </w:rPr>
              <w:t>Status</w:t>
            </w:r>
          </w:p>
        </w:tc>
      </w:tr>
      <w:tr>
        <w:tc>
          <w:tcPr>
            <w:tcW w:type="dxa" w:w="2379"/>
          </w:tcPr>
          <w:p>
            <w:r/>
            <w:r>
              <w:rPr>
                <w:rFonts w:ascii="Calibri" w:hAnsi="Calibri"/>
                <w:b w:val="0"/>
                <w:color w:val="1F2937"/>
                <w:sz w:val="19"/>
              </w:rPr>
              <w:t>F-2.1</w:t>
            </w:r>
          </w:p>
        </w:tc>
        <w:tc>
          <w:tcPr>
            <w:tcW w:type="dxa" w:w="2379"/>
          </w:tcPr>
          <w:p>
            <w:r/>
            <w:r>
              <w:rPr>
                <w:rFonts w:ascii="Calibri" w:hAnsi="Calibri"/>
                <w:b w:val="0"/>
                <w:color w:val="1F2937"/>
                <w:sz w:val="19"/>
              </w:rPr>
              <w:t>Definities ondersteunen CMR-plichten (blootstellingsregister, AGO)</w:t>
            </w:r>
          </w:p>
        </w:tc>
        <w:tc>
          <w:tcPr>
            <w:tcW w:type="dxa" w:w="2379"/>
          </w:tcPr>
          <w:p>
            <w:r/>
            <w:r>
              <w:rPr>
                <w:rFonts w:ascii="Calibri" w:hAnsi="Calibri"/>
                <w:b w:val="0"/>
                <w:color w:val="1F2937"/>
                <w:sz w:val="19"/>
              </w:rPr>
              <w:t>Arbobesluit 4.10a/4.15</w:t>
            </w:r>
          </w:p>
        </w:tc>
        <w:tc>
          <w:tcPr>
            <w:tcW w:type="dxa" w:w="2379"/>
          </w:tcPr>
          <w:p>
            <w:r/>
            <w:r>
              <w:rPr>
                <w:rFonts w:ascii="Calibri" w:hAnsi="Calibri"/>
                <w:b w:val="0"/>
                <w:color w:val="1F2937"/>
                <w:sz w:val="19"/>
              </w:rPr>
              <w:t>ONTBREEKT</w:t>
            </w:r>
          </w:p>
        </w:tc>
      </w:tr>
      <w:tr>
        <w:tc>
          <w:tcPr>
            <w:tcW w:type="dxa" w:w="2379"/>
          </w:tcPr>
          <w:p>
            <w:r/>
            <w:r>
              <w:rPr>
                <w:rFonts w:ascii="Calibri" w:hAnsi="Calibri"/>
                <w:b w:val="0"/>
                <w:color w:val="1F2937"/>
                <w:sz w:val="19"/>
              </w:rPr>
              <w:t>F-2.2</w:t>
            </w:r>
          </w:p>
        </w:tc>
        <w:tc>
          <w:tcPr>
            <w:tcW w:type="dxa" w:w="2379"/>
          </w:tcPr>
          <w:p>
            <w:r/>
            <w:r>
              <w:rPr>
                <w:rFonts w:ascii="Calibri" w:hAnsi="Calibri"/>
                <w:b w:val="0"/>
                <w:color w:val="1F2937"/>
                <w:sz w:val="19"/>
              </w:rPr>
              <w:t>Kernbegrippen RPE/PTW/EMVI gedefinieerd</w:t>
            </w:r>
          </w:p>
        </w:tc>
        <w:tc>
          <w:tcPr>
            <w:tcW w:type="dxa" w:w="2379"/>
          </w:tcPr>
          <w:p>
            <w:r/>
            <w:r>
              <w:rPr>
                <w:rFonts w:ascii="Calibri" w:hAnsi="Calibri"/>
                <w:b w:val="0"/>
                <w:color w:val="1F2937"/>
                <w:sz w:val="19"/>
              </w:rPr>
              <w:t>Eigen analyse</w:t>
            </w:r>
          </w:p>
        </w:tc>
        <w:tc>
          <w:tcPr>
            <w:tcW w:type="dxa" w:w="2379"/>
          </w:tcPr>
          <w:p>
            <w:r/>
            <w:r>
              <w:rPr>
                <w:rFonts w:ascii="Calibri" w:hAnsi="Calibri"/>
                <w:b w:val="0"/>
                <w:color w:val="1F2937"/>
                <w:sz w:val="19"/>
              </w:rPr>
              <w:t>CONFORM</w:t>
            </w:r>
          </w:p>
        </w:tc>
      </w:tr>
    </w:tbl>
    <w:p>
      <w:pPr>
        <w:spacing w:after="40"/>
      </w:pPr>
    </w:p>
    <w:p>
      <w:pPr>
        <w:pStyle w:val="Heading2"/>
      </w:pPr>
      <w:r>
        <w:t>5.3 Sectie 3 — Roles and Responsibilities</w:t>
      </w:r>
    </w:p>
    <w:p>
      <w:pPr>
        <w:spacing w:after="120"/>
      </w:pPr>
      <w:r>
        <w:rPr>
          <w:rFonts w:ascii="Calibri" w:hAnsi="Calibri"/>
          <w:b w:val="0"/>
          <w:i w:val="0"/>
          <w:sz w:val="22"/>
        </w:rPr>
        <w:t>Rollen zijn uitgewerkt voor uitvoering en QHSE, inclusief stop-work-bevoegdheid. De rollenlijst mist de bedrijfsarts/arbodienst (voor art. 4.10a) en een eigenaar van het blootstellingsregister (art. 4.15).</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2379"/>
            <w:shd w:val="clear" w:color="auto" w:fill="003366"/>
          </w:tcPr>
          <w:p>
            <w:r/>
            <w:r>
              <w:rPr>
                <w:rFonts w:ascii="Calibri" w:hAnsi="Calibri"/>
                <w:b/>
                <w:color w:val="FFFFFF"/>
                <w:sz w:val="19"/>
              </w:rPr>
              <w:t>ID</w:t>
            </w:r>
          </w:p>
        </w:tc>
        <w:tc>
          <w:tcPr>
            <w:tcW w:type="dxa" w:w="2379"/>
            <w:shd w:val="clear" w:color="auto" w:fill="003366"/>
          </w:tcPr>
          <w:p>
            <w:r/>
            <w:r>
              <w:rPr>
                <w:rFonts w:ascii="Calibri" w:hAnsi="Calibri"/>
                <w:b/>
                <w:color w:val="FFFFFF"/>
                <w:sz w:val="19"/>
              </w:rPr>
              <w:t>Eis</w:t>
            </w:r>
          </w:p>
        </w:tc>
        <w:tc>
          <w:tcPr>
            <w:tcW w:type="dxa" w:w="2379"/>
            <w:shd w:val="clear" w:color="auto" w:fill="003366"/>
          </w:tcPr>
          <w:p>
            <w:r/>
            <w:r>
              <w:rPr>
                <w:rFonts w:ascii="Calibri" w:hAnsi="Calibri"/>
                <w:b/>
                <w:color w:val="FFFFFF"/>
                <w:sz w:val="19"/>
              </w:rPr>
              <w:t>Bron</w:t>
            </w:r>
          </w:p>
        </w:tc>
        <w:tc>
          <w:tcPr>
            <w:tcW w:type="dxa" w:w="2379"/>
            <w:shd w:val="clear" w:color="auto" w:fill="003366"/>
          </w:tcPr>
          <w:p>
            <w:r/>
            <w:r>
              <w:rPr>
                <w:rFonts w:ascii="Calibri" w:hAnsi="Calibri"/>
                <w:b/>
                <w:color w:val="FFFFFF"/>
                <w:sz w:val="19"/>
              </w:rPr>
              <w:t>Status</w:t>
            </w:r>
          </w:p>
        </w:tc>
      </w:tr>
      <w:tr>
        <w:tc>
          <w:tcPr>
            <w:tcW w:type="dxa" w:w="2379"/>
          </w:tcPr>
          <w:p>
            <w:r/>
            <w:r>
              <w:rPr>
                <w:rFonts w:ascii="Calibri" w:hAnsi="Calibri"/>
                <w:b w:val="0"/>
                <w:color w:val="1F2937"/>
                <w:sz w:val="19"/>
              </w:rPr>
              <w:t>F-3.1</w:t>
            </w:r>
          </w:p>
        </w:tc>
        <w:tc>
          <w:tcPr>
            <w:tcW w:type="dxa" w:w="2379"/>
          </w:tcPr>
          <w:p>
            <w:r/>
            <w:r>
              <w:rPr>
                <w:rFonts w:ascii="Calibri" w:hAnsi="Calibri"/>
                <w:b w:val="0"/>
                <w:color w:val="1F2937"/>
                <w:sz w:val="19"/>
              </w:rPr>
              <w:t>Rol arbodienst/bedrijfsarts benoemd</w:t>
            </w:r>
          </w:p>
        </w:tc>
        <w:tc>
          <w:tcPr>
            <w:tcW w:type="dxa" w:w="2379"/>
          </w:tcPr>
          <w:p>
            <w:r/>
            <w:r>
              <w:rPr>
                <w:rFonts w:ascii="Calibri" w:hAnsi="Calibri"/>
                <w:b w:val="0"/>
                <w:color w:val="1F2937"/>
                <w:sz w:val="19"/>
              </w:rPr>
              <w:t>Arbobesluit art. 4.10a</w:t>
            </w:r>
          </w:p>
        </w:tc>
        <w:tc>
          <w:tcPr>
            <w:tcW w:type="dxa" w:w="2379"/>
          </w:tcPr>
          <w:p>
            <w:r/>
            <w:r>
              <w:rPr>
                <w:rFonts w:ascii="Calibri" w:hAnsi="Calibri"/>
                <w:b w:val="0"/>
                <w:color w:val="1F2937"/>
                <w:sz w:val="19"/>
              </w:rPr>
              <w:t>ONTBREEKT</w:t>
            </w:r>
          </w:p>
        </w:tc>
      </w:tr>
      <w:tr>
        <w:tc>
          <w:tcPr>
            <w:tcW w:type="dxa" w:w="2379"/>
          </w:tcPr>
          <w:p>
            <w:r/>
            <w:r>
              <w:rPr>
                <w:rFonts w:ascii="Calibri" w:hAnsi="Calibri"/>
                <w:b w:val="0"/>
                <w:color w:val="1F2937"/>
                <w:sz w:val="19"/>
              </w:rPr>
              <w:t>F-3.2</w:t>
            </w:r>
          </w:p>
        </w:tc>
        <w:tc>
          <w:tcPr>
            <w:tcW w:type="dxa" w:w="2379"/>
          </w:tcPr>
          <w:p>
            <w:r/>
            <w:r>
              <w:rPr>
                <w:rFonts w:ascii="Calibri" w:hAnsi="Calibri"/>
                <w:b w:val="0"/>
                <w:color w:val="1F2937"/>
                <w:sz w:val="19"/>
              </w:rPr>
              <w:t>Eigenaar blootstellingsregister benoemd</w:t>
            </w:r>
          </w:p>
        </w:tc>
        <w:tc>
          <w:tcPr>
            <w:tcW w:type="dxa" w:w="2379"/>
          </w:tcPr>
          <w:p>
            <w:r/>
            <w:r>
              <w:rPr>
                <w:rFonts w:ascii="Calibri" w:hAnsi="Calibri"/>
                <w:b w:val="0"/>
                <w:color w:val="1F2937"/>
                <w:sz w:val="19"/>
              </w:rPr>
              <w:t>Arbobesluit art. 4.15</w:t>
            </w:r>
          </w:p>
        </w:tc>
        <w:tc>
          <w:tcPr>
            <w:tcW w:type="dxa" w:w="2379"/>
          </w:tcPr>
          <w:p>
            <w:r/>
            <w:r>
              <w:rPr>
                <w:rFonts w:ascii="Calibri" w:hAnsi="Calibri"/>
                <w:b w:val="0"/>
                <w:color w:val="1F2937"/>
                <w:sz w:val="19"/>
              </w:rPr>
              <w:t>ONTBREEKT</w:t>
            </w:r>
          </w:p>
        </w:tc>
      </w:tr>
      <w:tr>
        <w:tc>
          <w:tcPr>
            <w:tcW w:type="dxa" w:w="2379"/>
          </w:tcPr>
          <w:p>
            <w:r/>
            <w:r>
              <w:rPr>
                <w:rFonts w:ascii="Calibri" w:hAnsi="Calibri"/>
                <w:b w:val="0"/>
                <w:color w:val="1F2937"/>
                <w:sz w:val="19"/>
              </w:rPr>
              <w:t>F-3.3</w:t>
            </w:r>
          </w:p>
        </w:tc>
        <w:tc>
          <w:tcPr>
            <w:tcW w:type="dxa" w:w="2379"/>
          </w:tcPr>
          <w:p>
            <w:r/>
            <w:r>
              <w:rPr>
                <w:rFonts w:ascii="Calibri" w:hAnsi="Calibri"/>
                <w:b w:val="0"/>
                <w:color w:val="1F2937"/>
                <w:sz w:val="19"/>
              </w:rPr>
              <w:t>Stop-work-bevoegdheid op werkvloer</w:t>
            </w:r>
          </w:p>
        </w:tc>
        <w:tc>
          <w:tcPr>
            <w:tcW w:type="dxa" w:w="2379"/>
          </w:tcPr>
          <w:p>
            <w:r/>
            <w:r>
              <w:rPr>
                <w:rFonts w:ascii="Calibri" w:hAnsi="Calibri"/>
                <w:b w:val="0"/>
                <w:color w:val="1F2937"/>
                <w:sz w:val="19"/>
              </w:rPr>
              <w:t>Goede praktijk</w:t>
            </w:r>
          </w:p>
        </w:tc>
        <w:tc>
          <w:tcPr>
            <w:tcW w:type="dxa" w:w="2379"/>
          </w:tcPr>
          <w:p>
            <w:r/>
            <w:r>
              <w:rPr>
                <w:rFonts w:ascii="Calibri" w:hAnsi="Calibri"/>
                <w:b w:val="0"/>
                <w:color w:val="1F2937"/>
                <w:sz w:val="19"/>
              </w:rPr>
              <w:t>CONFORM</w:t>
            </w:r>
          </w:p>
        </w:tc>
      </w:tr>
    </w:tbl>
    <w:p>
      <w:pPr>
        <w:spacing w:after="40"/>
      </w:pPr>
    </w:p>
    <w:p>
      <w:pPr>
        <w:pStyle w:val="Heading2"/>
      </w:pPr>
      <w:r>
        <w:t>5.4 Sectie 4 — Procedure Requirements (fysische eigenschappen)</w:t>
      </w:r>
    </w:p>
    <w:p>
      <w:pPr>
        <w:spacing w:after="120"/>
      </w:pPr>
      <w:r>
        <w:rPr>
          <w:rFonts w:ascii="Calibri" w:hAnsi="Calibri"/>
          <w:b w:val="0"/>
          <w:i w:val="0"/>
          <w:sz w:val="22"/>
        </w:rPr>
        <w:t>Sectie 4.1.1-4.1.3 beschrijft metallisch kwik, anorganische en organische verbindingen en hun gedrag (damp zwaarder dan lucht, accumulatie in lage punten, verdamping bij temperatuurstijging). Dit is feitelijk correct en didactisch sterk. De koppeling met meet- en RPE-beslissingen (lage punten → meetlocatiekeuze) wordt impliciet gelaten; een expliciete koppeling ontbreekt.</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2379"/>
            <w:shd w:val="clear" w:color="auto" w:fill="003366"/>
          </w:tcPr>
          <w:p>
            <w:r/>
            <w:r>
              <w:rPr>
                <w:rFonts w:ascii="Calibri" w:hAnsi="Calibri"/>
                <w:b/>
                <w:color w:val="FFFFFF"/>
                <w:sz w:val="19"/>
              </w:rPr>
              <w:t>ID</w:t>
            </w:r>
          </w:p>
        </w:tc>
        <w:tc>
          <w:tcPr>
            <w:tcW w:type="dxa" w:w="2379"/>
            <w:shd w:val="clear" w:color="auto" w:fill="003366"/>
          </w:tcPr>
          <w:p>
            <w:r/>
            <w:r>
              <w:rPr>
                <w:rFonts w:ascii="Calibri" w:hAnsi="Calibri"/>
                <w:b/>
                <w:color w:val="FFFFFF"/>
                <w:sz w:val="19"/>
              </w:rPr>
              <w:t>Eis</w:t>
            </w:r>
          </w:p>
        </w:tc>
        <w:tc>
          <w:tcPr>
            <w:tcW w:type="dxa" w:w="2379"/>
            <w:shd w:val="clear" w:color="auto" w:fill="003366"/>
          </w:tcPr>
          <w:p>
            <w:r/>
            <w:r>
              <w:rPr>
                <w:rFonts w:ascii="Calibri" w:hAnsi="Calibri"/>
                <w:b/>
                <w:color w:val="FFFFFF"/>
                <w:sz w:val="19"/>
              </w:rPr>
              <w:t>Bron</w:t>
            </w:r>
          </w:p>
        </w:tc>
        <w:tc>
          <w:tcPr>
            <w:tcW w:type="dxa" w:w="2379"/>
            <w:shd w:val="clear" w:color="auto" w:fill="003366"/>
          </w:tcPr>
          <w:p>
            <w:r/>
            <w:r>
              <w:rPr>
                <w:rFonts w:ascii="Calibri" w:hAnsi="Calibri"/>
                <w:b/>
                <w:color w:val="FFFFFF"/>
                <w:sz w:val="19"/>
              </w:rPr>
              <w:t>Status</w:t>
            </w:r>
          </w:p>
        </w:tc>
      </w:tr>
      <w:tr>
        <w:tc>
          <w:tcPr>
            <w:tcW w:type="dxa" w:w="2379"/>
          </w:tcPr>
          <w:p>
            <w:r/>
            <w:r>
              <w:rPr>
                <w:rFonts w:ascii="Calibri" w:hAnsi="Calibri"/>
                <w:b w:val="0"/>
                <w:color w:val="1F2937"/>
                <w:sz w:val="19"/>
              </w:rPr>
              <w:t>F-4.1</w:t>
            </w:r>
          </w:p>
        </w:tc>
        <w:tc>
          <w:tcPr>
            <w:tcW w:type="dxa" w:w="2379"/>
          </w:tcPr>
          <w:p>
            <w:r/>
            <w:r>
              <w:rPr>
                <w:rFonts w:ascii="Calibri" w:hAnsi="Calibri"/>
                <w:b w:val="0"/>
                <w:color w:val="1F2937"/>
                <w:sz w:val="19"/>
              </w:rPr>
              <w:t>Stofinformatie Hg⁰/damp correct</w:t>
            </w:r>
          </w:p>
        </w:tc>
        <w:tc>
          <w:tcPr>
            <w:tcW w:type="dxa" w:w="2379"/>
          </w:tcPr>
          <w:p>
            <w:r/>
            <w:r>
              <w:rPr>
                <w:rFonts w:ascii="Calibri" w:hAnsi="Calibri"/>
                <w:b w:val="0"/>
                <w:color w:val="1F2937"/>
                <w:sz w:val="19"/>
              </w:rPr>
              <w:t>CLP; literatuur</w:t>
            </w:r>
          </w:p>
        </w:tc>
        <w:tc>
          <w:tcPr>
            <w:tcW w:type="dxa" w:w="2379"/>
          </w:tcPr>
          <w:p>
            <w:r/>
            <w:r>
              <w:rPr>
                <w:rFonts w:ascii="Calibri" w:hAnsi="Calibri"/>
                <w:b w:val="0"/>
                <w:color w:val="1F2937"/>
                <w:sz w:val="19"/>
              </w:rPr>
              <w:t>CONFORM</w:t>
            </w:r>
          </w:p>
        </w:tc>
      </w:tr>
      <w:tr>
        <w:tc>
          <w:tcPr>
            <w:tcW w:type="dxa" w:w="2379"/>
          </w:tcPr>
          <w:p>
            <w:r/>
            <w:r>
              <w:rPr>
                <w:rFonts w:ascii="Calibri" w:hAnsi="Calibri"/>
                <w:b w:val="0"/>
                <w:color w:val="1F2937"/>
                <w:sz w:val="19"/>
              </w:rPr>
              <w:t>F-4.2</w:t>
            </w:r>
          </w:p>
        </w:tc>
        <w:tc>
          <w:tcPr>
            <w:tcW w:type="dxa" w:w="2379"/>
          </w:tcPr>
          <w:p>
            <w:r/>
            <w:r>
              <w:rPr>
                <w:rFonts w:ascii="Calibri" w:hAnsi="Calibri"/>
                <w:b w:val="0"/>
                <w:color w:val="1F2937"/>
                <w:sz w:val="19"/>
              </w:rPr>
              <w:t>Accumulatiepunten (low points, vaten, flenzen) benoemd</w:t>
            </w:r>
          </w:p>
        </w:tc>
        <w:tc>
          <w:tcPr>
            <w:tcW w:type="dxa" w:w="2379"/>
          </w:tcPr>
          <w:p>
            <w:r/>
            <w:r>
              <w:rPr>
                <w:rFonts w:ascii="Calibri" w:hAnsi="Calibri"/>
                <w:b w:val="0"/>
                <w:color w:val="1F2937"/>
                <w:sz w:val="19"/>
              </w:rPr>
              <w:t>Brontekst; branchekennis</w:t>
            </w:r>
          </w:p>
        </w:tc>
        <w:tc>
          <w:tcPr>
            <w:tcW w:type="dxa" w:w="2379"/>
          </w:tcPr>
          <w:p>
            <w:r/>
            <w:r>
              <w:rPr>
                <w:rFonts w:ascii="Calibri" w:hAnsi="Calibri"/>
                <w:b w:val="0"/>
                <w:color w:val="1F2937"/>
                <w:sz w:val="19"/>
              </w:rPr>
              <w:t>CONFORM</w:t>
            </w:r>
          </w:p>
        </w:tc>
      </w:tr>
      <w:tr>
        <w:tc>
          <w:tcPr>
            <w:tcW w:type="dxa" w:w="2379"/>
          </w:tcPr>
          <w:p>
            <w:r/>
            <w:r>
              <w:rPr>
                <w:rFonts w:ascii="Calibri" w:hAnsi="Calibri"/>
                <w:b w:val="0"/>
                <w:color w:val="1F2937"/>
                <w:sz w:val="19"/>
              </w:rPr>
              <w:t>F-4.3</w:t>
            </w:r>
          </w:p>
        </w:tc>
        <w:tc>
          <w:tcPr>
            <w:tcW w:type="dxa" w:w="2379"/>
          </w:tcPr>
          <w:p>
            <w:r/>
            <w:r>
              <w:rPr>
                <w:rFonts w:ascii="Calibri" w:hAnsi="Calibri"/>
                <w:b w:val="0"/>
                <w:color w:val="1F2937"/>
                <w:sz w:val="19"/>
              </w:rPr>
              <w:t>CLP-hazardinformatie (H-zinnen) opgenomen</w:t>
            </w:r>
          </w:p>
        </w:tc>
        <w:tc>
          <w:tcPr>
            <w:tcW w:type="dxa" w:w="2379"/>
          </w:tcPr>
          <w:p>
            <w:r/>
            <w:r>
              <w:rPr>
                <w:rFonts w:ascii="Calibri" w:hAnsi="Calibri"/>
                <w:b w:val="0"/>
                <w:color w:val="1F2937"/>
                <w:sz w:val="19"/>
              </w:rPr>
              <w:t>CLP Bijlage VI</w:t>
            </w:r>
          </w:p>
        </w:tc>
        <w:tc>
          <w:tcPr>
            <w:tcW w:type="dxa" w:w="2379"/>
          </w:tcPr>
          <w:p>
            <w:r/>
            <w:r>
              <w:rPr>
                <w:rFonts w:ascii="Calibri" w:hAnsi="Calibri"/>
                <w:b w:val="0"/>
                <w:color w:val="1F2937"/>
                <w:sz w:val="19"/>
              </w:rPr>
              <w:t>ONTBREEKT (R-04)</w:t>
            </w:r>
          </w:p>
        </w:tc>
      </w:tr>
    </w:tbl>
    <w:p>
      <w:pPr>
        <w:spacing w:after="40"/>
      </w:pPr>
    </w:p>
    <w:p>
      <w:pPr>
        <w:pStyle w:val="Heading2"/>
      </w:pPr>
      <w:r>
        <w:t>5.5 Sectie 5 — Health Effects and Safety Risks</w:t>
      </w:r>
    </w:p>
    <w:p>
      <w:pPr>
        <w:spacing w:after="120"/>
      </w:pPr>
      <w:r>
        <w:rPr>
          <w:rFonts w:ascii="Calibri" w:hAnsi="Calibri"/>
          <w:b w:val="0"/>
          <w:i w:val="0"/>
          <w:sz w:val="22"/>
        </w:rPr>
        <w:t>De gezondheidseffecten (80% opname via inhalatie; CNS- en nierschade; symptomenlijst) zijn correct en volledig genoeg voor praktijkdoeleinden. De sectie vermeldt de Nederlandse grenswaarde (0,02 mg/m³) correct en stelt dat werk uitsluitend mag plaatsvinden wanneer blootstelling onder de grenswaarde blijft. Ontbrekend: de reproductietoxische werking (H360D) en de daaraan gekoppelde CMR-plichten.</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2379"/>
            <w:shd w:val="clear" w:color="auto" w:fill="003366"/>
          </w:tcPr>
          <w:p>
            <w:r/>
            <w:r>
              <w:rPr>
                <w:rFonts w:ascii="Calibri" w:hAnsi="Calibri"/>
                <w:b/>
                <w:color w:val="FFFFFF"/>
                <w:sz w:val="19"/>
              </w:rPr>
              <w:t>ID</w:t>
            </w:r>
          </w:p>
        </w:tc>
        <w:tc>
          <w:tcPr>
            <w:tcW w:type="dxa" w:w="2379"/>
            <w:shd w:val="clear" w:color="auto" w:fill="003366"/>
          </w:tcPr>
          <w:p>
            <w:r/>
            <w:r>
              <w:rPr>
                <w:rFonts w:ascii="Calibri" w:hAnsi="Calibri"/>
                <w:b/>
                <w:color w:val="FFFFFF"/>
                <w:sz w:val="19"/>
              </w:rPr>
              <w:t>Eis</w:t>
            </w:r>
          </w:p>
        </w:tc>
        <w:tc>
          <w:tcPr>
            <w:tcW w:type="dxa" w:w="2379"/>
            <w:shd w:val="clear" w:color="auto" w:fill="003366"/>
          </w:tcPr>
          <w:p>
            <w:r/>
            <w:r>
              <w:rPr>
                <w:rFonts w:ascii="Calibri" w:hAnsi="Calibri"/>
                <w:b/>
                <w:color w:val="FFFFFF"/>
                <w:sz w:val="19"/>
              </w:rPr>
              <w:t>Bron</w:t>
            </w:r>
          </w:p>
        </w:tc>
        <w:tc>
          <w:tcPr>
            <w:tcW w:type="dxa" w:w="2379"/>
            <w:shd w:val="clear" w:color="auto" w:fill="003366"/>
          </w:tcPr>
          <w:p>
            <w:r/>
            <w:r>
              <w:rPr>
                <w:rFonts w:ascii="Calibri" w:hAnsi="Calibri"/>
                <w:b/>
                <w:color w:val="FFFFFF"/>
                <w:sz w:val="19"/>
              </w:rPr>
              <w:t>Status</w:t>
            </w:r>
          </w:p>
        </w:tc>
      </w:tr>
      <w:tr>
        <w:tc>
          <w:tcPr>
            <w:tcW w:type="dxa" w:w="2379"/>
          </w:tcPr>
          <w:p>
            <w:r/>
            <w:r>
              <w:rPr>
                <w:rFonts w:ascii="Calibri" w:hAnsi="Calibri"/>
                <w:b w:val="0"/>
                <w:color w:val="1F2937"/>
                <w:sz w:val="19"/>
              </w:rPr>
              <w:t>F-5.1</w:t>
            </w:r>
          </w:p>
        </w:tc>
        <w:tc>
          <w:tcPr>
            <w:tcW w:type="dxa" w:w="2379"/>
          </w:tcPr>
          <w:p>
            <w:r/>
            <w:r>
              <w:rPr>
                <w:rFonts w:ascii="Calibri" w:hAnsi="Calibri"/>
                <w:b w:val="0"/>
                <w:color w:val="1F2937"/>
                <w:sz w:val="19"/>
              </w:rPr>
              <w:t>Gezondheidseffecten correct beschreven</w:t>
            </w:r>
          </w:p>
        </w:tc>
        <w:tc>
          <w:tcPr>
            <w:tcW w:type="dxa" w:w="2379"/>
          </w:tcPr>
          <w:p>
            <w:r/>
            <w:r>
              <w:rPr>
                <w:rFonts w:ascii="Calibri" w:hAnsi="Calibri"/>
                <w:b w:val="0"/>
                <w:color w:val="1F2937"/>
                <w:sz w:val="19"/>
              </w:rPr>
              <w:t>AI-blad 31; toxicologie</w:t>
            </w:r>
          </w:p>
        </w:tc>
        <w:tc>
          <w:tcPr>
            <w:tcW w:type="dxa" w:w="2379"/>
          </w:tcPr>
          <w:p>
            <w:r/>
            <w:r>
              <w:rPr>
                <w:rFonts w:ascii="Calibri" w:hAnsi="Calibri"/>
                <w:b w:val="0"/>
                <w:color w:val="1F2937"/>
                <w:sz w:val="19"/>
              </w:rPr>
              <w:t>CONFORM</w:t>
            </w:r>
          </w:p>
        </w:tc>
      </w:tr>
      <w:tr>
        <w:tc>
          <w:tcPr>
            <w:tcW w:type="dxa" w:w="2379"/>
          </w:tcPr>
          <w:p>
            <w:r/>
            <w:r>
              <w:rPr>
                <w:rFonts w:ascii="Calibri" w:hAnsi="Calibri"/>
                <w:b w:val="0"/>
                <w:color w:val="1F2937"/>
                <w:sz w:val="19"/>
              </w:rPr>
              <w:t>F-5.2</w:t>
            </w:r>
          </w:p>
        </w:tc>
        <w:tc>
          <w:tcPr>
            <w:tcW w:type="dxa" w:w="2379"/>
          </w:tcPr>
          <w:p>
            <w:r/>
            <w:r>
              <w:rPr>
                <w:rFonts w:ascii="Calibri" w:hAnsi="Calibri"/>
                <w:b w:val="0"/>
                <w:color w:val="1F2937"/>
                <w:sz w:val="19"/>
              </w:rPr>
              <w:t>Grenswaarde 0,02 mg/m³ correct; geen STEL</w:t>
            </w:r>
          </w:p>
        </w:tc>
        <w:tc>
          <w:tcPr>
            <w:tcW w:type="dxa" w:w="2379"/>
          </w:tcPr>
          <w:p>
            <w:r/>
            <w:r>
              <w:rPr>
                <w:rFonts w:ascii="Calibri" w:hAnsi="Calibri"/>
                <w:b w:val="0"/>
                <w:color w:val="1F2937"/>
                <w:sz w:val="19"/>
              </w:rPr>
              <w:t>Arboregeling</w:t>
            </w:r>
          </w:p>
        </w:tc>
        <w:tc>
          <w:tcPr>
            <w:tcW w:type="dxa" w:w="2379"/>
          </w:tcPr>
          <w:p>
            <w:r/>
            <w:r>
              <w:rPr>
                <w:rFonts w:ascii="Calibri" w:hAnsi="Calibri"/>
                <w:b w:val="0"/>
                <w:color w:val="1F2937"/>
                <w:sz w:val="19"/>
              </w:rPr>
              <w:t>CONFORM</w:t>
            </w:r>
          </w:p>
        </w:tc>
      </w:tr>
      <w:tr>
        <w:tc>
          <w:tcPr>
            <w:tcW w:type="dxa" w:w="2379"/>
          </w:tcPr>
          <w:p>
            <w:r/>
            <w:r>
              <w:rPr>
                <w:rFonts w:ascii="Calibri" w:hAnsi="Calibri"/>
                <w:b w:val="0"/>
                <w:color w:val="1F2937"/>
                <w:sz w:val="19"/>
              </w:rPr>
              <w:t>F-5.3</w:t>
            </w:r>
          </w:p>
        </w:tc>
        <w:tc>
          <w:tcPr>
            <w:tcW w:type="dxa" w:w="2379"/>
          </w:tcPr>
          <w:p>
            <w:r/>
            <w:r>
              <w:rPr>
                <w:rFonts w:ascii="Calibri" w:hAnsi="Calibri"/>
                <w:b w:val="0"/>
                <w:color w:val="1F2937"/>
                <w:sz w:val="19"/>
              </w:rPr>
              <w:t>Reprotoxiciteit (H360D) genoemd</w:t>
            </w:r>
          </w:p>
        </w:tc>
        <w:tc>
          <w:tcPr>
            <w:tcW w:type="dxa" w:w="2379"/>
          </w:tcPr>
          <w:p>
            <w:r/>
            <w:r>
              <w:rPr>
                <w:rFonts w:ascii="Calibri" w:hAnsi="Calibri"/>
                <w:b w:val="0"/>
                <w:color w:val="1F2937"/>
                <w:sz w:val="19"/>
              </w:rPr>
              <w:t>CLP; Arbobesluit CMR</w:t>
            </w:r>
          </w:p>
        </w:tc>
        <w:tc>
          <w:tcPr>
            <w:tcW w:type="dxa" w:w="2379"/>
          </w:tcPr>
          <w:p>
            <w:r/>
            <w:r>
              <w:rPr>
                <w:rFonts w:ascii="Calibri" w:hAnsi="Calibri"/>
                <w:b w:val="0"/>
                <w:color w:val="1F2937"/>
                <w:sz w:val="19"/>
              </w:rPr>
              <w:t>ONTBREEKT (koppeling R-01)</w:t>
            </w:r>
          </w:p>
        </w:tc>
      </w:tr>
      <w:tr>
        <w:tc>
          <w:tcPr>
            <w:tcW w:type="dxa" w:w="2379"/>
          </w:tcPr>
          <w:p>
            <w:r/>
            <w:r>
              <w:rPr>
                <w:rFonts w:ascii="Calibri" w:hAnsi="Calibri"/>
                <w:b w:val="0"/>
                <w:color w:val="1F2937"/>
                <w:sz w:val="19"/>
              </w:rPr>
              <w:t>F-5.4</w:t>
            </w:r>
          </w:p>
        </w:tc>
        <w:tc>
          <w:tcPr>
            <w:tcW w:type="dxa" w:w="2379"/>
          </w:tcPr>
          <w:p>
            <w:r/>
            <w:r>
              <w:rPr>
                <w:rFonts w:ascii="Calibri" w:hAnsi="Calibri"/>
                <w:b w:val="0"/>
                <w:color w:val="1F2937"/>
                <w:sz w:val="19"/>
              </w:rPr>
              <w:t>Persoonlijke hygiëne-eisen (wassen, eet-/rookverbod)</w:t>
            </w:r>
          </w:p>
        </w:tc>
        <w:tc>
          <w:tcPr>
            <w:tcW w:type="dxa" w:w="2379"/>
          </w:tcPr>
          <w:p>
            <w:r/>
            <w:r>
              <w:rPr>
                <w:rFonts w:ascii="Calibri" w:hAnsi="Calibri"/>
                <w:b w:val="0"/>
                <w:color w:val="1F2937"/>
                <w:sz w:val="19"/>
              </w:rPr>
              <w:t>AI-blad 31</w:t>
            </w:r>
          </w:p>
        </w:tc>
        <w:tc>
          <w:tcPr>
            <w:tcW w:type="dxa" w:w="2379"/>
          </w:tcPr>
          <w:p>
            <w:r/>
            <w:r>
              <w:rPr>
                <w:rFonts w:ascii="Calibri" w:hAnsi="Calibri"/>
                <w:b w:val="0"/>
                <w:color w:val="1F2937"/>
                <w:sz w:val="19"/>
              </w:rPr>
              <w:t>CONFORM</w:t>
            </w:r>
          </w:p>
        </w:tc>
      </w:tr>
    </w:tbl>
    <w:p>
      <w:pPr>
        <w:spacing w:after="40"/>
      </w:pPr>
    </w:p>
    <w:p>
      <w:pPr>
        <w:pStyle w:val="Heading2"/>
      </w:pPr>
      <w:r>
        <w:t>5.6 Sectie 6 — Measuring Mercury Vapour Concentration</w:t>
      </w:r>
    </w:p>
    <w:p>
      <w:pPr>
        <w:spacing w:after="120"/>
      </w:pPr>
      <w:r>
        <w:rPr>
          <w:rFonts w:ascii="Calibri" w:hAnsi="Calibri"/>
          <w:b w:val="0"/>
          <w:i w:val="0"/>
          <w:sz w:val="22"/>
        </w:rPr>
        <w:t>De meetparagraaf bevat een concrete meetstrategie met frequenties per activiteit en extra metingen bij temperatuurstijging, hot work en scopewijziging. Het instrument (Jerome J405) is industrieel gangbaar maar niet Ex-gecertificeerd; de procedure noemt de ATEX-overweging zonder alternatief te bieden. Meetresultaten worden uitsluitend aan het PTW-dossier gekoppeld; het wettelijke blootstellingsregister (art. 4.15) en de 40-jaars bewaarlijn ontbreken.</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2379"/>
            <w:shd w:val="clear" w:color="auto" w:fill="003366"/>
          </w:tcPr>
          <w:p>
            <w:r/>
            <w:r>
              <w:rPr>
                <w:rFonts w:ascii="Calibri" w:hAnsi="Calibri"/>
                <w:b/>
                <w:color w:val="FFFFFF"/>
                <w:sz w:val="19"/>
              </w:rPr>
              <w:t>ID</w:t>
            </w:r>
          </w:p>
        </w:tc>
        <w:tc>
          <w:tcPr>
            <w:tcW w:type="dxa" w:w="2379"/>
            <w:shd w:val="clear" w:color="auto" w:fill="003366"/>
          </w:tcPr>
          <w:p>
            <w:r/>
            <w:r>
              <w:rPr>
                <w:rFonts w:ascii="Calibri" w:hAnsi="Calibri"/>
                <w:b/>
                <w:color w:val="FFFFFF"/>
                <w:sz w:val="19"/>
              </w:rPr>
              <w:t>Eis</w:t>
            </w:r>
          </w:p>
        </w:tc>
        <w:tc>
          <w:tcPr>
            <w:tcW w:type="dxa" w:w="2379"/>
            <w:shd w:val="clear" w:color="auto" w:fill="003366"/>
          </w:tcPr>
          <w:p>
            <w:r/>
            <w:r>
              <w:rPr>
                <w:rFonts w:ascii="Calibri" w:hAnsi="Calibri"/>
                <w:b/>
                <w:color w:val="FFFFFF"/>
                <w:sz w:val="19"/>
              </w:rPr>
              <w:t>Bron</w:t>
            </w:r>
          </w:p>
        </w:tc>
        <w:tc>
          <w:tcPr>
            <w:tcW w:type="dxa" w:w="2379"/>
            <w:shd w:val="clear" w:color="auto" w:fill="003366"/>
          </w:tcPr>
          <w:p>
            <w:r/>
            <w:r>
              <w:rPr>
                <w:rFonts w:ascii="Calibri" w:hAnsi="Calibri"/>
                <w:b/>
                <w:color w:val="FFFFFF"/>
                <w:sz w:val="19"/>
              </w:rPr>
              <w:t>Status</w:t>
            </w:r>
          </w:p>
        </w:tc>
      </w:tr>
      <w:tr>
        <w:tc>
          <w:tcPr>
            <w:tcW w:type="dxa" w:w="2379"/>
          </w:tcPr>
          <w:p>
            <w:r/>
            <w:r>
              <w:rPr>
                <w:rFonts w:ascii="Calibri" w:hAnsi="Calibri"/>
                <w:b w:val="0"/>
                <w:color w:val="1F2937"/>
                <w:sz w:val="19"/>
              </w:rPr>
              <w:t>F-6.1</w:t>
            </w:r>
          </w:p>
        </w:tc>
        <w:tc>
          <w:tcPr>
            <w:tcW w:type="dxa" w:w="2379"/>
          </w:tcPr>
          <w:p>
            <w:r/>
            <w:r>
              <w:rPr>
                <w:rFonts w:ascii="Calibri" w:hAnsi="Calibri"/>
                <w:b w:val="0"/>
                <w:color w:val="1F2937"/>
                <w:sz w:val="19"/>
              </w:rPr>
              <w:t>Meetstrategie met frequenties en triggers</w:t>
            </w:r>
          </w:p>
        </w:tc>
        <w:tc>
          <w:tcPr>
            <w:tcW w:type="dxa" w:w="2379"/>
          </w:tcPr>
          <w:p>
            <w:r/>
            <w:r>
              <w:rPr>
                <w:rFonts w:ascii="Calibri" w:hAnsi="Calibri"/>
                <w:b w:val="0"/>
                <w:color w:val="1F2937"/>
                <w:sz w:val="19"/>
              </w:rPr>
              <w:t>Arbobesluit art. 4.10</w:t>
            </w:r>
          </w:p>
        </w:tc>
        <w:tc>
          <w:tcPr>
            <w:tcW w:type="dxa" w:w="2379"/>
          </w:tcPr>
          <w:p>
            <w:r/>
            <w:r>
              <w:rPr>
                <w:rFonts w:ascii="Calibri" w:hAnsi="Calibri"/>
                <w:b w:val="0"/>
                <w:color w:val="1F2937"/>
                <w:sz w:val="19"/>
              </w:rPr>
              <w:t>CONFORM</w:t>
            </w:r>
          </w:p>
        </w:tc>
      </w:tr>
      <w:tr>
        <w:tc>
          <w:tcPr>
            <w:tcW w:type="dxa" w:w="2379"/>
          </w:tcPr>
          <w:p>
            <w:r/>
            <w:r>
              <w:rPr>
                <w:rFonts w:ascii="Calibri" w:hAnsi="Calibri"/>
                <w:b w:val="0"/>
                <w:color w:val="1F2937"/>
                <w:sz w:val="19"/>
              </w:rPr>
              <w:t>F-6.2</w:t>
            </w:r>
          </w:p>
        </w:tc>
        <w:tc>
          <w:tcPr>
            <w:tcW w:type="dxa" w:w="2379"/>
          </w:tcPr>
          <w:p>
            <w:r/>
            <w:r>
              <w:rPr>
                <w:rFonts w:ascii="Calibri" w:hAnsi="Calibri"/>
                <w:b w:val="0"/>
                <w:color w:val="1F2937"/>
                <w:sz w:val="19"/>
              </w:rPr>
              <w:t>Instrument Ex-geschikt in ATEX-zones</w:t>
            </w:r>
          </w:p>
        </w:tc>
        <w:tc>
          <w:tcPr>
            <w:tcW w:type="dxa" w:w="2379"/>
          </w:tcPr>
          <w:p>
            <w:r/>
            <w:r>
              <w:rPr>
                <w:rFonts w:ascii="Calibri" w:hAnsi="Calibri"/>
                <w:b w:val="0"/>
                <w:color w:val="1F2937"/>
                <w:sz w:val="19"/>
              </w:rPr>
              <w:t>ATEX-richtlijn; goede praktijk</w:t>
            </w:r>
          </w:p>
        </w:tc>
        <w:tc>
          <w:tcPr>
            <w:tcW w:type="dxa" w:w="2379"/>
          </w:tcPr>
          <w:p>
            <w:r/>
            <w:r>
              <w:rPr>
                <w:rFonts w:ascii="Calibri" w:hAnsi="Calibri"/>
                <w:b w:val="0"/>
                <w:color w:val="1F2937"/>
                <w:sz w:val="19"/>
              </w:rPr>
              <w:t>DEELS (R-11)</w:t>
            </w:r>
          </w:p>
        </w:tc>
      </w:tr>
      <w:tr>
        <w:tc>
          <w:tcPr>
            <w:tcW w:type="dxa" w:w="2379"/>
          </w:tcPr>
          <w:p>
            <w:r/>
            <w:r>
              <w:rPr>
                <w:rFonts w:ascii="Calibri" w:hAnsi="Calibri"/>
                <w:b w:val="0"/>
                <w:color w:val="1F2937"/>
                <w:sz w:val="19"/>
              </w:rPr>
              <w:t>F-6.3</w:t>
            </w:r>
          </w:p>
        </w:tc>
        <w:tc>
          <w:tcPr>
            <w:tcW w:type="dxa" w:w="2379"/>
          </w:tcPr>
          <w:p>
            <w:r/>
            <w:r>
              <w:rPr>
                <w:rFonts w:ascii="Calibri" w:hAnsi="Calibri"/>
                <w:b w:val="0"/>
                <w:color w:val="1F2937"/>
                <w:sz w:val="19"/>
              </w:rPr>
              <w:t>Kalibratie/verification vastgelegd</w:t>
            </w:r>
          </w:p>
        </w:tc>
        <w:tc>
          <w:tcPr>
            <w:tcW w:type="dxa" w:w="2379"/>
          </w:tcPr>
          <w:p>
            <w:r/>
            <w:r>
              <w:rPr>
                <w:rFonts w:ascii="Calibri" w:hAnsi="Calibri"/>
                <w:b w:val="0"/>
                <w:color w:val="1F2937"/>
                <w:sz w:val="19"/>
              </w:rPr>
              <w:t>NEN-EN 482-geest</w:t>
            </w:r>
          </w:p>
        </w:tc>
        <w:tc>
          <w:tcPr>
            <w:tcW w:type="dxa" w:w="2379"/>
          </w:tcPr>
          <w:p>
            <w:r/>
            <w:r>
              <w:rPr>
                <w:rFonts w:ascii="Calibri" w:hAnsi="Calibri"/>
                <w:b w:val="0"/>
                <w:color w:val="1F2937"/>
                <w:sz w:val="19"/>
              </w:rPr>
              <w:t>DEELS</w:t>
            </w:r>
          </w:p>
        </w:tc>
      </w:tr>
      <w:tr>
        <w:tc>
          <w:tcPr>
            <w:tcW w:type="dxa" w:w="2379"/>
          </w:tcPr>
          <w:p>
            <w:r/>
            <w:r>
              <w:rPr>
                <w:rFonts w:ascii="Calibri" w:hAnsi="Calibri"/>
                <w:b w:val="0"/>
                <w:color w:val="1F2937"/>
                <w:sz w:val="19"/>
              </w:rPr>
              <w:t>F-6.4</w:t>
            </w:r>
          </w:p>
        </w:tc>
        <w:tc>
          <w:tcPr>
            <w:tcW w:type="dxa" w:w="2379"/>
          </w:tcPr>
          <w:p>
            <w:r/>
            <w:r>
              <w:rPr>
                <w:rFonts w:ascii="Calibri" w:hAnsi="Calibri"/>
                <w:b w:val="0"/>
                <w:color w:val="1F2937"/>
                <w:sz w:val="19"/>
              </w:rPr>
              <w:t>Koppeling meetresultaten aan blootstellingsregister + lange bewaring</w:t>
            </w:r>
          </w:p>
        </w:tc>
        <w:tc>
          <w:tcPr>
            <w:tcW w:type="dxa" w:w="2379"/>
          </w:tcPr>
          <w:p>
            <w:r/>
            <w:r>
              <w:rPr>
                <w:rFonts w:ascii="Calibri" w:hAnsi="Calibri"/>
                <w:b w:val="0"/>
                <w:color w:val="1F2937"/>
                <w:sz w:val="19"/>
              </w:rPr>
              <w:t>Arbobesluit art. 4.15</w:t>
            </w:r>
          </w:p>
        </w:tc>
        <w:tc>
          <w:tcPr>
            <w:tcW w:type="dxa" w:w="2379"/>
          </w:tcPr>
          <w:p>
            <w:r/>
            <w:r>
              <w:rPr>
                <w:rFonts w:ascii="Calibri" w:hAnsi="Calibri"/>
                <w:b w:val="0"/>
                <w:color w:val="1F2937"/>
                <w:sz w:val="19"/>
              </w:rPr>
              <w:t>ONTBREEKT (R-02)</w:t>
            </w:r>
          </w:p>
        </w:tc>
      </w:tr>
      <w:tr>
        <w:tc>
          <w:tcPr>
            <w:tcW w:type="dxa" w:w="2379"/>
          </w:tcPr>
          <w:p>
            <w:r/>
            <w:r>
              <w:rPr>
                <w:rFonts w:ascii="Calibri" w:hAnsi="Calibri"/>
                <w:b w:val="0"/>
                <w:color w:val="1F2937"/>
                <w:sz w:val="19"/>
              </w:rPr>
              <w:t>F-6.5</w:t>
            </w:r>
          </w:p>
        </w:tc>
        <w:tc>
          <w:tcPr>
            <w:tcW w:type="dxa" w:w="2379"/>
          </w:tcPr>
          <w:p>
            <w:r/>
            <w:r>
              <w:rPr>
                <w:rFonts w:ascii="Calibri" w:hAnsi="Calibri"/>
                <w:b w:val="0"/>
                <w:color w:val="1F2937"/>
                <w:sz w:val="19"/>
              </w:rPr>
              <w:t>Toetsing aan TGG-8u expliciet</w:t>
            </w:r>
          </w:p>
        </w:tc>
        <w:tc>
          <w:tcPr>
            <w:tcW w:type="dxa" w:w="2379"/>
          </w:tcPr>
          <w:p>
            <w:r/>
            <w:r>
              <w:rPr>
                <w:rFonts w:ascii="Calibri" w:hAnsi="Calibri"/>
                <w:b w:val="0"/>
                <w:color w:val="1F2937"/>
                <w:sz w:val="19"/>
              </w:rPr>
              <w:t>Arboregeling</w:t>
            </w:r>
          </w:p>
        </w:tc>
        <w:tc>
          <w:tcPr>
            <w:tcW w:type="dxa" w:w="2379"/>
          </w:tcPr>
          <w:p>
            <w:r/>
            <w:r>
              <w:rPr>
                <w:rFonts w:ascii="Calibri" w:hAnsi="Calibri"/>
                <w:b w:val="0"/>
                <w:color w:val="1F2937"/>
                <w:sz w:val="19"/>
              </w:rPr>
              <w:t>CONFORM</w:t>
            </w:r>
          </w:p>
        </w:tc>
      </w:tr>
    </w:tbl>
    <w:p>
      <w:pPr>
        <w:spacing w:after="40"/>
      </w:pPr>
    </w:p>
    <w:p>
      <w:pPr>
        <w:pStyle w:val="Heading2"/>
      </w:pPr>
      <w:r>
        <w:t>5.7 Sectie 7 — Safe Working Method</w:t>
      </w:r>
    </w:p>
    <w:p>
      <w:pPr>
        <w:spacing w:after="120"/>
      </w:pPr>
      <w:r>
        <w:rPr>
          <w:rFonts w:ascii="Calibri" w:hAnsi="Calibri"/>
          <w:b w:val="0"/>
          <w:i w:val="0"/>
          <w:sz w:val="22"/>
        </w:rPr>
        <w:t>De werkmethode volgt de volledige maatregelenhiërarchie (bron → collectief → individueel → PBM), wat boven de branchestandaard ligt. Hiaten: geen fit-test-eis voor tight-fitting RPE (AI-blad 18), geen expliciete RI&amp;E/TRA-verankering (R-06) en geen EMVI-uitbreiding tot symptoomherkenning en escalatie (R-09).</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2379"/>
            <w:shd w:val="clear" w:color="auto" w:fill="003366"/>
          </w:tcPr>
          <w:p>
            <w:r/>
            <w:r>
              <w:rPr>
                <w:rFonts w:ascii="Calibri" w:hAnsi="Calibri"/>
                <w:b/>
                <w:color w:val="FFFFFF"/>
                <w:sz w:val="19"/>
              </w:rPr>
              <w:t>ID</w:t>
            </w:r>
          </w:p>
        </w:tc>
        <w:tc>
          <w:tcPr>
            <w:tcW w:type="dxa" w:w="2379"/>
            <w:shd w:val="clear" w:color="auto" w:fill="003366"/>
          </w:tcPr>
          <w:p>
            <w:r/>
            <w:r>
              <w:rPr>
                <w:rFonts w:ascii="Calibri" w:hAnsi="Calibri"/>
                <w:b/>
                <w:color w:val="FFFFFF"/>
                <w:sz w:val="19"/>
              </w:rPr>
              <w:t>Eis</w:t>
            </w:r>
          </w:p>
        </w:tc>
        <w:tc>
          <w:tcPr>
            <w:tcW w:type="dxa" w:w="2379"/>
            <w:shd w:val="clear" w:color="auto" w:fill="003366"/>
          </w:tcPr>
          <w:p>
            <w:r/>
            <w:r>
              <w:rPr>
                <w:rFonts w:ascii="Calibri" w:hAnsi="Calibri"/>
                <w:b/>
                <w:color w:val="FFFFFF"/>
                <w:sz w:val="19"/>
              </w:rPr>
              <w:t>Bron</w:t>
            </w:r>
          </w:p>
        </w:tc>
        <w:tc>
          <w:tcPr>
            <w:tcW w:type="dxa" w:w="2379"/>
            <w:shd w:val="clear" w:color="auto" w:fill="003366"/>
          </w:tcPr>
          <w:p>
            <w:r/>
            <w:r>
              <w:rPr>
                <w:rFonts w:ascii="Calibri" w:hAnsi="Calibri"/>
                <w:b/>
                <w:color w:val="FFFFFF"/>
                <w:sz w:val="19"/>
              </w:rPr>
              <w:t>Status</w:t>
            </w:r>
          </w:p>
        </w:tc>
      </w:tr>
      <w:tr>
        <w:tc>
          <w:tcPr>
            <w:tcW w:type="dxa" w:w="2379"/>
          </w:tcPr>
          <w:p>
            <w:r/>
            <w:r>
              <w:rPr>
                <w:rFonts w:ascii="Calibri" w:hAnsi="Calibri"/>
                <w:b w:val="0"/>
                <w:color w:val="1F2937"/>
                <w:sz w:val="19"/>
              </w:rPr>
              <w:t>F-7.1</w:t>
            </w:r>
          </w:p>
        </w:tc>
        <w:tc>
          <w:tcPr>
            <w:tcW w:type="dxa" w:w="2379"/>
          </w:tcPr>
          <w:p>
            <w:r/>
            <w:r>
              <w:rPr>
                <w:rFonts w:ascii="Calibri" w:hAnsi="Calibri"/>
                <w:b w:val="0"/>
                <w:color w:val="1F2937"/>
                <w:sz w:val="19"/>
              </w:rPr>
              <w:t>Maatregelenhiërarchie volledig toegepast</w:t>
            </w:r>
          </w:p>
        </w:tc>
        <w:tc>
          <w:tcPr>
            <w:tcW w:type="dxa" w:w="2379"/>
          </w:tcPr>
          <w:p>
            <w:r/>
            <w:r>
              <w:rPr>
                <w:rFonts w:ascii="Calibri" w:hAnsi="Calibri"/>
                <w:b w:val="0"/>
                <w:color w:val="1F2937"/>
                <w:sz w:val="19"/>
              </w:rPr>
              <w:t>Arbobesluit art. 4.2</w:t>
            </w:r>
          </w:p>
        </w:tc>
        <w:tc>
          <w:tcPr>
            <w:tcW w:type="dxa" w:w="2379"/>
          </w:tcPr>
          <w:p>
            <w:r/>
            <w:r>
              <w:rPr>
                <w:rFonts w:ascii="Calibri" w:hAnsi="Calibri"/>
                <w:b w:val="0"/>
                <w:color w:val="1F2937"/>
                <w:sz w:val="19"/>
              </w:rPr>
              <w:t>CONFORM</w:t>
            </w:r>
          </w:p>
        </w:tc>
      </w:tr>
      <w:tr>
        <w:tc>
          <w:tcPr>
            <w:tcW w:type="dxa" w:w="2379"/>
          </w:tcPr>
          <w:p>
            <w:r/>
            <w:r>
              <w:rPr>
                <w:rFonts w:ascii="Calibri" w:hAnsi="Calibri"/>
                <w:b w:val="0"/>
                <w:color w:val="1F2937"/>
                <w:sz w:val="19"/>
              </w:rPr>
              <w:t>F-7.2</w:t>
            </w:r>
          </w:p>
        </w:tc>
        <w:tc>
          <w:tcPr>
            <w:tcW w:type="dxa" w:w="2379"/>
          </w:tcPr>
          <w:p>
            <w:r/>
            <w:r>
              <w:rPr>
                <w:rFonts w:ascii="Calibri" w:hAnsi="Calibri"/>
                <w:b w:val="0"/>
                <w:color w:val="1F2937"/>
                <w:sz w:val="19"/>
              </w:rPr>
              <w:t>Fit-test-eis tight-fitting RPE</w:t>
            </w:r>
          </w:p>
        </w:tc>
        <w:tc>
          <w:tcPr>
            <w:tcW w:type="dxa" w:w="2379"/>
          </w:tcPr>
          <w:p>
            <w:r/>
            <w:r>
              <w:rPr>
                <w:rFonts w:ascii="Calibri" w:hAnsi="Calibri"/>
                <w:b w:val="0"/>
                <w:color w:val="1F2937"/>
                <w:sz w:val="19"/>
              </w:rPr>
              <w:t>AI-blad 18; EN 529</w:t>
            </w:r>
          </w:p>
        </w:tc>
        <w:tc>
          <w:tcPr>
            <w:tcW w:type="dxa" w:w="2379"/>
          </w:tcPr>
          <w:p>
            <w:r/>
            <w:r>
              <w:rPr>
                <w:rFonts w:ascii="Calibri" w:hAnsi="Calibri"/>
                <w:b w:val="0"/>
                <w:color w:val="1F2937"/>
                <w:sz w:val="19"/>
              </w:rPr>
              <w:t>ONTBREEKT (R-05)</w:t>
            </w:r>
          </w:p>
        </w:tc>
      </w:tr>
      <w:tr>
        <w:tc>
          <w:tcPr>
            <w:tcW w:type="dxa" w:w="2379"/>
          </w:tcPr>
          <w:p>
            <w:r/>
            <w:r>
              <w:rPr>
                <w:rFonts w:ascii="Calibri" w:hAnsi="Calibri"/>
                <w:b w:val="0"/>
                <w:color w:val="1F2937"/>
                <w:sz w:val="19"/>
              </w:rPr>
              <w:t>F-7.3</w:t>
            </w:r>
          </w:p>
        </w:tc>
        <w:tc>
          <w:tcPr>
            <w:tcW w:type="dxa" w:w="2379"/>
          </w:tcPr>
          <w:p>
            <w:r/>
            <w:r>
              <w:rPr>
                <w:rFonts w:ascii="Calibri" w:hAnsi="Calibri"/>
                <w:b w:val="0"/>
                <w:color w:val="1F2937"/>
                <w:sz w:val="19"/>
              </w:rPr>
              <w:t>RI&amp;E/TRA-koppeling verankerd</w:t>
            </w:r>
          </w:p>
        </w:tc>
        <w:tc>
          <w:tcPr>
            <w:tcW w:type="dxa" w:w="2379"/>
          </w:tcPr>
          <w:p>
            <w:r/>
            <w:r>
              <w:rPr>
                <w:rFonts w:ascii="Calibri" w:hAnsi="Calibri"/>
                <w:b w:val="0"/>
                <w:color w:val="1F2937"/>
                <w:sz w:val="19"/>
              </w:rPr>
              <w:t>Arbowet art. 5; Arbobesluit 4.1</w:t>
            </w:r>
          </w:p>
        </w:tc>
        <w:tc>
          <w:tcPr>
            <w:tcW w:type="dxa" w:w="2379"/>
          </w:tcPr>
          <w:p>
            <w:r/>
            <w:r>
              <w:rPr>
                <w:rFonts w:ascii="Calibri" w:hAnsi="Calibri"/>
                <w:b w:val="0"/>
                <w:color w:val="1F2937"/>
                <w:sz w:val="19"/>
              </w:rPr>
              <w:t>DEELS (R-06)</w:t>
            </w:r>
          </w:p>
        </w:tc>
      </w:tr>
      <w:tr>
        <w:tc>
          <w:tcPr>
            <w:tcW w:type="dxa" w:w="2379"/>
          </w:tcPr>
          <w:p>
            <w:r/>
            <w:r>
              <w:rPr>
                <w:rFonts w:ascii="Calibri" w:hAnsi="Calibri"/>
                <w:b w:val="0"/>
                <w:color w:val="1F2937"/>
                <w:sz w:val="19"/>
              </w:rPr>
              <w:t>F-7.4</w:t>
            </w:r>
          </w:p>
        </w:tc>
        <w:tc>
          <w:tcPr>
            <w:tcW w:type="dxa" w:w="2379"/>
          </w:tcPr>
          <w:p>
            <w:r/>
            <w:r>
              <w:rPr>
                <w:rFonts w:ascii="Calibri" w:hAnsi="Calibri"/>
                <w:b w:val="0"/>
                <w:color w:val="1F2937"/>
                <w:sz w:val="19"/>
              </w:rPr>
              <w:t>RPE-bandindeling incl. filterbeperkingen (Annex II)</w:t>
            </w:r>
          </w:p>
        </w:tc>
        <w:tc>
          <w:tcPr>
            <w:tcW w:type="dxa" w:w="2379"/>
          </w:tcPr>
          <w:p>
            <w:r/>
            <w:r>
              <w:rPr>
                <w:rFonts w:ascii="Calibri" w:hAnsi="Calibri"/>
                <w:b w:val="0"/>
                <w:color w:val="1F2937"/>
                <w:sz w:val="19"/>
              </w:rPr>
              <w:t>Goede praktijk</w:t>
            </w:r>
          </w:p>
        </w:tc>
        <w:tc>
          <w:tcPr>
            <w:tcW w:type="dxa" w:w="2379"/>
          </w:tcPr>
          <w:p>
            <w:r/>
            <w:r>
              <w:rPr>
                <w:rFonts w:ascii="Calibri" w:hAnsi="Calibri"/>
                <w:b w:val="0"/>
                <w:color w:val="1F2937"/>
                <w:sz w:val="19"/>
              </w:rPr>
              <w:t>CONFORM</w:t>
            </w:r>
          </w:p>
        </w:tc>
      </w:tr>
      <w:tr>
        <w:tc>
          <w:tcPr>
            <w:tcW w:type="dxa" w:w="2379"/>
          </w:tcPr>
          <w:p>
            <w:r/>
            <w:r>
              <w:rPr>
                <w:rFonts w:ascii="Calibri" w:hAnsi="Calibri"/>
                <w:b w:val="0"/>
                <w:color w:val="1F2937"/>
                <w:sz w:val="19"/>
              </w:rPr>
              <w:t>F-7.5</w:t>
            </w:r>
          </w:p>
        </w:tc>
        <w:tc>
          <w:tcPr>
            <w:tcW w:type="dxa" w:w="2379"/>
          </w:tcPr>
          <w:p>
            <w:r/>
            <w:r>
              <w:rPr>
                <w:rFonts w:ascii="Calibri" w:hAnsi="Calibri"/>
                <w:b w:val="0"/>
                <w:color w:val="1F2937"/>
                <w:sz w:val="19"/>
              </w:rPr>
              <w:t>EMVI: symptoomherkenning, EHBO, escalatie</w:t>
            </w:r>
          </w:p>
        </w:tc>
        <w:tc>
          <w:tcPr>
            <w:tcW w:type="dxa" w:w="2379"/>
          </w:tcPr>
          <w:p>
            <w:r/>
            <w:r>
              <w:rPr>
                <w:rFonts w:ascii="Calibri" w:hAnsi="Calibri"/>
                <w:b w:val="0"/>
                <w:color w:val="1F2937"/>
                <w:sz w:val="19"/>
              </w:rPr>
              <w:t>Arbobesluit art. 4.21</w:t>
            </w:r>
          </w:p>
        </w:tc>
        <w:tc>
          <w:tcPr>
            <w:tcW w:type="dxa" w:w="2379"/>
          </w:tcPr>
          <w:p>
            <w:r/>
            <w:r>
              <w:rPr>
                <w:rFonts w:ascii="Calibri" w:hAnsi="Calibri"/>
                <w:b w:val="0"/>
                <w:color w:val="1F2937"/>
                <w:sz w:val="19"/>
              </w:rPr>
              <w:t>DEELS (R-09)</w:t>
            </w:r>
          </w:p>
        </w:tc>
      </w:tr>
    </w:tbl>
    <w:p>
      <w:pPr>
        <w:spacing w:after="40"/>
      </w:pPr>
    </w:p>
    <w:p>
      <w:pPr>
        <w:pStyle w:val="Heading2"/>
      </w:pPr>
      <w:r>
        <w:t>5.8 Sectie 8 — Material Suspected of Mercury Contamination</w:t>
      </w:r>
    </w:p>
    <w:p>
      <w:pPr>
        <w:spacing w:after="120"/>
      </w:pPr>
      <w:r>
        <w:rPr>
          <w:rFonts w:ascii="Calibri" w:hAnsi="Calibri"/>
          <w:b w:val="0"/>
          <w:i w:val="0"/>
          <w:sz w:val="22"/>
        </w:rPr>
        <w:t>De classificatie van verdacht materiaal, de verpakkingsinstructies (blindflensen i.p.v. tape, pondliner-skip) en de Eural 3%-drempel zijn correct en boven branchestandaard. De verwerking gaat uit van “approved waste management routes” zonder verificatie-eis van erkenning van de verwerker en zonder afvalstroomdocumentatie uit te werken (R-10).</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2379"/>
            <w:shd w:val="clear" w:color="auto" w:fill="003366"/>
          </w:tcPr>
          <w:p>
            <w:r/>
            <w:r>
              <w:rPr>
                <w:rFonts w:ascii="Calibri" w:hAnsi="Calibri"/>
                <w:b/>
                <w:color w:val="FFFFFF"/>
                <w:sz w:val="19"/>
              </w:rPr>
              <w:t>ID</w:t>
            </w:r>
          </w:p>
        </w:tc>
        <w:tc>
          <w:tcPr>
            <w:tcW w:type="dxa" w:w="2379"/>
            <w:shd w:val="clear" w:color="auto" w:fill="003366"/>
          </w:tcPr>
          <w:p>
            <w:r/>
            <w:r>
              <w:rPr>
                <w:rFonts w:ascii="Calibri" w:hAnsi="Calibri"/>
                <w:b/>
                <w:color w:val="FFFFFF"/>
                <w:sz w:val="19"/>
              </w:rPr>
              <w:t>Eis</w:t>
            </w:r>
          </w:p>
        </w:tc>
        <w:tc>
          <w:tcPr>
            <w:tcW w:type="dxa" w:w="2379"/>
            <w:shd w:val="clear" w:color="auto" w:fill="003366"/>
          </w:tcPr>
          <w:p>
            <w:r/>
            <w:r>
              <w:rPr>
                <w:rFonts w:ascii="Calibri" w:hAnsi="Calibri"/>
                <w:b/>
                <w:color w:val="FFFFFF"/>
                <w:sz w:val="19"/>
              </w:rPr>
              <w:t>Bron</w:t>
            </w:r>
          </w:p>
        </w:tc>
        <w:tc>
          <w:tcPr>
            <w:tcW w:type="dxa" w:w="2379"/>
            <w:shd w:val="clear" w:color="auto" w:fill="003366"/>
          </w:tcPr>
          <w:p>
            <w:r/>
            <w:r>
              <w:rPr>
                <w:rFonts w:ascii="Calibri" w:hAnsi="Calibri"/>
                <w:b/>
                <w:color w:val="FFFFFF"/>
                <w:sz w:val="19"/>
              </w:rPr>
              <w:t>Status</w:t>
            </w:r>
          </w:p>
        </w:tc>
      </w:tr>
      <w:tr>
        <w:tc>
          <w:tcPr>
            <w:tcW w:type="dxa" w:w="2379"/>
          </w:tcPr>
          <w:p>
            <w:r/>
            <w:r>
              <w:rPr>
                <w:rFonts w:ascii="Calibri" w:hAnsi="Calibri"/>
                <w:b w:val="0"/>
                <w:color w:val="1F2937"/>
                <w:sz w:val="19"/>
              </w:rPr>
              <w:t>F-8.1</w:t>
            </w:r>
          </w:p>
        </w:tc>
        <w:tc>
          <w:tcPr>
            <w:tcW w:type="dxa" w:w="2379"/>
          </w:tcPr>
          <w:p>
            <w:r/>
            <w:r>
              <w:rPr>
                <w:rFonts w:ascii="Calibri" w:hAnsi="Calibri"/>
                <w:b w:val="0"/>
                <w:color w:val="1F2937"/>
                <w:sz w:val="19"/>
              </w:rPr>
              <w:t>Classificatie verdacht/bevestigd besmet materiaal</w:t>
            </w:r>
          </w:p>
        </w:tc>
        <w:tc>
          <w:tcPr>
            <w:tcW w:type="dxa" w:w="2379"/>
          </w:tcPr>
          <w:p>
            <w:r/>
            <w:r>
              <w:rPr>
                <w:rFonts w:ascii="Calibri" w:hAnsi="Calibri"/>
                <w:b w:val="0"/>
                <w:color w:val="1F2937"/>
                <w:sz w:val="19"/>
              </w:rPr>
              <w:t>Eigen analyse; branchekader</w:t>
            </w:r>
          </w:p>
        </w:tc>
        <w:tc>
          <w:tcPr>
            <w:tcW w:type="dxa" w:w="2379"/>
          </w:tcPr>
          <w:p>
            <w:r/>
            <w:r>
              <w:rPr>
                <w:rFonts w:ascii="Calibri" w:hAnsi="Calibri"/>
                <w:b w:val="0"/>
                <w:color w:val="1F2937"/>
                <w:sz w:val="19"/>
              </w:rPr>
              <w:t>CONFORM</w:t>
            </w:r>
          </w:p>
        </w:tc>
      </w:tr>
      <w:tr>
        <w:tc>
          <w:tcPr>
            <w:tcW w:type="dxa" w:w="2379"/>
          </w:tcPr>
          <w:p>
            <w:r/>
            <w:r>
              <w:rPr>
                <w:rFonts w:ascii="Calibri" w:hAnsi="Calibri"/>
                <w:b w:val="0"/>
                <w:color w:val="1F2937"/>
                <w:sz w:val="19"/>
              </w:rPr>
              <w:t>F-8.2</w:t>
            </w:r>
          </w:p>
        </w:tc>
        <w:tc>
          <w:tcPr>
            <w:tcW w:type="dxa" w:w="2379"/>
          </w:tcPr>
          <w:p>
            <w:r/>
            <w:r>
              <w:rPr>
                <w:rFonts w:ascii="Calibri" w:hAnsi="Calibri"/>
                <w:b w:val="0"/>
                <w:color w:val="1F2937"/>
                <w:sz w:val="19"/>
              </w:rPr>
              <w:t>Eural 3%-drempel correct toegepast</w:t>
            </w:r>
          </w:p>
        </w:tc>
        <w:tc>
          <w:tcPr>
            <w:tcW w:type="dxa" w:w="2379"/>
          </w:tcPr>
          <w:p>
            <w:r/>
            <w:r>
              <w:rPr>
                <w:rFonts w:ascii="Calibri" w:hAnsi="Calibri"/>
                <w:b w:val="0"/>
                <w:color w:val="1F2937"/>
                <w:sz w:val="19"/>
              </w:rPr>
              <w:t>Eural</w:t>
            </w:r>
          </w:p>
        </w:tc>
        <w:tc>
          <w:tcPr>
            <w:tcW w:type="dxa" w:w="2379"/>
          </w:tcPr>
          <w:p>
            <w:r/>
            <w:r>
              <w:rPr>
                <w:rFonts w:ascii="Calibri" w:hAnsi="Calibri"/>
                <w:b w:val="0"/>
                <w:color w:val="1F2937"/>
                <w:sz w:val="19"/>
              </w:rPr>
              <w:t>CONFORM</w:t>
            </w:r>
          </w:p>
        </w:tc>
      </w:tr>
      <w:tr>
        <w:tc>
          <w:tcPr>
            <w:tcW w:type="dxa" w:w="2379"/>
          </w:tcPr>
          <w:p>
            <w:r/>
            <w:r>
              <w:rPr>
                <w:rFonts w:ascii="Calibri" w:hAnsi="Calibri"/>
                <w:b w:val="0"/>
                <w:color w:val="1F2937"/>
                <w:sz w:val="19"/>
              </w:rPr>
              <w:t>F-8.3</w:t>
            </w:r>
          </w:p>
        </w:tc>
        <w:tc>
          <w:tcPr>
            <w:tcW w:type="dxa" w:w="2379"/>
          </w:tcPr>
          <w:p>
            <w:r/>
            <w:r>
              <w:rPr>
                <w:rFonts w:ascii="Calibri" w:hAnsi="Calibri"/>
                <w:b w:val="0"/>
                <w:color w:val="1F2937"/>
                <w:sz w:val="19"/>
              </w:rPr>
              <w:t>Erkend-verwerker-eis + begeleidingsbrief</w:t>
            </w:r>
          </w:p>
        </w:tc>
        <w:tc>
          <w:tcPr>
            <w:tcW w:type="dxa" w:w="2379"/>
          </w:tcPr>
          <w:p>
            <w:r/>
            <w:r>
              <w:rPr>
                <w:rFonts w:ascii="Calibri" w:hAnsi="Calibri"/>
                <w:b w:val="0"/>
                <w:color w:val="1F2937"/>
                <w:sz w:val="19"/>
              </w:rPr>
              <w:t>Bal/Wet milieubeheer</w:t>
            </w:r>
          </w:p>
        </w:tc>
        <w:tc>
          <w:tcPr>
            <w:tcW w:type="dxa" w:w="2379"/>
          </w:tcPr>
          <w:p>
            <w:r/>
            <w:r>
              <w:rPr>
                <w:rFonts w:ascii="Calibri" w:hAnsi="Calibri"/>
                <w:b w:val="0"/>
                <w:color w:val="1F2937"/>
                <w:sz w:val="19"/>
              </w:rPr>
              <w:t>DEELS (R-10)</w:t>
            </w:r>
          </w:p>
        </w:tc>
      </w:tr>
      <w:tr>
        <w:tc>
          <w:tcPr>
            <w:tcW w:type="dxa" w:w="2379"/>
          </w:tcPr>
          <w:p>
            <w:r/>
            <w:r>
              <w:rPr>
                <w:rFonts w:ascii="Calibri" w:hAnsi="Calibri"/>
                <w:b w:val="0"/>
                <w:color w:val="1F2937"/>
                <w:sz w:val="19"/>
              </w:rPr>
              <w:t>F-8.4</w:t>
            </w:r>
          </w:p>
        </w:tc>
        <w:tc>
          <w:tcPr>
            <w:tcW w:type="dxa" w:w="2379"/>
          </w:tcPr>
          <w:p>
            <w:r/>
            <w:r>
              <w:rPr>
                <w:rFonts w:ascii="Calibri" w:hAnsi="Calibri"/>
                <w:b w:val="0"/>
                <w:color w:val="1F2937"/>
                <w:sz w:val="19"/>
              </w:rPr>
              <w:t>OSPAR/MARPOL-uitgangspunten</w:t>
            </w:r>
          </w:p>
        </w:tc>
        <w:tc>
          <w:tcPr>
            <w:tcW w:type="dxa" w:w="2379"/>
          </w:tcPr>
          <w:p>
            <w:r/>
            <w:r>
              <w:rPr>
                <w:rFonts w:ascii="Calibri" w:hAnsi="Calibri"/>
                <w:b w:val="0"/>
                <w:color w:val="1F2937"/>
                <w:sz w:val="19"/>
              </w:rPr>
              <w:t>OSPAR/MARPOL</w:t>
            </w:r>
          </w:p>
        </w:tc>
        <w:tc>
          <w:tcPr>
            <w:tcW w:type="dxa" w:w="2379"/>
          </w:tcPr>
          <w:p>
            <w:r/>
            <w:r>
              <w:rPr>
                <w:rFonts w:ascii="Calibri" w:hAnsi="Calibri"/>
                <w:b w:val="0"/>
                <w:color w:val="1F2937"/>
                <w:sz w:val="19"/>
              </w:rPr>
              <w:t>CONFORM</w:t>
            </w:r>
          </w:p>
        </w:tc>
      </w:tr>
    </w:tbl>
    <w:p>
      <w:pPr>
        <w:spacing w:after="40"/>
      </w:pPr>
    </w:p>
    <w:p>
      <w:pPr>
        <w:pStyle w:val="Heading2"/>
      </w:pPr>
      <w:r>
        <w:t>5.9 Sectie 9 — References</w:t>
      </w:r>
    </w:p>
    <w:p>
      <w:pPr>
        <w:spacing w:after="120"/>
      </w:pPr>
      <w:r>
        <w:rPr>
          <w:rFonts w:ascii="Calibri" w:hAnsi="Calibri"/>
          <w:b w:val="0"/>
          <w:i w:val="0"/>
          <w:sz w:val="22"/>
        </w:rPr>
        <w:t>De referentietabel bevat de Nederlandse Arbowetgeving, EU-Kwikverordening en NOGEPA Standard 86. Ontbrekend: CLP/REACH-verwijzingen met hazardclassificatie, AI-bladen en de Arboregeling als bron van de grenswaarde. De Mijnbouwwet staat in de tabel maar wordt inhoudelijk niet uitgewerkt (R-07).</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2379"/>
            <w:shd w:val="clear" w:color="auto" w:fill="003366"/>
          </w:tcPr>
          <w:p>
            <w:r/>
            <w:r>
              <w:rPr>
                <w:rFonts w:ascii="Calibri" w:hAnsi="Calibri"/>
                <w:b/>
                <w:color w:val="FFFFFF"/>
                <w:sz w:val="19"/>
              </w:rPr>
              <w:t>ID</w:t>
            </w:r>
          </w:p>
        </w:tc>
        <w:tc>
          <w:tcPr>
            <w:tcW w:type="dxa" w:w="2379"/>
            <w:shd w:val="clear" w:color="auto" w:fill="003366"/>
          </w:tcPr>
          <w:p>
            <w:r/>
            <w:r>
              <w:rPr>
                <w:rFonts w:ascii="Calibri" w:hAnsi="Calibri"/>
                <w:b/>
                <w:color w:val="FFFFFF"/>
                <w:sz w:val="19"/>
              </w:rPr>
              <w:t>Eis</w:t>
            </w:r>
          </w:p>
        </w:tc>
        <w:tc>
          <w:tcPr>
            <w:tcW w:type="dxa" w:w="2379"/>
            <w:shd w:val="clear" w:color="auto" w:fill="003366"/>
          </w:tcPr>
          <w:p>
            <w:r/>
            <w:r>
              <w:rPr>
                <w:rFonts w:ascii="Calibri" w:hAnsi="Calibri"/>
                <w:b/>
                <w:color w:val="FFFFFF"/>
                <w:sz w:val="19"/>
              </w:rPr>
              <w:t>Bron</w:t>
            </w:r>
          </w:p>
        </w:tc>
        <w:tc>
          <w:tcPr>
            <w:tcW w:type="dxa" w:w="2379"/>
            <w:shd w:val="clear" w:color="auto" w:fill="003366"/>
          </w:tcPr>
          <w:p>
            <w:r/>
            <w:r>
              <w:rPr>
                <w:rFonts w:ascii="Calibri" w:hAnsi="Calibri"/>
                <w:b/>
                <w:color w:val="FFFFFF"/>
                <w:sz w:val="19"/>
              </w:rPr>
              <w:t>Status</w:t>
            </w:r>
          </w:p>
        </w:tc>
      </w:tr>
      <w:tr>
        <w:tc>
          <w:tcPr>
            <w:tcW w:type="dxa" w:w="2379"/>
          </w:tcPr>
          <w:p>
            <w:r/>
            <w:r>
              <w:rPr>
                <w:rFonts w:ascii="Calibri" w:hAnsi="Calibri"/>
                <w:b w:val="0"/>
                <w:color w:val="1F2937"/>
                <w:sz w:val="19"/>
              </w:rPr>
              <w:t>F-9.1</w:t>
            </w:r>
          </w:p>
        </w:tc>
        <w:tc>
          <w:tcPr>
            <w:tcW w:type="dxa" w:w="2379"/>
          </w:tcPr>
          <w:p>
            <w:r/>
            <w:r>
              <w:rPr>
                <w:rFonts w:ascii="Calibri" w:hAnsi="Calibri"/>
                <w:b w:val="0"/>
                <w:color w:val="1F2937"/>
                <w:sz w:val="19"/>
              </w:rPr>
              <w:t>Referentielijst compleet (CLP, AI-bladen, Arboregeling)</w:t>
            </w:r>
          </w:p>
        </w:tc>
        <w:tc>
          <w:tcPr>
            <w:tcW w:type="dxa" w:w="2379"/>
          </w:tcPr>
          <w:p>
            <w:r/>
            <w:r>
              <w:rPr>
                <w:rFonts w:ascii="Calibri" w:hAnsi="Calibri"/>
                <w:b w:val="0"/>
                <w:color w:val="1F2937"/>
                <w:sz w:val="19"/>
              </w:rPr>
              <w:t>Documentatiekwaliteit</w:t>
            </w:r>
          </w:p>
        </w:tc>
        <w:tc>
          <w:tcPr>
            <w:tcW w:type="dxa" w:w="2379"/>
          </w:tcPr>
          <w:p>
            <w:r/>
            <w:r>
              <w:rPr>
                <w:rFonts w:ascii="Calibri" w:hAnsi="Calibri"/>
                <w:b w:val="0"/>
                <w:color w:val="1F2937"/>
                <w:sz w:val="19"/>
              </w:rPr>
              <w:t>DEELS (R-04)</w:t>
            </w:r>
          </w:p>
        </w:tc>
      </w:tr>
      <w:tr>
        <w:tc>
          <w:tcPr>
            <w:tcW w:type="dxa" w:w="2379"/>
          </w:tcPr>
          <w:p>
            <w:r/>
            <w:r>
              <w:rPr>
                <w:rFonts w:ascii="Calibri" w:hAnsi="Calibri"/>
                <w:b w:val="0"/>
                <w:color w:val="1F2937"/>
                <w:sz w:val="19"/>
              </w:rPr>
              <w:t>F-9.2</w:t>
            </w:r>
          </w:p>
        </w:tc>
        <w:tc>
          <w:tcPr>
            <w:tcW w:type="dxa" w:w="2379"/>
          </w:tcPr>
          <w:p>
            <w:r/>
            <w:r>
              <w:rPr>
                <w:rFonts w:ascii="Calibri" w:hAnsi="Calibri"/>
                <w:b w:val="0"/>
                <w:color w:val="1F2937"/>
                <w:sz w:val="19"/>
              </w:rPr>
              <w:t>Mijnbouwwet/Stoom uitgewerkt</w:t>
            </w:r>
          </w:p>
        </w:tc>
        <w:tc>
          <w:tcPr>
            <w:tcW w:type="dxa" w:w="2379"/>
          </w:tcPr>
          <w:p>
            <w:r/>
            <w:r>
              <w:rPr>
                <w:rFonts w:ascii="Calibri" w:hAnsi="Calibri"/>
                <w:b w:val="0"/>
                <w:color w:val="1F2937"/>
                <w:sz w:val="19"/>
              </w:rPr>
              <w:t>Mijnbouwwet</w:t>
            </w:r>
          </w:p>
        </w:tc>
        <w:tc>
          <w:tcPr>
            <w:tcW w:type="dxa" w:w="2379"/>
          </w:tcPr>
          <w:p>
            <w:r/>
            <w:r>
              <w:rPr>
                <w:rFonts w:ascii="Calibri" w:hAnsi="Calibri"/>
                <w:b w:val="0"/>
                <w:color w:val="1F2937"/>
                <w:sz w:val="19"/>
              </w:rPr>
              <w:t>DEELS (R-07)</w:t>
            </w:r>
          </w:p>
        </w:tc>
      </w:tr>
      <w:tr>
        <w:tc>
          <w:tcPr>
            <w:tcW w:type="dxa" w:w="2379"/>
          </w:tcPr>
          <w:p>
            <w:r/>
            <w:r>
              <w:rPr>
                <w:rFonts w:ascii="Calibri" w:hAnsi="Calibri"/>
                <w:b w:val="0"/>
                <w:color w:val="1F2937"/>
                <w:sz w:val="19"/>
              </w:rPr>
              <w:t>F-9.3</w:t>
            </w:r>
          </w:p>
        </w:tc>
        <w:tc>
          <w:tcPr>
            <w:tcW w:type="dxa" w:w="2379"/>
          </w:tcPr>
          <w:p>
            <w:r/>
            <w:r>
              <w:rPr>
                <w:rFonts w:ascii="Calibri" w:hAnsi="Calibri"/>
                <w:b w:val="0"/>
                <w:color w:val="1F2937"/>
                <w:sz w:val="19"/>
              </w:rPr>
              <w:t>NOGEPA Standard 86 correct vermeld</w:t>
            </w:r>
          </w:p>
        </w:tc>
        <w:tc>
          <w:tcPr>
            <w:tcW w:type="dxa" w:w="2379"/>
          </w:tcPr>
          <w:p>
            <w:r/>
            <w:r>
              <w:rPr>
                <w:rFonts w:ascii="Calibri" w:hAnsi="Calibri"/>
                <w:b w:val="0"/>
                <w:color w:val="1F2937"/>
                <w:sz w:val="19"/>
              </w:rPr>
              <w:t>NOGEPA</w:t>
            </w:r>
          </w:p>
        </w:tc>
        <w:tc>
          <w:tcPr>
            <w:tcW w:type="dxa" w:w="2379"/>
          </w:tcPr>
          <w:p>
            <w:r/>
            <w:r>
              <w:rPr>
                <w:rFonts w:ascii="Calibri" w:hAnsi="Calibri"/>
                <w:b w:val="0"/>
                <w:color w:val="1F2937"/>
                <w:sz w:val="19"/>
              </w:rPr>
              <w:t>CONFORM (R-12 ingetrokken)</w:t>
            </w:r>
          </w:p>
        </w:tc>
      </w:tr>
    </w:tbl>
    <w:p>
      <w:pPr>
        <w:spacing w:after="40"/>
      </w:pPr>
    </w:p>
    <w:p>
      <w:pPr>
        <w:pStyle w:val="Heading2"/>
      </w:pPr>
      <w:r>
        <w:t>5.10 Annex I — Decision Flowchart</w:t>
      </w:r>
    </w:p>
    <w:p>
      <w:pPr>
        <w:spacing w:after="120"/>
      </w:pPr>
      <w:r>
        <w:rPr>
          <w:rFonts w:ascii="Calibri" w:hAnsi="Calibri"/>
          <w:b w:val="0"/>
          <w:i w:val="0"/>
          <w:sz w:val="22"/>
        </w:rPr>
        <w:t>De flowchart ondersteunt de beslissing “verdacht materiaal → meten → classificeren → afvoeren” en is consistent met de hoofdtekst. Voor CMR-toepassing moet een beslisstap “blootstelling registreren in het blootstellingsregister” worden toegevoegd.</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2379"/>
            <w:shd w:val="clear" w:color="auto" w:fill="003366"/>
          </w:tcPr>
          <w:p>
            <w:r/>
            <w:r>
              <w:rPr>
                <w:rFonts w:ascii="Calibri" w:hAnsi="Calibri"/>
                <w:b/>
                <w:color w:val="FFFFFF"/>
                <w:sz w:val="19"/>
              </w:rPr>
              <w:t>ID</w:t>
            </w:r>
          </w:p>
        </w:tc>
        <w:tc>
          <w:tcPr>
            <w:tcW w:type="dxa" w:w="2379"/>
            <w:shd w:val="clear" w:color="auto" w:fill="003366"/>
          </w:tcPr>
          <w:p>
            <w:r/>
            <w:r>
              <w:rPr>
                <w:rFonts w:ascii="Calibri" w:hAnsi="Calibri"/>
                <w:b/>
                <w:color w:val="FFFFFF"/>
                <w:sz w:val="19"/>
              </w:rPr>
              <w:t>Eis</w:t>
            </w:r>
          </w:p>
        </w:tc>
        <w:tc>
          <w:tcPr>
            <w:tcW w:type="dxa" w:w="2379"/>
            <w:shd w:val="clear" w:color="auto" w:fill="003366"/>
          </w:tcPr>
          <w:p>
            <w:r/>
            <w:r>
              <w:rPr>
                <w:rFonts w:ascii="Calibri" w:hAnsi="Calibri"/>
                <w:b/>
                <w:color w:val="FFFFFF"/>
                <w:sz w:val="19"/>
              </w:rPr>
              <w:t>Bron</w:t>
            </w:r>
          </w:p>
        </w:tc>
        <w:tc>
          <w:tcPr>
            <w:tcW w:type="dxa" w:w="2379"/>
            <w:shd w:val="clear" w:color="auto" w:fill="003366"/>
          </w:tcPr>
          <w:p>
            <w:r/>
            <w:r>
              <w:rPr>
                <w:rFonts w:ascii="Calibri" w:hAnsi="Calibri"/>
                <w:b/>
                <w:color w:val="FFFFFF"/>
                <w:sz w:val="19"/>
              </w:rPr>
              <w:t>Status</w:t>
            </w:r>
          </w:p>
        </w:tc>
      </w:tr>
      <w:tr>
        <w:tc>
          <w:tcPr>
            <w:tcW w:type="dxa" w:w="2379"/>
          </w:tcPr>
          <w:p>
            <w:r/>
            <w:r>
              <w:rPr>
                <w:rFonts w:ascii="Calibri" w:hAnsi="Calibri"/>
                <w:b w:val="0"/>
                <w:color w:val="1F2937"/>
                <w:sz w:val="19"/>
              </w:rPr>
              <w:t>F-A1.1</w:t>
            </w:r>
          </w:p>
        </w:tc>
        <w:tc>
          <w:tcPr>
            <w:tcW w:type="dxa" w:w="2379"/>
          </w:tcPr>
          <w:p>
            <w:r/>
            <w:r>
              <w:rPr>
                <w:rFonts w:ascii="Calibri" w:hAnsi="Calibri"/>
                <w:b w:val="0"/>
                <w:color w:val="1F2937"/>
                <w:sz w:val="19"/>
              </w:rPr>
              <w:t>Flowchart consistent met hoofdtekst</w:t>
            </w:r>
          </w:p>
        </w:tc>
        <w:tc>
          <w:tcPr>
            <w:tcW w:type="dxa" w:w="2379"/>
          </w:tcPr>
          <w:p>
            <w:r/>
            <w:r>
              <w:rPr>
                <w:rFonts w:ascii="Calibri" w:hAnsi="Calibri"/>
                <w:b w:val="0"/>
                <w:color w:val="1F2937"/>
                <w:sz w:val="19"/>
              </w:rPr>
              <w:t>Eigen analyse</w:t>
            </w:r>
          </w:p>
        </w:tc>
        <w:tc>
          <w:tcPr>
            <w:tcW w:type="dxa" w:w="2379"/>
          </w:tcPr>
          <w:p>
            <w:r/>
            <w:r>
              <w:rPr>
                <w:rFonts w:ascii="Calibri" w:hAnsi="Calibri"/>
                <w:b w:val="0"/>
                <w:color w:val="1F2937"/>
                <w:sz w:val="19"/>
              </w:rPr>
              <w:t>CONFORM</w:t>
            </w:r>
          </w:p>
        </w:tc>
      </w:tr>
      <w:tr>
        <w:tc>
          <w:tcPr>
            <w:tcW w:type="dxa" w:w="2379"/>
          </w:tcPr>
          <w:p>
            <w:r/>
            <w:r>
              <w:rPr>
                <w:rFonts w:ascii="Calibri" w:hAnsi="Calibri"/>
                <w:b w:val="0"/>
                <w:color w:val="1F2937"/>
                <w:sz w:val="19"/>
              </w:rPr>
              <w:t>F-A1.2</w:t>
            </w:r>
          </w:p>
        </w:tc>
        <w:tc>
          <w:tcPr>
            <w:tcW w:type="dxa" w:w="2379"/>
          </w:tcPr>
          <w:p>
            <w:r/>
            <w:r>
              <w:rPr>
                <w:rFonts w:ascii="Calibri" w:hAnsi="Calibri"/>
                <w:b w:val="0"/>
                <w:color w:val="1F2937"/>
                <w:sz w:val="19"/>
              </w:rPr>
              <w:t>Registratiestap blootstellingsregister in flowchart</w:t>
            </w:r>
          </w:p>
        </w:tc>
        <w:tc>
          <w:tcPr>
            <w:tcW w:type="dxa" w:w="2379"/>
          </w:tcPr>
          <w:p>
            <w:r/>
            <w:r>
              <w:rPr>
                <w:rFonts w:ascii="Calibri" w:hAnsi="Calibri"/>
                <w:b w:val="0"/>
                <w:color w:val="1F2937"/>
                <w:sz w:val="19"/>
              </w:rPr>
              <w:t>Arbobesluit art. 4.15</w:t>
            </w:r>
          </w:p>
        </w:tc>
        <w:tc>
          <w:tcPr>
            <w:tcW w:type="dxa" w:w="2379"/>
          </w:tcPr>
          <w:p>
            <w:r/>
            <w:r>
              <w:rPr>
                <w:rFonts w:ascii="Calibri" w:hAnsi="Calibri"/>
                <w:b w:val="0"/>
                <w:color w:val="1F2937"/>
                <w:sz w:val="19"/>
              </w:rPr>
              <w:t>ONTBREEKT (R-02)</w:t>
            </w:r>
          </w:p>
        </w:tc>
      </w:tr>
    </w:tbl>
    <w:p>
      <w:pPr>
        <w:spacing w:after="40"/>
      </w:pPr>
    </w:p>
    <w:p>
      <w:pPr>
        <w:pStyle w:val="Heading2"/>
      </w:pPr>
      <w:r>
        <w:t>5.11 Annex II — RPE-banden</w:t>
      </w:r>
    </w:p>
    <w:p>
      <w:pPr>
        <w:spacing w:after="120"/>
      </w:pPr>
      <w:r>
        <w:rPr>
          <w:rFonts w:ascii="Calibri" w:hAnsi="Calibri"/>
          <w:b w:val="0"/>
          <w:i w:val="0"/>
          <w:sz w:val="22"/>
        </w:rPr>
        <w:t>De bandindeling (concentratiebanden → maskertype/filterklasse) met gebruiksbeperkingen (max. 2 werkdagen filter) en pauzeschema’s is gedetailleerd en uitvoerbaar. Zonder fit-test blijft de beschermingsfactor theoretisch.</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2379"/>
            <w:shd w:val="clear" w:color="auto" w:fill="003366"/>
          </w:tcPr>
          <w:p>
            <w:r/>
            <w:r>
              <w:rPr>
                <w:rFonts w:ascii="Calibri" w:hAnsi="Calibri"/>
                <w:b/>
                <w:color w:val="FFFFFF"/>
                <w:sz w:val="19"/>
              </w:rPr>
              <w:t>ID</w:t>
            </w:r>
          </w:p>
        </w:tc>
        <w:tc>
          <w:tcPr>
            <w:tcW w:type="dxa" w:w="2379"/>
            <w:shd w:val="clear" w:color="auto" w:fill="003366"/>
          </w:tcPr>
          <w:p>
            <w:r/>
            <w:r>
              <w:rPr>
                <w:rFonts w:ascii="Calibri" w:hAnsi="Calibri"/>
                <w:b/>
                <w:color w:val="FFFFFF"/>
                <w:sz w:val="19"/>
              </w:rPr>
              <w:t>Eis</w:t>
            </w:r>
          </w:p>
        </w:tc>
        <w:tc>
          <w:tcPr>
            <w:tcW w:type="dxa" w:w="2379"/>
            <w:shd w:val="clear" w:color="auto" w:fill="003366"/>
          </w:tcPr>
          <w:p>
            <w:r/>
            <w:r>
              <w:rPr>
                <w:rFonts w:ascii="Calibri" w:hAnsi="Calibri"/>
                <w:b/>
                <w:color w:val="FFFFFF"/>
                <w:sz w:val="19"/>
              </w:rPr>
              <w:t>Bron</w:t>
            </w:r>
          </w:p>
        </w:tc>
        <w:tc>
          <w:tcPr>
            <w:tcW w:type="dxa" w:w="2379"/>
            <w:shd w:val="clear" w:color="auto" w:fill="003366"/>
          </w:tcPr>
          <w:p>
            <w:r/>
            <w:r>
              <w:rPr>
                <w:rFonts w:ascii="Calibri" w:hAnsi="Calibri"/>
                <w:b/>
                <w:color w:val="FFFFFF"/>
                <w:sz w:val="19"/>
              </w:rPr>
              <w:t>Status</w:t>
            </w:r>
          </w:p>
        </w:tc>
      </w:tr>
      <w:tr>
        <w:tc>
          <w:tcPr>
            <w:tcW w:type="dxa" w:w="2379"/>
          </w:tcPr>
          <w:p>
            <w:r/>
            <w:r>
              <w:rPr>
                <w:rFonts w:ascii="Calibri" w:hAnsi="Calibri"/>
                <w:b w:val="0"/>
                <w:color w:val="1F2937"/>
                <w:sz w:val="19"/>
              </w:rPr>
              <w:t>F-A2.1</w:t>
            </w:r>
          </w:p>
        </w:tc>
        <w:tc>
          <w:tcPr>
            <w:tcW w:type="dxa" w:w="2379"/>
          </w:tcPr>
          <w:p>
            <w:r/>
            <w:r>
              <w:rPr>
                <w:rFonts w:ascii="Calibri" w:hAnsi="Calibri"/>
                <w:b w:val="0"/>
                <w:color w:val="1F2937"/>
                <w:sz w:val="19"/>
              </w:rPr>
              <w:t>Bandindeling concreet en uitvoerbaar</w:t>
            </w:r>
          </w:p>
        </w:tc>
        <w:tc>
          <w:tcPr>
            <w:tcW w:type="dxa" w:w="2379"/>
          </w:tcPr>
          <w:p>
            <w:r/>
            <w:r>
              <w:rPr>
                <w:rFonts w:ascii="Calibri" w:hAnsi="Calibri"/>
                <w:b w:val="0"/>
                <w:color w:val="1F2937"/>
                <w:sz w:val="19"/>
              </w:rPr>
              <w:t>Goede praktijk</w:t>
            </w:r>
          </w:p>
        </w:tc>
        <w:tc>
          <w:tcPr>
            <w:tcW w:type="dxa" w:w="2379"/>
          </w:tcPr>
          <w:p>
            <w:r/>
            <w:r>
              <w:rPr>
                <w:rFonts w:ascii="Calibri" w:hAnsi="Calibri"/>
                <w:b w:val="0"/>
                <w:color w:val="1F2937"/>
                <w:sz w:val="19"/>
              </w:rPr>
              <w:t>CONFORM</w:t>
            </w:r>
          </w:p>
        </w:tc>
      </w:tr>
      <w:tr>
        <w:tc>
          <w:tcPr>
            <w:tcW w:type="dxa" w:w="2379"/>
          </w:tcPr>
          <w:p>
            <w:r/>
            <w:r>
              <w:rPr>
                <w:rFonts w:ascii="Calibri" w:hAnsi="Calibri"/>
                <w:b w:val="0"/>
                <w:color w:val="1F2937"/>
                <w:sz w:val="19"/>
              </w:rPr>
              <w:t>F-A2.2</w:t>
            </w:r>
          </w:p>
        </w:tc>
        <w:tc>
          <w:tcPr>
            <w:tcW w:type="dxa" w:w="2379"/>
          </w:tcPr>
          <w:p>
            <w:r/>
            <w:r>
              <w:rPr>
                <w:rFonts w:ascii="Calibri" w:hAnsi="Calibri"/>
                <w:b w:val="0"/>
                <w:color w:val="1F2937"/>
                <w:sz w:val="19"/>
              </w:rPr>
              <w:t>Fit-test bij tight-fitting RPE</w:t>
            </w:r>
          </w:p>
        </w:tc>
        <w:tc>
          <w:tcPr>
            <w:tcW w:type="dxa" w:w="2379"/>
          </w:tcPr>
          <w:p>
            <w:r/>
            <w:r>
              <w:rPr>
                <w:rFonts w:ascii="Calibri" w:hAnsi="Calibri"/>
                <w:b w:val="0"/>
                <w:color w:val="1F2937"/>
                <w:sz w:val="19"/>
              </w:rPr>
              <w:t>AI-blad 18</w:t>
            </w:r>
          </w:p>
        </w:tc>
        <w:tc>
          <w:tcPr>
            <w:tcW w:type="dxa" w:w="2379"/>
          </w:tcPr>
          <w:p>
            <w:r/>
            <w:r>
              <w:rPr>
                <w:rFonts w:ascii="Calibri" w:hAnsi="Calibri"/>
                <w:b w:val="0"/>
                <w:color w:val="1F2937"/>
                <w:sz w:val="19"/>
              </w:rPr>
              <w:t>ONTBREEKT (R-05)</w:t>
            </w:r>
          </w:p>
        </w:tc>
      </w:tr>
    </w:tbl>
    <w:p>
      <w:pPr>
        <w:spacing w:after="40"/>
      </w:pPr>
    </w:p>
    <w:p>
      <w:pPr>
        <w:pStyle w:val="Heading2"/>
      </w:pPr>
      <w:r>
        <w:t>5.12 Annex III — Verpakking en transport</w:t>
      </w:r>
    </w:p>
    <w:p>
      <w:pPr>
        <w:spacing w:after="120"/>
      </w:pPr>
      <w:r>
        <w:rPr>
          <w:rFonts w:ascii="Calibri" w:hAnsi="Calibri"/>
          <w:b w:val="0"/>
          <w:i w:val="0"/>
          <w:sz w:val="22"/>
        </w:rPr>
        <w:t>Annex III adviseert “Offshore/IBC tanks (ADR)” voor vloeistoffen. Voor vloeibaar kwik (UN 2809) geldt een expliciet ADR-verbod op vervoer in IBC’s. Indien de passage ziet op vrij kwik is dit een onjuiste, potentieel gevaarlijke instructie; indien bedoeld voor andere vloeistoffen (bv. spoelwater) moet dit expliciet worden genuanceerd. Verificatiepunt V-1.</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2379"/>
            <w:shd w:val="clear" w:color="auto" w:fill="003366"/>
          </w:tcPr>
          <w:p>
            <w:r/>
            <w:r>
              <w:rPr>
                <w:rFonts w:ascii="Calibri" w:hAnsi="Calibri"/>
                <w:b/>
                <w:color w:val="FFFFFF"/>
                <w:sz w:val="19"/>
              </w:rPr>
              <w:t>ID</w:t>
            </w:r>
          </w:p>
        </w:tc>
        <w:tc>
          <w:tcPr>
            <w:tcW w:type="dxa" w:w="2379"/>
            <w:shd w:val="clear" w:color="auto" w:fill="003366"/>
          </w:tcPr>
          <w:p>
            <w:r/>
            <w:r>
              <w:rPr>
                <w:rFonts w:ascii="Calibri" w:hAnsi="Calibri"/>
                <w:b/>
                <w:color w:val="FFFFFF"/>
                <w:sz w:val="19"/>
              </w:rPr>
              <w:t>Eis</w:t>
            </w:r>
          </w:p>
        </w:tc>
        <w:tc>
          <w:tcPr>
            <w:tcW w:type="dxa" w:w="2379"/>
            <w:shd w:val="clear" w:color="auto" w:fill="003366"/>
          </w:tcPr>
          <w:p>
            <w:r/>
            <w:r>
              <w:rPr>
                <w:rFonts w:ascii="Calibri" w:hAnsi="Calibri"/>
                <w:b/>
                <w:color w:val="FFFFFF"/>
                <w:sz w:val="19"/>
              </w:rPr>
              <w:t>Bron</w:t>
            </w:r>
          </w:p>
        </w:tc>
        <w:tc>
          <w:tcPr>
            <w:tcW w:type="dxa" w:w="2379"/>
            <w:shd w:val="clear" w:color="auto" w:fill="003366"/>
          </w:tcPr>
          <w:p>
            <w:r/>
            <w:r>
              <w:rPr>
                <w:rFonts w:ascii="Calibri" w:hAnsi="Calibri"/>
                <w:b/>
                <w:color w:val="FFFFFF"/>
                <w:sz w:val="19"/>
              </w:rPr>
              <w:t>Status</w:t>
            </w:r>
          </w:p>
        </w:tc>
      </w:tr>
      <w:tr>
        <w:tc>
          <w:tcPr>
            <w:tcW w:type="dxa" w:w="2379"/>
          </w:tcPr>
          <w:p>
            <w:r/>
            <w:r>
              <w:rPr>
                <w:rFonts w:ascii="Calibri" w:hAnsi="Calibri"/>
                <w:b w:val="0"/>
                <w:color w:val="1F2937"/>
                <w:sz w:val="19"/>
              </w:rPr>
              <w:t>F-A3.1</w:t>
            </w:r>
          </w:p>
        </w:tc>
        <w:tc>
          <w:tcPr>
            <w:tcW w:type="dxa" w:w="2379"/>
          </w:tcPr>
          <w:p>
            <w:r/>
            <w:r>
              <w:rPr>
                <w:rFonts w:ascii="Calibri" w:hAnsi="Calibri"/>
                <w:b w:val="0"/>
                <w:color w:val="1F2937"/>
                <w:sz w:val="19"/>
              </w:rPr>
              <w:t>Transportinstructie conform ADR UN 2809 (geen IBC)</w:t>
            </w:r>
          </w:p>
        </w:tc>
        <w:tc>
          <w:tcPr>
            <w:tcW w:type="dxa" w:w="2379"/>
          </w:tcPr>
          <w:p>
            <w:r/>
            <w:r>
              <w:rPr>
                <w:rFonts w:ascii="Calibri" w:hAnsi="Calibri"/>
                <w:b w:val="0"/>
                <w:color w:val="1F2937"/>
                <w:sz w:val="19"/>
              </w:rPr>
              <w:t>ADR deel 3 tabel A</w:t>
            </w:r>
          </w:p>
        </w:tc>
        <w:tc>
          <w:tcPr>
            <w:tcW w:type="dxa" w:w="2379"/>
          </w:tcPr>
          <w:p>
            <w:r/>
            <w:r>
              <w:rPr>
                <w:rFonts w:ascii="Calibri" w:hAnsi="Calibri"/>
                <w:b w:val="0"/>
                <w:color w:val="1F2937"/>
                <w:sz w:val="19"/>
              </w:rPr>
              <w:t>VERIFICATIE (R-03)</w:t>
            </w:r>
          </w:p>
        </w:tc>
      </w:tr>
      <w:tr>
        <w:tc>
          <w:tcPr>
            <w:tcW w:type="dxa" w:w="2379"/>
          </w:tcPr>
          <w:p>
            <w:r/>
            <w:r>
              <w:rPr>
                <w:rFonts w:ascii="Calibri" w:hAnsi="Calibri"/>
                <w:b w:val="0"/>
                <w:color w:val="1F2937"/>
                <w:sz w:val="19"/>
              </w:rPr>
              <w:t>F-A3.2</w:t>
            </w:r>
          </w:p>
        </w:tc>
        <w:tc>
          <w:tcPr>
            <w:tcW w:type="dxa" w:w="2379"/>
          </w:tcPr>
          <w:p>
            <w:r/>
            <w:r>
              <w:rPr>
                <w:rFonts w:ascii="Calibri" w:hAnsi="Calibri"/>
                <w:b w:val="0"/>
                <w:color w:val="1F2937"/>
                <w:sz w:val="19"/>
              </w:rPr>
              <w:t>LSA/Mercury/Benzene Statement Card</w:t>
            </w:r>
          </w:p>
        </w:tc>
        <w:tc>
          <w:tcPr>
            <w:tcW w:type="dxa" w:w="2379"/>
          </w:tcPr>
          <w:p>
            <w:r/>
            <w:r>
              <w:rPr>
                <w:rFonts w:ascii="Calibri" w:hAnsi="Calibri"/>
                <w:b w:val="0"/>
                <w:color w:val="1F2937"/>
                <w:sz w:val="19"/>
              </w:rPr>
              <w:t>Goede praktijk transport</w:t>
            </w:r>
          </w:p>
        </w:tc>
        <w:tc>
          <w:tcPr>
            <w:tcW w:type="dxa" w:w="2379"/>
          </w:tcPr>
          <w:p>
            <w:r/>
            <w:r>
              <w:rPr>
                <w:rFonts w:ascii="Calibri" w:hAnsi="Calibri"/>
                <w:b w:val="0"/>
                <w:color w:val="1F2937"/>
                <w:sz w:val="19"/>
              </w:rPr>
              <w:t>CONFORM</w:t>
            </w:r>
          </w:p>
        </w:tc>
      </w:tr>
      <w:tr>
        <w:tc>
          <w:tcPr>
            <w:tcW w:type="dxa" w:w="2379"/>
          </w:tcPr>
          <w:p>
            <w:r/>
            <w:r>
              <w:rPr>
                <w:rFonts w:ascii="Calibri" w:hAnsi="Calibri"/>
                <w:b w:val="0"/>
                <w:color w:val="1F2937"/>
                <w:sz w:val="19"/>
              </w:rPr>
              <w:t>F-A3.3</w:t>
            </w:r>
          </w:p>
        </w:tc>
        <w:tc>
          <w:tcPr>
            <w:tcW w:type="dxa" w:w="2379"/>
          </w:tcPr>
          <w:p>
            <w:r/>
            <w:r>
              <w:rPr>
                <w:rFonts w:ascii="Calibri" w:hAnsi="Calibri"/>
                <w:b w:val="0"/>
                <w:color w:val="1F2937"/>
                <w:sz w:val="19"/>
              </w:rPr>
              <w:t>Verpakkingsstandaard blindflensen/pondliner</w:t>
            </w:r>
          </w:p>
        </w:tc>
        <w:tc>
          <w:tcPr>
            <w:tcW w:type="dxa" w:w="2379"/>
          </w:tcPr>
          <w:p>
            <w:r/>
            <w:r>
              <w:rPr>
                <w:rFonts w:ascii="Calibri" w:hAnsi="Calibri"/>
                <w:b w:val="0"/>
                <w:color w:val="1F2937"/>
                <w:sz w:val="19"/>
              </w:rPr>
              <w:t>Goede praktijk</w:t>
            </w:r>
          </w:p>
        </w:tc>
        <w:tc>
          <w:tcPr>
            <w:tcW w:type="dxa" w:w="2379"/>
          </w:tcPr>
          <w:p>
            <w:r/>
            <w:r>
              <w:rPr>
                <w:rFonts w:ascii="Calibri" w:hAnsi="Calibri"/>
                <w:b w:val="0"/>
                <w:color w:val="1F2937"/>
                <w:sz w:val="19"/>
              </w:rPr>
              <w:t>CONFORM</w:t>
            </w:r>
          </w:p>
        </w:tc>
      </w:tr>
    </w:tbl>
    <w:p>
      <w:pPr>
        <w:spacing w:after="40"/>
      </w:pPr>
    </w:p>
    <w:p>
      <w:pPr>
        <w:pStyle w:val="Heading2"/>
      </w:pPr>
      <w:r>
        <w:t>5.13 Overlap-Analyse — gangbare CMR-tekortkomingen</w:t>
      </w:r>
    </w:p>
    <w:p>
      <w:pPr>
        <w:spacing w:after="120"/>
      </w:pPr>
      <w:r>
        <w:rPr>
          <w:rFonts w:ascii="Calibri" w:hAnsi="Calibri"/>
          <w:b w:val="0"/>
          <w:i w:val="0"/>
          <w:sz w:val="22"/>
        </w:rPr>
        <w:t>De drie HOOG-bevindingen (R-01, R-02, R-03) zijn structureel vergelijkbaar met de P1-hiaten in de Cr(VI)-audit 003.056 (AGO, bewaartermijn, register) en de Asbest-audit 003.059. Dit wijst op een systeemprobleem in de MSD 003-procedureserie: het CMR-regime is in geen van de drie procedures volledig geïmplementeerd. Aanbevolen wordt een horizontale correctie op serieniveau.</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2379"/>
            <w:shd w:val="clear" w:color="auto" w:fill="003366"/>
          </w:tcPr>
          <w:p>
            <w:r/>
            <w:r>
              <w:rPr>
                <w:rFonts w:ascii="Calibri" w:hAnsi="Calibri"/>
                <w:b/>
                <w:color w:val="FFFFFF"/>
                <w:sz w:val="19"/>
              </w:rPr>
              <w:t>CMR-verplichting</w:t>
            </w:r>
          </w:p>
        </w:tc>
        <w:tc>
          <w:tcPr>
            <w:tcW w:type="dxa" w:w="2379"/>
            <w:shd w:val="clear" w:color="auto" w:fill="003366"/>
          </w:tcPr>
          <w:p>
            <w:r/>
            <w:r>
              <w:rPr>
                <w:rFonts w:ascii="Calibri" w:hAnsi="Calibri"/>
                <w:b/>
                <w:color w:val="FFFFFF"/>
                <w:sz w:val="19"/>
              </w:rPr>
              <w:t>Asbest 003.059</w:t>
            </w:r>
          </w:p>
        </w:tc>
        <w:tc>
          <w:tcPr>
            <w:tcW w:type="dxa" w:w="2379"/>
            <w:shd w:val="clear" w:color="auto" w:fill="003366"/>
          </w:tcPr>
          <w:p>
            <w:r/>
            <w:r>
              <w:rPr>
                <w:rFonts w:ascii="Calibri" w:hAnsi="Calibri"/>
                <w:b/>
                <w:color w:val="FFFFFF"/>
                <w:sz w:val="19"/>
              </w:rPr>
              <w:t>Cr(VI) 003.056</w:t>
            </w:r>
          </w:p>
        </w:tc>
        <w:tc>
          <w:tcPr>
            <w:tcW w:type="dxa" w:w="2379"/>
            <w:shd w:val="clear" w:color="auto" w:fill="003366"/>
          </w:tcPr>
          <w:p>
            <w:r/>
            <w:r>
              <w:rPr>
                <w:rFonts w:ascii="Calibri" w:hAnsi="Calibri"/>
                <w:b/>
                <w:color w:val="FFFFFF"/>
                <w:sz w:val="19"/>
              </w:rPr>
              <w:t>Kwik 003.057</w:t>
            </w:r>
          </w:p>
        </w:tc>
      </w:tr>
      <w:tr>
        <w:tc>
          <w:tcPr>
            <w:tcW w:type="dxa" w:w="2379"/>
          </w:tcPr>
          <w:p>
            <w:r/>
            <w:r>
              <w:rPr>
                <w:rFonts w:ascii="Calibri" w:hAnsi="Calibri"/>
                <w:b w:val="0"/>
                <w:color w:val="1F2937"/>
                <w:sz w:val="19"/>
              </w:rPr>
              <w:t>Medische surveillance (AGO)</w:t>
            </w:r>
          </w:p>
        </w:tc>
        <w:tc>
          <w:tcPr>
            <w:tcW w:type="dxa" w:w="2379"/>
          </w:tcPr>
          <w:p>
            <w:r/>
            <w:r>
              <w:rPr>
                <w:rFonts w:ascii="Calibri" w:hAnsi="Calibri"/>
                <w:b w:val="0"/>
                <w:color w:val="1F2937"/>
                <w:sz w:val="19"/>
              </w:rPr>
              <w:t>Ontbreekt</w:t>
            </w:r>
          </w:p>
        </w:tc>
        <w:tc>
          <w:tcPr>
            <w:tcW w:type="dxa" w:w="2379"/>
          </w:tcPr>
          <w:p>
            <w:r/>
            <w:r>
              <w:rPr>
                <w:rFonts w:ascii="Calibri" w:hAnsi="Calibri"/>
                <w:b w:val="0"/>
                <w:color w:val="1F2937"/>
                <w:sz w:val="19"/>
              </w:rPr>
              <w:t>Ontbreekt (P1)</w:t>
            </w:r>
          </w:p>
        </w:tc>
        <w:tc>
          <w:tcPr>
            <w:tcW w:type="dxa" w:w="2379"/>
          </w:tcPr>
          <w:p>
            <w:r/>
            <w:r>
              <w:rPr>
                <w:rFonts w:ascii="Calibri" w:hAnsi="Calibri"/>
                <w:b w:val="0"/>
                <w:color w:val="1F2937"/>
                <w:sz w:val="19"/>
              </w:rPr>
              <w:t>Ontbreekt (HOOG)</w:t>
            </w:r>
          </w:p>
        </w:tc>
      </w:tr>
      <w:tr>
        <w:tc>
          <w:tcPr>
            <w:tcW w:type="dxa" w:w="2379"/>
          </w:tcPr>
          <w:p>
            <w:r/>
            <w:r>
              <w:rPr>
                <w:rFonts w:ascii="Calibri" w:hAnsi="Calibri"/>
                <w:b w:val="0"/>
                <w:color w:val="1F2937"/>
                <w:sz w:val="19"/>
              </w:rPr>
              <w:t>Blootstellingsregister (4.15)</w:t>
            </w:r>
          </w:p>
        </w:tc>
        <w:tc>
          <w:tcPr>
            <w:tcW w:type="dxa" w:w="2379"/>
          </w:tcPr>
          <w:p>
            <w:r/>
            <w:r>
              <w:rPr>
                <w:rFonts w:ascii="Calibri" w:hAnsi="Calibri"/>
                <w:b w:val="0"/>
                <w:color w:val="1F2937"/>
                <w:sz w:val="19"/>
              </w:rPr>
              <w:t>Ontbreekt</w:t>
            </w:r>
          </w:p>
        </w:tc>
        <w:tc>
          <w:tcPr>
            <w:tcW w:type="dxa" w:w="2379"/>
          </w:tcPr>
          <w:p>
            <w:r/>
            <w:r>
              <w:rPr>
                <w:rFonts w:ascii="Calibri" w:hAnsi="Calibri"/>
                <w:b w:val="0"/>
                <w:color w:val="1F2937"/>
                <w:sz w:val="19"/>
              </w:rPr>
              <w:t>Ontbreekt (P1)</w:t>
            </w:r>
          </w:p>
        </w:tc>
        <w:tc>
          <w:tcPr>
            <w:tcW w:type="dxa" w:w="2379"/>
          </w:tcPr>
          <w:p>
            <w:r/>
            <w:r>
              <w:rPr>
                <w:rFonts w:ascii="Calibri" w:hAnsi="Calibri"/>
                <w:b w:val="0"/>
                <w:color w:val="1F2937"/>
                <w:sz w:val="19"/>
              </w:rPr>
              <w:t>Ontbreekt (HOOG)</w:t>
            </w:r>
          </w:p>
        </w:tc>
      </w:tr>
      <w:tr>
        <w:tc>
          <w:tcPr>
            <w:tcW w:type="dxa" w:w="2379"/>
          </w:tcPr>
          <w:p>
            <w:r/>
            <w:r>
              <w:rPr>
                <w:rFonts w:ascii="Calibri" w:hAnsi="Calibri"/>
                <w:b w:val="0"/>
                <w:color w:val="1F2937"/>
                <w:sz w:val="19"/>
              </w:rPr>
              <w:t>40-jaar bewaring</w:t>
            </w:r>
          </w:p>
        </w:tc>
        <w:tc>
          <w:tcPr>
            <w:tcW w:type="dxa" w:w="2379"/>
          </w:tcPr>
          <w:p>
            <w:r/>
            <w:r>
              <w:rPr>
                <w:rFonts w:ascii="Calibri" w:hAnsi="Calibri"/>
                <w:b w:val="0"/>
                <w:color w:val="1F2937"/>
                <w:sz w:val="19"/>
              </w:rPr>
              <w:t>Deels</w:t>
            </w:r>
          </w:p>
        </w:tc>
        <w:tc>
          <w:tcPr>
            <w:tcW w:type="dxa" w:w="2379"/>
          </w:tcPr>
          <w:p>
            <w:r/>
            <w:r>
              <w:rPr>
                <w:rFonts w:ascii="Calibri" w:hAnsi="Calibri"/>
                <w:b w:val="0"/>
                <w:color w:val="1F2937"/>
                <w:sz w:val="19"/>
              </w:rPr>
              <w:t>Ontbreekt (P1)</w:t>
            </w:r>
          </w:p>
        </w:tc>
        <w:tc>
          <w:tcPr>
            <w:tcW w:type="dxa" w:w="2379"/>
          </w:tcPr>
          <w:p>
            <w:r/>
            <w:r>
              <w:rPr>
                <w:rFonts w:ascii="Calibri" w:hAnsi="Calibri"/>
                <w:b w:val="0"/>
                <w:color w:val="1F2937"/>
                <w:sz w:val="19"/>
              </w:rPr>
              <w:t>Deels</w:t>
            </w:r>
          </w:p>
        </w:tc>
      </w:tr>
      <w:tr>
        <w:tc>
          <w:tcPr>
            <w:tcW w:type="dxa" w:w="2379"/>
          </w:tcPr>
          <w:p>
            <w:r/>
            <w:r>
              <w:rPr>
                <w:rFonts w:ascii="Calibri" w:hAnsi="Calibri"/>
                <w:b w:val="0"/>
                <w:color w:val="1F2937"/>
                <w:sz w:val="19"/>
              </w:rPr>
              <w:t>RI&amp;E-verankering</w:t>
            </w:r>
          </w:p>
        </w:tc>
        <w:tc>
          <w:tcPr>
            <w:tcW w:type="dxa" w:w="2379"/>
          </w:tcPr>
          <w:p>
            <w:r/>
            <w:r>
              <w:rPr>
                <w:rFonts w:ascii="Calibri" w:hAnsi="Calibri"/>
                <w:b w:val="0"/>
                <w:color w:val="1F2937"/>
                <w:sz w:val="19"/>
              </w:rPr>
              <w:t>Deels</w:t>
            </w:r>
          </w:p>
        </w:tc>
        <w:tc>
          <w:tcPr>
            <w:tcW w:type="dxa" w:w="2379"/>
          </w:tcPr>
          <w:p>
            <w:r/>
            <w:r>
              <w:rPr>
                <w:rFonts w:ascii="Calibri" w:hAnsi="Calibri"/>
                <w:b w:val="0"/>
                <w:color w:val="1F2937"/>
                <w:sz w:val="19"/>
              </w:rPr>
              <w:t>Deels (P1)</w:t>
            </w:r>
          </w:p>
        </w:tc>
        <w:tc>
          <w:tcPr>
            <w:tcW w:type="dxa" w:w="2379"/>
          </w:tcPr>
          <w:p>
            <w:r/>
            <w:r>
              <w:rPr>
                <w:rFonts w:ascii="Calibri" w:hAnsi="Calibri"/>
                <w:b w:val="0"/>
                <w:color w:val="1F2937"/>
                <w:sz w:val="19"/>
              </w:rPr>
              <w:t>Deels</w:t>
            </w:r>
          </w:p>
        </w:tc>
      </w:tr>
    </w:tbl>
    <w:p>
      <w:pPr>
        <w:spacing w:after="40"/>
      </w:pPr>
    </w:p>
    <w:p>
      <w:pPr>
        <w:pStyle w:val="Heading2"/>
      </w:pPr>
      <w:r>
        <w:t>5.14 Toetsing overige verplichtingen</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2379"/>
            <w:shd w:val="clear" w:color="auto" w:fill="003366"/>
          </w:tcPr>
          <w:p>
            <w:r/>
            <w:r>
              <w:rPr>
                <w:rFonts w:ascii="Calibri" w:hAnsi="Calibri"/>
                <w:b/>
                <w:color w:val="FFFFFF"/>
                <w:sz w:val="19"/>
              </w:rPr>
              <w:t>ID</w:t>
            </w:r>
          </w:p>
        </w:tc>
        <w:tc>
          <w:tcPr>
            <w:tcW w:type="dxa" w:w="2379"/>
            <w:shd w:val="clear" w:color="auto" w:fill="003366"/>
          </w:tcPr>
          <w:p>
            <w:r/>
            <w:r>
              <w:rPr>
                <w:rFonts w:ascii="Calibri" w:hAnsi="Calibri"/>
                <w:b/>
                <w:color w:val="FFFFFF"/>
                <w:sz w:val="19"/>
              </w:rPr>
              <w:t>Eis</w:t>
            </w:r>
          </w:p>
        </w:tc>
        <w:tc>
          <w:tcPr>
            <w:tcW w:type="dxa" w:w="2379"/>
            <w:shd w:val="clear" w:color="auto" w:fill="003366"/>
          </w:tcPr>
          <w:p>
            <w:r/>
            <w:r>
              <w:rPr>
                <w:rFonts w:ascii="Calibri" w:hAnsi="Calibri"/>
                <w:b/>
                <w:color w:val="FFFFFF"/>
                <w:sz w:val="19"/>
              </w:rPr>
              <w:t>Bron</w:t>
            </w:r>
          </w:p>
        </w:tc>
        <w:tc>
          <w:tcPr>
            <w:tcW w:type="dxa" w:w="2379"/>
            <w:shd w:val="clear" w:color="auto" w:fill="003366"/>
          </w:tcPr>
          <w:p>
            <w:r/>
            <w:r>
              <w:rPr>
                <w:rFonts w:ascii="Calibri" w:hAnsi="Calibri"/>
                <w:b/>
                <w:color w:val="FFFFFF"/>
                <w:sz w:val="19"/>
              </w:rPr>
              <w:t>Status</w:t>
            </w:r>
          </w:p>
        </w:tc>
      </w:tr>
      <w:tr>
        <w:tc>
          <w:tcPr>
            <w:tcW w:type="dxa" w:w="2379"/>
          </w:tcPr>
          <w:p>
            <w:r/>
            <w:r>
              <w:rPr>
                <w:rFonts w:ascii="Calibri" w:hAnsi="Calibri"/>
                <w:b w:val="0"/>
                <w:color w:val="1F2937"/>
                <w:sz w:val="19"/>
              </w:rPr>
              <w:t>F-14.1</w:t>
            </w:r>
          </w:p>
        </w:tc>
        <w:tc>
          <w:tcPr>
            <w:tcW w:type="dxa" w:w="2379"/>
          </w:tcPr>
          <w:p>
            <w:r/>
            <w:r>
              <w:rPr>
                <w:rFonts w:ascii="Calibri" w:hAnsi="Calibri"/>
                <w:b w:val="0"/>
                <w:color w:val="1F2937"/>
                <w:sz w:val="19"/>
              </w:rPr>
              <w:t>Voorlichting/instructie inhoudelijk uitgewerkt (frequentie, competentiebewijs)</w:t>
            </w:r>
          </w:p>
        </w:tc>
        <w:tc>
          <w:tcPr>
            <w:tcW w:type="dxa" w:w="2379"/>
          </w:tcPr>
          <w:p>
            <w:r/>
            <w:r>
              <w:rPr>
                <w:rFonts w:ascii="Calibri" w:hAnsi="Calibri"/>
                <w:b w:val="0"/>
                <w:color w:val="1F2937"/>
                <w:sz w:val="19"/>
              </w:rPr>
              <w:t>Arbowet art. 8</w:t>
            </w:r>
          </w:p>
        </w:tc>
        <w:tc>
          <w:tcPr>
            <w:tcW w:type="dxa" w:w="2379"/>
          </w:tcPr>
          <w:p>
            <w:r/>
            <w:r>
              <w:rPr>
                <w:rFonts w:ascii="Calibri" w:hAnsi="Calibri"/>
                <w:b w:val="0"/>
                <w:color w:val="1F2937"/>
                <w:sz w:val="19"/>
              </w:rPr>
              <w:t>DEELS (R-08)</w:t>
            </w:r>
          </w:p>
        </w:tc>
      </w:tr>
      <w:tr>
        <w:tc>
          <w:tcPr>
            <w:tcW w:type="dxa" w:w="2379"/>
          </w:tcPr>
          <w:p>
            <w:r/>
            <w:r>
              <w:rPr>
                <w:rFonts w:ascii="Calibri" w:hAnsi="Calibri"/>
                <w:b w:val="0"/>
                <w:color w:val="1F2937"/>
                <w:sz w:val="19"/>
              </w:rPr>
              <w:t>F-14.2</w:t>
            </w:r>
          </w:p>
        </w:tc>
        <w:tc>
          <w:tcPr>
            <w:tcW w:type="dxa" w:w="2379"/>
          </w:tcPr>
          <w:p>
            <w:r/>
            <w:r>
              <w:rPr>
                <w:rFonts w:ascii="Calibri" w:hAnsi="Calibri"/>
                <w:b w:val="0"/>
                <w:color w:val="1F2937"/>
                <w:sz w:val="19"/>
              </w:rPr>
              <w:t>SDS-raadpleging vastgelegd</w:t>
            </w:r>
          </w:p>
        </w:tc>
        <w:tc>
          <w:tcPr>
            <w:tcW w:type="dxa" w:w="2379"/>
          </w:tcPr>
          <w:p>
            <w:r/>
            <w:r>
              <w:rPr>
                <w:rFonts w:ascii="Calibri" w:hAnsi="Calibri"/>
                <w:b w:val="0"/>
                <w:color w:val="1F2937"/>
                <w:sz w:val="19"/>
              </w:rPr>
              <w:t>REACH art. 31</w:t>
            </w:r>
          </w:p>
        </w:tc>
        <w:tc>
          <w:tcPr>
            <w:tcW w:type="dxa" w:w="2379"/>
          </w:tcPr>
          <w:p>
            <w:r/>
            <w:r>
              <w:rPr>
                <w:rFonts w:ascii="Calibri" w:hAnsi="Calibri"/>
                <w:b w:val="0"/>
                <w:color w:val="1F2937"/>
                <w:sz w:val="19"/>
              </w:rPr>
              <w:t>DEELS</w:t>
            </w:r>
          </w:p>
        </w:tc>
      </w:tr>
      <w:tr>
        <w:tc>
          <w:tcPr>
            <w:tcW w:type="dxa" w:w="2379"/>
          </w:tcPr>
          <w:p>
            <w:r/>
            <w:r>
              <w:rPr>
                <w:rFonts w:ascii="Calibri" w:hAnsi="Calibri"/>
                <w:b w:val="0"/>
                <w:color w:val="1F2937"/>
                <w:sz w:val="19"/>
              </w:rPr>
              <w:t>F-14.3</w:t>
            </w:r>
          </w:p>
        </w:tc>
        <w:tc>
          <w:tcPr>
            <w:tcW w:type="dxa" w:w="2379"/>
          </w:tcPr>
          <w:p>
            <w:r/>
            <w:r>
              <w:rPr>
                <w:rFonts w:ascii="Calibri" w:hAnsi="Calibri"/>
                <w:b w:val="0"/>
                <w:color w:val="1F2937"/>
                <w:sz w:val="19"/>
              </w:rPr>
              <w:t>Etikettering verpakkingen</w:t>
            </w:r>
          </w:p>
        </w:tc>
        <w:tc>
          <w:tcPr>
            <w:tcW w:type="dxa" w:w="2379"/>
          </w:tcPr>
          <w:p>
            <w:r/>
            <w:r>
              <w:rPr>
                <w:rFonts w:ascii="Calibri" w:hAnsi="Calibri"/>
                <w:b w:val="0"/>
                <w:color w:val="1F2937"/>
                <w:sz w:val="19"/>
              </w:rPr>
              <w:t>CLP</w:t>
            </w:r>
          </w:p>
        </w:tc>
        <w:tc>
          <w:tcPr>
            <w:tcW w:type="dxa" w:w="2379"/>
          </w:tcPr>
          <w:p>
            <w:r/>
            <w:r>
              <w:rPr>
                <w:rFonts w:ascii="Calibri" w:hAnsi="Calibri"/>
                <w:b w:val="0"/>
                <w:color w:val="1F2937"/>
                <w:sz w:val="19"/>
              </w:rPr>
              <w:t>DEELS (R-04)</w:t>
            </w:r>
          </w:p>
        </w:tc>
      </w:tr>
      <w:tr>
        <w:tc>
          <w:tcPr>
            <w:tcW w:type="dxa" w:w="2379"/>
          </w:tcPr>
          <w:p>
            <w:r/>
            <w:r>
              <w:rPr>
                <w:rFonts w:ascii="Calibri" w:hAnsi="Calibri"/>
                <w:b w:val="0"/>
                <w:color w:val="1F2937"/>
                <w:sz w:val="19"/>
              </w:rPr>
              <w:t>F-14.4</w:t>
            </w:r>
          </w:p>
        </w:tc>
        <w:tc>
          <w:tcPr>
            <w:tcW w:type="dxa" w:w="2379"/>
          </w:tcPr>
          <w:p>
            <w:r/>
            <w:r>
              <w:rPr>
                <w:rFonts w:ascii="Calibri" w:hAnsi="Calibri"/>
                <w:b w:val="0"/>
                <w:color w:val="1F2937"/>
                <w:sz w:val="19"/>
              </w:rPr>
              <w:t>Opslagcondities (koel, gescheiden, gelemdde vloer)</w:t>
            </w:r>
          </w:p>
        </w:tc>
        <w:tc>
          <w:tcPr>
            <w:tcW w:type="dxa" w:w="2379"/>
          </w:tcPr>
          <w:p>
            <w:r/>
            <w:r>
              <w:rPr>
                <w:rFonts w:ascii="Calibri" w:hAnsi="Calibri"/>
                <w:b w:val="0"/>
                <w:color w:val="1F2937"/>
                <w:sz w:val="19"/>
              </w:rPr>
              <w:t>EU 2017/852; PGS</w:t>
            </w:r>
          </w:p>
        </w:tc>
        <w:tc>
          <w:tcPr>
            <w:tcW w:type="dxa" w:w="2379"/>
          </w:tcPr>
          <w:p>
            <w:r/>
            <w:r>
              <w:rPr>
                <w:rFonts w:ascii="Calibri" w:hAnsi="Calibri"/>
                <w:b w:val="0"/>
                <w:color w:val="1F2937"/>
                <w:sz w:val="19"/>
              </w:rPr>
              <w:t>CONFORM</w:t>
            </w:r>
          </w:p>
        </w:tc>
      </w:tr>
      <w:tr>
        <w:tc>
          <w:tcPr>
            <w:tcW w:type="dxa" w:w="2379"/>
          </w:tcPr>
          <w:p>
            <w:r/>
            <w:r>
              <w:rPr>
                <w:rFonts w:ascii="Calibri" w:hAnsi="Calibri"/>
                <w:b w:val="0"/>
                <w:color w:val="1F2937"/>
                <w:sz w:val="19"/>
              </w:rPr>
              <w:t>F-14.5</w:t>
            </w:r>
          </w:p>
        </w:tc>
        <w:tc>
          <w:tcPr>
            <w:tcW w:type="dxa" w:w="2379"/>
          </w:tcPr>
          <w:p>
            <w:r/>
            <w:r>
              <w:rPr>
                <w:rFonts w:ascii="Calibri" w:hAnsi="Calibri"/>
                <w:b w:val="0"/>
                <w:color w:val="1F2937"/>
                <w:sz w:val="19"/>
              </w:rPr>
              <w:t>Registratie vervuilde ruimten/materialen</w:t>
            </w:r>
          </w:p>
        </w:tc>
        <w:tc>
          <w:tcPr>
            <w:tcW w:type="dxa" w:w="2379"/>
          </w:tcPr>
          <w:p>
            <w:r/>
            <w:r>
              <w:rPr>
                <w:rFonts w:ascii="Calibri" w:hAnsi="Calibri"/>
                <w:b w:val="0"/>
                <w:color w:val="1F2937"/>
                <w:sz w:val="19"/>
              </w:rPr>
              <w:t>Eigen analyse</w:t>
            </w:r>
          </w:p>
        </w:tc>
        <w:tc>
          <w:tcPr>
            <w:tcW w:type="dxa" w:w="2379"/>
          </w:tcPr>
          <w:p>
            <w:r/>
            <w:r>
              <w:rPr>
                <w:rFonts w:ascii="Calibri" w:hAnsi="Calibri"/>
                <w:b w:val="0"/>
                <w:color w:val="1F2937"/>
                <w:sz w:val="19"/>
              </w:rPr>
              <w:t>CONFORM</w:t>
            </w:r>
          </w:p>
        </w:tc>
      </w:tr>
    </w:tbl>
    <w:p>
      <w:pPr>
        <w:spacing w:after="40"/>
      </w:pPr>
    </w:p>
    <w:p>
      <w:pPr>
        <w:pStyle w:val="Heading2"/>
      </w:pPr>
      <w:r>
        <w:t>5.15 Samenvattingstoets per cluster</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2379"/>
            <w:shd w:val="clear" w:color="auto" w:fill="003366"/>
          </w:tcPr>
          <w:p>
            <w:r/>
            <w:r>
              <w:rPr>
                <w:rFonts w:ascii="Calibri" w:hAnsi="Calibri"/>
                <w:b/>
                <w:color w:val="FFFFFF"/>
                <w:sz w:val="19"/>
              </w:rPr>
              <w:t>Cluster</w:t>
            </w:r>
          </w:p>
        </w:tc>
        <w:tc>
          <w:tcPr>
            <w:tcW w:type="dxa" w:w="2379"/>
            <w:shd w:val="clear" w:color="auto" w:fill="003366"/>
          </w:tcPr>
          <w:p>
            <w:r/>
            <w:r>
              <w:rPr>
                <w:rFonts w:ascii="Calibri" w:hAnsi="Calibri"/>
                <w:b/>
                <w:color w:val="FFFFFF"/>
                <w:sz w:val="19"/>
              </w:rPr>
              <w:t>Conform</w:t>
            </w:r>
          </w:p>
        </w:tc>
        <w:tc>
          <w:tcPr>
            <w:tcW w:type="dxa" w:w="2379"/>
            <w:shd w:val="clear" w:color="auto" w:fill="003366"/>
          </w:tcPr>
          <w:p>
            <w:r/>
            <w:r>
              <w:rPr>
                <w:rFonts w:ascii="Calibri" w:hAnsi="Calibri"/>
                <w:b/>
                <w:color w:val="FFFFFF"/>
                <w:sz w:val="19"/>
              </w:rPr>
              <w:t>Deels</w:t>
            </w:r>
          </w:p>
        </w:tc>
        <w:tc>
          <w:tcPr>
            <w:tcW w:type="dxa" w:w="2379"/>
            <w:shd w:val="clear" w:color="auto" w:fill="003366"/>
          </w:tcPr>
          <w:p>
            <w:r/>
            <w:r>
              <w:rPr>
                <w:rFonts w:ascii="Calibri" w:hAnsi="Calibri"/>
                <w:b/>
                <w:color w:val="FFFFFF"/>
                <w:sz w:val="19"/>
              </w:rPr>
              <w:t>Ontbreekt</w:t>
            </w:r>
          </w:p>
        </w:tc>
      </w:tr>
      <w:tr>
        <w:tc>
          <w:tcPr>
            <w:tcW w:type="dxa" w:w="2379"/>
          </w:tcPr>
          <w:p>
            <w:r/>
            <w:r>
              <w:rPr>
                <w:rFonts w:ascii="Calibri" w:hAnsi="Calibri"/>
                <w:b w:val="0"/>
                <w:color w:val="1F2937"/>
                <w:sz w:val="19"/>
              </w:rPr>
              <w:t>Arbobesluit H4-kern (12 eisen)</w:t>
            </w:r>
          </w:p>
        </w:tc>
        <w:tc>
          <w:tcPr>
            <w:tcW w:type="dxa" w:w="2379"/>
          </w:tcPr>
          <w:p>
            <w:r/>
            <w:r>
              <w:rPr>
                <w:rFonts w:ascii="Calibri" w:hAnsi="Calibri"/>
                <w:b w:val="0"/>
                <w:color w:val="1F2937"/>
                <w:sz w:val="19"/>
              </w:rPr>
              <w:t>5</w:t>
            </w:r>
          </w:p>
        </w:tc>
        <w:tc>
          <w:tcPr>
            <w:tcW w:type="dxa" w:w="2379"/>
          </w:tcPr>
          <w:p>
            <w:r/>
            <w:r>
              <w:rPr>
                <w:rFonts w:ascii="Calibri" w:hAnsi="Calibri"/>
                <w:b w:val="0"/>
                <w:color w:val="1F2937"/>
                <w:sz w:val="19"/>
              </w:rPr>
              <w:t>4</w:t>
            </w:r>
          </w:p>
        </w:tc>
        <w:tc>
          <w:tcPr>
            <w:tcW w:type="dxa" w:w="2379"/>
          </w:tcPr>
          <w:p>
            <w:r/>
            <w:r>
              <w:rPr>
                <w:rFonts w:ascii="Calibri" w:hAnsi="Calibri"/>
                <w:b w:val="0"/>
                <w:color w:val="1F2937"/>
                <w:sz w:val="19"/>
              </w:rPr>
              <w:t>3</w:t>
            </w:r>
          </w:p>
        </w:tc>
      </w:tr>
      <w:tr>
        <w:tc>
          <w:tcPr>
            <w:tcW w:type="dxa" w:w="2379"/>
          </w:tcPr>
          <w:p>
            <w:r/>
            <w:r>
              <w:rPr>
                <w:rFonts w:ascii="Calibri" w:hAnsi="Calibri"/>
                <w:b w:val="0"/>
                <w:color w:val="1F2937"/>
                <w:sz w:val="19"/>
              </w:rPr>
              <w:t>EU-Kwikverordening</w:t>
            </w:r>
          </w:p>
        </w:tc>
        <w:tc>
          <w:tcPr>
            <w:tcW w:type="dxa" w:w="2379"/>
          </w:tcPr>
          <w:p>
            <w:r/>
            <w:r>
              <w:rPr>
                <w:rFonts w:ascii="Calibri" w:hAnsi="Calibri"/>
                <w:b w:val="0"/>
                <w:color w:val="1F2937"/>
                <w:sz w:val="19"/>
              </w:rPr>
              <w:t>2</w:t>
            </w:r>
          </w:p>
        </w:tc>
        <w:tc>
          <w:tcPr>
            <w:tcW w:type="dxa" w:w="2379"/>
          </w:tcPr>
          <w:p>
            <w:r/>
            <w:r>
              <w:rPr>
                <w:rFonts w:ascii="Calibri" w:hAnsi="Calibri"/>
                <w:b w:val="0"/>
                <w:color w:val="1F2937"/>
                <w:sz w:val="19"/>
              </w:rPr>
              <w:t>1</w:t>
            </w:r>
          </w:p>
        </w:tc>
        <w:tc>
          <w:tcPr>
            <w:tcW w:type="dxa" w:w="2379"/>
          </w:tcPr>
          <w:p>
            <w:r/>
            <w:r>
              <w:rPr>
                <w:rFonts w:ascii="Calibri" w:hAnsi="Calibri"/>
                <w:b w:val="0"/>
                <w:color w:val="1F2937"/>
                <w:sz w:val="19"/>
              </w:rPr>
              <w:t>1 (verificatie)</w:t>
            </w:r>
          </w:p>
        </w:tc>
      </w:tr>
      <w:tr>
        <w:tc>
          <w:tcPr>
            <w:tcW w:type="dxa" w:w="2379"/>
          </w:tcPr>
          <w:p>
            <w:r/>
            <w:r>
              <w:rPr>
                <w:rFonts w:ascii="Calibri" w:hAnsi="Calibri"/>
                <w:b w:val="0"/>
                <w:color w:val="1F2937"/>
                <w:sz w:val="19"/>
              </w:rPr>
              <w:t>Bal/milieu</w:t>
            </w:r>
          </w:p>
        </w:tc>
        <w:tc>
          <w:tcPr>
            <w:tcW w:type="dxa" w:w="2379"/>
          </w:tcPr>
          <w:p>
            <w:r/>
            <w:r>
              <w:rPr>
                <w:rFonts w:ascii="Calibri" w:hAnsi="Calibri"/>
                <w:b w:val="0"/>
                <w:color w:val="1F2937"/>
                <w:sz w:val="19"/>
              </w:rPr>
              <w:t>0</w:t>
            </w:r>
          </w:p>
        </w:tc>
        <w:tc>
          <w:tcPr>
            <w:tcW w:type="dxa" w:w="2379"/>
          </w:tcPr>
          <w:p>
            <w:r/>
            <w:r>
              <w:rPr>
                <w:rFonts w:ascii="Calibri" w:hAnsi="Calibri"/>
                <w:b w:val="0"/>
                <w:color w:val="1F2937"/>
                <w:sz w:val="19"/>
              </w:rPr>
              <w:t>2</w:t>
            </w:r>
          </w:p>
        </w:tc>
        <w:tc>
          <w:tcPr>
            <w:tcW w:type="dxa" w:w="2379"/>
          </w:tcPr>
          <w:p>
            <w:r/>
            <w:r>
              <w:rPr>
                <w:rFonts w:ascii="Calibri" w:hAnsi="Calibri"/>
                <w:b w:val="0"/>
                <w:color w:val="1F2937"/>
                <w:sz w:val="19"/>
              </w:rPr>
              <w:t>0</w:t>
            </w:r>
          </w:p>
        </w:tc>
      </w:tr>
      <w:tr>
        <w:tc>
          <w:tcPr>
            <w:tcW w:type="dxa" w:w="2379"/>
          </w:tcPr>
          <w:p>
            <w:r/>
            <w:r>
              <w:rPr>
                <w:rFonts w:ascii="Calibri" w:hAnsi="Calibri"/>
                <w:b w:val="0"/>
                <w:color w:val="1F2937"/>
                <w:sz w:val="19"/>
              </w:rPr>
              <w:t>REACH/CLP</w:t>
            </w:r>
          </w:p>
        </w:tc>
        <w:tc>
          <w:tcPr>
            <w:tcW w:type="dxa" w:w="2379"/>
          </w:tcPr>
          <w:p>
            <w:r/>
            <w:r>
              <w:rPr>
                <w:rFonts w:ascii="Calibri" w:hAnsi="Calibri"/>
                <w:b w:val="0"/>
                <w:color w:val="1F2937"/>
                <w:sz w:val="19"/>
              </w:rPr>
              <w:t>1</w:t>
            </w:r>
          </w:p>
        </w:tc>
        <w:tc>
          <w:tcPr>
            <w:tcW w:type="dxa" w:w="2379"/>
          </w:tcPr>
          <w:p>
            <w:r/>
            <w:r>
              <w:rPr>
                <w:rFonts w:ascii="Calibri" w:hAnsi="Calibri"/>
                <w:b w:val="0"/>
                <w:color w:val="1F2937"/>
                <w:sz w:val="19"/>
              </w:rPr>
              <w:t>1</w:t>
            </w:r>
          </w:p>
        </w:tc>
        <w:tc>
          <w:tcPr>
            <w:tcW w:type="dxa" w:w="2379"/>
          </w:tcPr>
          <w:p>
            <w:r/>
            <w:r>
              <w:rPr>
                <w:rFonts w:ascii="Calibri" w:hAnsi="Calibri"/>
                <w:b w:val="0"/>
                <w:color w:val="1F2937"/>
                <w:sz w:val="19"/>
              </w:rPr>
              <w:t>1</w:t>
            </w:r>
          </w:p>
        </w:tc>
      </w:tr>
      <w:tr>
        <w:tc>
          <w:tcPr>
            <w:tcW w:type="dxa" w:w="2379"/>
          </w:tcPr>
          <w:p>
            <w:r/>
            <w:r>
              <w:rPr>
                <w:rFonts w:ascii="Calibri" w:hAnsi="Calibri"/>
                <w:b w:val="0"/>
                <w:color w:val="1F2937"/>
                <w:sz w:val="19"/>
              </w:rPr>
              <w:t>AI-bladen/branchekader</w:t>
            </w:r>
          </w:p>
        </w:tc>
        <w:tc>
          <w:tcPr>
            <w:tcW w:type="dxa" w:w="2379"/>
          </w:tcPr>
          <w:p>
            <w:r/>
            <w:r>
              <w:rPr>
                <w:rFonts w:ascii="Calibri" w:hAnsi="Calibri"/>
                <w:b w:val="0"/>
                <w:color w:val="1F2937"/>
                <w:sz w:val="19"/>
              </w:rPr>
              <w:t>1</w:t>
            </w:r>
          </w:p>
        </w:tc>
        <w:tc>
          <w:tcPr>
            <w:tcW w:type="dxa" w:w="2379"/>
          </w:tcPr>
          <w:p>
            <w:r/>
            <w:r>
              <w:rPr>
                <w:rFonts w:ascii="Calibri" w:hAnsi="Calibri"/>
                <w:b w:val="0"/>
                <w:color w:val="1F2937"/>
                <w:sz w:val="19"/>
              </w:rPr>
              <w:t>1</w:t>
            </w:r>
          </w:p>
        </w:tc>
        <w:tc>
          <w:tcPr>
            <w:tcW w:type="dxa" w:w="2379"/>
          </w:tcPr>
          <w:p>
            <w:r/>
            <w:r>
              <w:rPr>
                <w:rFonts w:ascii="Calibri" w:hAnsi="Calibri"/>
                <w:b w:val="0"/>
                <w:color w:val="1F2937"/>
                <w:sz w:val="19"/>
              </w:rPr>
              <w:t>0</w:t>
            </w:r>
          </w:p>
        </w:tc>
      </w:tr>
    </w:tbl>
    <w:p>
      <w:pPr>
        <w:spacing w:after="40"/>
      </w:pPr>
    </w:p>
    <w:p>
      <w:pPr>
        <w:pStyle w:val="Heading2"/>
      </w:pPr>
      <w:r>
        <w:t>5.16 Artikelsgewijze verdieping — introductie</w:t>
      </w:r>
    </w:p>
    <w:p>
      <w:pPr>
        <w:spacing w:after="120"/>
      </w:pPr>
      <w:r>
        <w:rPr>
          <w:rFonts w:ascii="Calibri" w:hAnsi="Calibri"/>
          <w:b w:val="0"/>
          <w:i w:val="0"/>
          <w:sz w:val="22"/>
        </w:rPr>
        <w:t>Dit onderdeel toetst de belangrijkste wetsartikelen één voor één aan het brondocument. Elke toets beschrijft de wettelijke eis, de bevinding in 003.057, de status en de herstelmaatregel. De artikelen zijn ontleend aan het CMR-regime (Arbobesluit H4 afdeling kankerverwekkende/reprotoxische stoffen), het algemene gevaarlijke-stoffenregime en de kwik-specifieke instrumenten (EU 2017/852, CLP, ADR, Eural).</w:t>
      </w:r>
    </w:p>
    <w:p>
      <w:pPr>
        <w:pStyle w:val="Heading2"/>
      </w:pPr>
      <w:r>
        <w:t>5.17 Art. 4.1 Arbobesluit — RI&amp;E gevaarlijke stoffen</w:t>
      </w:r>
    </w:p>
    <w:p>
      <w:pPr>
        <w:spacing w:after="120"/>
      </w:pPr>
      <w:r>
        <w:rPr>
          <w:rFonts w:ascii="Calibri" w:hAnsi="Calibri"/>
          <w:b w:val="0"/>
          <w:i w:val="0"/>
          <w:sz w:val="22"/>
        </w:rPr>
        <w:t>De werkgever is verplicht de risico’s van kwikblootstelling te inventariseren en te evalueren in de RI&amp;E, inclusief aard, mate en duur van de blootstelling. Het brondocument hanteert een ‘risk-based approach’ maar verwijst niet naar de RI&amp;E als registratielocatie. Herstel: T-12 (RI&amp;E/TRA-verankering).</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val="clear" w:color="auto" w:fill="003366"/>
          </w:tcPr>
          <w:p>
            <w:r/>
            <w:r>
              <w:rPr>
                <w:rFonts w:ascii="Calibri" w:hAnsi="Calibri"/>
                <w:b/>
                <w:color w:val="FFFFFF"/>
                <w:sz w:val="19"/>
              </w:rPr>
              <w:t>Element</w:t>
            </w:r>
          </w:p>
        </w:tc>
        <w:tc>
          <w:tcPr>
            <w:tcW w:type="dxa" w:w="3173"/>
            <w:shd w:val="clear" w:color="auto" w:fill="003366"/>
          </w:tcPr>
          <w:p>
            <w:r/>
            <w:r>
              <w:rPr>
                <w:rFonts w:ascii="Calibri" w:hAnsi="Calibri"/>
                <w:b/>
                <w:color w:val="FFFFFF"/>
                <w:sz w:val="19"/>
              </w:rPr>
              <w:t>Aanwezig</w:t>
            </w:r>
          </w:p>
        </w:tc>
        <w:tc>
          <w:tcPr>
            <w:tcW w:type="dxa" w:w="3173"/>
            <w:shd w:val="clear" w:color="auto" w:fill="003366"/>
          </w:tcPr>
          <w:p>
            <w:r/>
            <w:r>
              <w:rPr>
                <w:rFonts w:ascii="Calibri" w:hAnsi="Calibri"/>
                <w:b/>
                <w:color w:val="FFFFFF"/>
                <w:sz w:val="19"/>
              </w:rPr>
              <w:t>Ref.</w:t>
            </w:r>
          </w:p>
        </w:tc>
      </w:tr>
      <w:tr>
        <w:tc>
          <w:tcPr>
            <w:tcW w:type="dxa" w:w="3173"/>
          </w:tcPr>
          <w:p>
            <w:r/>
            <w:r>
              <w:rPr>
                <w:rFonts w:ascii="Calibri" w:hAnsi="Calibri"/>
                <w:b w:val="0"/>
                <w:color w:val="1F2937"/>
                <w:sz w:val="19"/>
              </w:rPr>
              <w:t>Broninventarisatie kwik</w:t>
            </w:r>
          </w:p>
        </w:tc>
        <w:tc>
          <w:tcPr>
            <w:tcW w:type="dxa" w:w="3173"/>
          </w:tcPr>
          <w:p>
            <w:r/>
            <w:r>
              <w:rPr>
                <w:rFonts w:ascii="Calibri" w:hAnsi="Calibri"/>
                <w:b w:val="0"/>
                <w:color w:val="1F2937"/>
                <w:sz w:val="19"/>
              </w:rPr>
              <w:t>Deels</w:t>
            </w:r>
          </w:p>
        </w:tc>
        <w:tc>
          <w:tcPr>
            <w:tcW w:type="dxa" w:w="3173"/>
          </w:tcPr>
          <w:p>
            <w:r/>
            <w:r>
              <w:rPr>
                <w:rFonts w:ascii="Calibri" w:hAnsi="Calibri"/>
                <w:b w:val="0"/>
                <w:color w:val="1F2937"/>
                <w:sz w:val="19"/>
              </w:rPr>
              <w:t>§4 mercury in offshore operations</w:t>
            </w:r>
          </w:p>
        </w:tc>
      </w:tr>
      <w:tr>
        <w:tc>
          <w:tcPr>
            <w:tcW w:type="dxa" w:w="3173"/>
          </w:tcPr>
          <w:p>
            <w:r/>
            <w:r>
              <w:rPr>
                <w:rFonts w:ascii="Calibri" w:hAnsi="Calibri"/>
                <w:b w:val="0"/>
                <w:color w:val="1F2937"/>
                <w:sz w:val="19"/>
              </w:rPr>
              <w:t>Aard/mate/duur beschreven</w:t>
            </w:r>
          </w:p>
        </w:tc>
        <w:tc>
          <w:tcPr>
            <w:tcW w:type="dxa" w:w="3173"/>
          </w:tcPr>
          <w:p>
            <w:r/>
            <w:r>
              <w:rPr>
                <w:rFonts w:ascii="Calibri" w:hAnsi="Calibri"/>
                <w:b w:val="0"/>
                <w:color w:val="1F2937"/>
                <w:sz w:val="19"/>
              </w:rPr>
              <w:t>Ontbreekt</w:t>
            </w:r>
          </w:p>
        </w:tc>
        <w:tc>
          <w:tcPr>
            <w:tcW w:type="dxa" w:w="3173"/>
          </w:tcPr>
          <w:p>
            <w:r/>
            <w:r>
              <w:rPr>
                <w:rFonts w:ascii="Calibri" w:hAnsi="Calibri"/>
                <w:b w:val="0"/>
                <w:color w:val="1F2937"/>
                <w:sz w:val="19"/>
              </w:rPr>
              <w:t>—</w:t>
            </w:r>
          </w:p>
        </w:tc>
      </w:tr>
      <w:tr>
        <w:tc>
          <w:tcPr>
            <w:tcW w:type="dxa" w:w="3173"/>
          </w:tcPr>
          <w:p>
            <w:r/>
            <w:r>
              <w:rPr>
                <w:rFonts w:ascii="Calibri" w:hAnsi="Calibri"/>
                <w:b w:val="0"/>
                <w:color w:val="1F2937"/>
                <w:sz w:val="19"/>
              </w:rPr>
              <w:t>Koppeling RI&amp;E → TRA → PTW</w:t>
            </w:r>
          </w:p>
        </w:tc>
        <w:tc>
          <w:tcPr>
            <w:tcW w:type="dxa" w:w="3173"/>
          </w:tcPr>
          <w:p>
            <w:r/>
            <w:r>
              <w:rPr>
                <w:rFonts w:ascii="Calibri" w:hAnsi="Calibri"/>
                <w:b w:val="0"/>
                <w:color w:val="1F2937"/>
                <w:sz w:val="19"/>
              </w:rPr>
              <w:t>Ontbreekt</w:t>
            </w:r>
          </w:p>
        </w:tc>
        <w:tc>
          <w:tcPr>
            <w:tcW w:type="dxa" w:w="3173"/>
          </w:tcPr>
          <w:p>
            <w:r/>
            <w:r>
              <w:rPr>
                <w:rFonts w:ascii="Calibri" w:hAnsi="Calibri"/>
                <w:b w:val="0"/>
                <w:color w:val="1F2937"/>
                <w:sz w:val="19"/>
              </w:rPr>
              <w:t>§7</w:t>
            </w:r>
          </w:p>
        </w:tc>
      </w:tr>
    </w:tbl>
    <w:p>
      <w:pPr>
        <w:spacing w:after="40"/>
      </w:pPr>
    </w:p>
    <w:p>
      <w:pPr>
        <w:pStyle w:val="Heading2"/>
      </w:pPr>
      <w:r>
        <w:t>5.18 Art. 4.2 Arbobesluit — maatregelenhiërarchie</w:t>
      </w:r>
    </w:p>
    <w:p>
      <w:pPr>
        <w:spacing w:after="120"/>
      </w:pPr>
      <w:r>
        <w:rPr>
          <w:rFonts w:ascii="Calibri" w:hAnsi="Calibri"/>
          <w:b w:val="0"/>
          <w:i w:val="0"/>
          <w:sz w:val="22"/>
        </w:rPr>
        <w:t>De volgorde bronmaatregel → collectieve maatregel → individuele maatregel → PBM is in sectie 7 volledig en correct toegepast, inclusief ventilatie-/inzamelingsmaatregelen vóórdat RPE wordt ingezet. Status: CONFORM.</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val="clear" w:color="auto" w:fill="003366"/>
          </w:tcPr>
          <w:p>
            <w:r/>
            <w:r>
              <w:rPr>
                <w:rFonts w:ascii="Calibri" w:hAnsi="Calibri"/>
                <w:b/>
                <w:color w:val="FFFFFF"/>
                <w:sz w:val="19"/>
              </w:rPr>
              <w:t>Trede</w:t>
            </w:r>
          </w:p>
        </w:tc>
        <w:tc>
          <w:tcPr>
            <w:tcW w:type="dxa" w:w="3173"/>
            <w:shd w:val="clear" w:color="auto" w:fill="003366"/>
          </w:tcPr>
          <w:p>
            <w:r/>
            <w:r>
              <w:rPr>
                <w:rFonts w:ascii="Calibri" w:hAnsi="Calibri"/>
                <w:b/>
                <w:color w:val="FFFFFF"/>
                <w:sz w:val="19"/>
              </w:rPr>
              <w:t>In procedure</w:t>
            </w:r>
          </w:p>
        </w:tc>
        <w:tc>
          <w:tcPr>
            <w:tcW w:type="dxa" w:w="3173"/>
            <w:shd w:val="clear" w:color="auto" w:fill="003366"/>
          </w:tcPr>
          <w:p>
            <w:r/>
            <w:r>
              <w:rPr>
                <w:rFonts w:ascii="Calibri" w:hAnsi="Calibri"/>
                <w:b/>
                <w:color w:val="FFFFFF"/>
                <w:sz w:val="19"/>
              </w:rPr>
              <w:t>Voorbeeld</w:t>
            </w:r>
          </w:p>
        </w:tc>
      </w:tr>
      <w:tr>
        <w:tc>
          <w:tcPr>
            <w:tcW w:type="dxa" w:w="3173"/>
          </w:tcPr>
          <w:p>
            <w:r/>
            <w:r>
              <w:rPr>
                <w:rFonts w:ascii="Calibri" w:hAnsi="Calibri"/>
                <w:b w:val="0"/>
                <w:color w:val="1F2937"/>
                <w:sz w:val="19"/>
              </w:rPr>
              <w:t>Bronmaatregel</w:t>
            </w:r>
          </w:p>
        </w:tc>
        <w:tc>
          <w:tcPr>
            <w:tcW w:type="dxa" w:w="3173"/>
          </w:tcPr>
          <w:p>
            <w:r/>
            <w:r>
              <w:rPr>
                <w:rFonts w:ascii="Calibri" w:hAnsi="Calibri"/>
                <w:b w:val="0"/>
                <w:color w:val="1F2937"/>
                <w:sz w:val="19"/>
              </w:rPr>
              <w:t>Ja</w:t>
            </w:r>
          </w:p>
        </w:tc>
        <w:tc>
          <w:tcPr>
            <w:tcW w:type="dxa" w:w="3173"/>
          </w:tcPr>
          <w:p>
            <w:r/>
            <w:r>
              <w:rPr>
                <w:rFonts w:ascii="Calibri" w:hAnsi="Calibri"/>
                <w:b w:val="0"/>
                <w:color w:val="1F2937"/>
                <w:sz w:val="19"/>
              </w:rPr>
              <w:t>Systeem gesloten houden; druppels direct afvoeren</w:t>
            </w:r>
          </w:p>
        </w:tc>
      </w:tr>
      <w:tr>
        <w:tc>
          <w:tcPr>
            <w:tcW w:type="dxa" w:w="3173"/>
          </w:tcPr>
          <w:p>
            <w:r/>
            <w:r>
              <w:rPr>
                <w:rFonts w:ascii="Calibri" w:hAnsi="Calibri"/>
                <w:b w:val="0"/>
                <w:color w:val="1F2937"/>
                <w:sz w:val="19"/>
              </w:rPr>
              <w:t>Collectieve maatregel</w:t>
            </w:r>
          </w:p>
        </w:tc>
        <w:tc>
          <w:tcPr>
            <w:tcW w:type="dxa" w:w="3173"/>
          </w:tcPr>
          <w:p>
            <w:r/>
            <w:r>
              <w:rPr>
                <w:rFonts w:ascii="Calibri" w:hAnsi="Calibri"/>
                <w:b w:val="0"/>
                <w:color w:val="1F2937"/>
                <w:sz w:val="19"/>
              </w:rPr>
              <w:t>Ja</w:t>
            </w:r>
          </w:p>
        </w:tc>
        <w:tc>
          <w:tcPr>
            <w:tcW w:type="dxa" w:w="3173"/>
          </w:tcPr>
          <w:p>
            <w:r/>
            <w:r>
              <w:rPr>
                <w:rFonts w:ascii="Calibri" w:hAnsi="Calibri"/>
                <w:b w:val="0"/>
                <w:color w:val="1F2937"/>
                <w:sz w:val="19"/>
              </w:rPr>
              <w:t>Ventilatie, afzetting, lage-punt-benutting</w:t>
            </w:r>
          </w:p>
        </w:tc>
      </w:tr>
      <w:tr>
        <w:tc>
          <w:tcPr>
            <w:tcW w:type="dxa" w:w="3173"/>
          </w:tcPr>
          <w:p>
            <w:r/>
            <w:r>
              <w:rPr>
                <w:rFonts w:ascii="Calibri" w:hAnsi="Calibri"/>
                <w:b w:val="0"/>
                <w:color w:val="1F2937"/>
                <w:sz w:val="19"/>
              </w:rPr>
              <w:t>Individuele maatregel</w:t>
            </w:r>
          </w:p>
        </w:tc>
        <w:tc>
          <w:tcPr>
            <w:tcW w:type="dxa" w:w="3173"/>
          </w:tcPr>
          <w:p>
            <w:r/>
            <w:r>
              <w:rPr>
                <w:rFonts w:ascii="Calibri" w:hAnsi="Calibri"/>
                <w:b w:val="0"/>
                <w:color w:val="1F2937"/>
                <w:sz w:val="19"/>
              </w:rPr>
              <w:t>Ja</w:t>
            </w:r>
          </w:p>
        </w:tc>
        <w:tc>
          <w:tcPr>
            <w:tcW w:type="dxa" w:w="3173"/>
          </w:tcPr>
          <w:p>
            <w:r/>
            <w:r>
              <w:rPr>
                <w:rFonts w:ascii="Calibri" w:hAnsi="Calibri"/>
                <w:b w:val="0"/>
                <w:color w:val="1F2937"/>
                <w:sz w:val="19"/>
              </w:rPr>
              <w:t>Taakbeperking, rotatie/pauzes</w:t>
            </w:r>
          </w:p>
        </w:tc>
      </w:tr>
      <w:tr>
        <w:tc>
          <w:tcPr>
            <w:tcW w:type="dxa" w:w="3173"/>
          </w:tcPr>
          <w:p>
            <w:r/>
            <w:r>
              <w:rPr>
                <w:rFonts w:ascii="Calibri" w:hAnsi="Calibri"/>
                <w:b w:val="0"/>
                <w:color w:val="1F2937"/>
                <w:sz w:val="19"/>
              </w:rPr>
              <w:t>PBM (laatste trede)</w:t>
            </w:r>
          </w:p>
        </w:tc>
        <w:tc>
          <w:tcPr>
            <w:tcW w:type="dxa" w:w="3173"/>
          </w:tcPr>
          <w:p>
            <w:r/>
            <w:r>
              <w:rPr>
                <w:rFonts w:ascii="Calibri" w:hAnsi="Calibri"/>
                <w:b w:val="0"/>
                <w:color w:val="1F2937"/>
                <w:sz w:val="19"/>
              </w:rPr>
              <w:t>Ja</w:t>
            </w:r>
          </w:p>
        </w:tc>
        <w:tc>
          <w:tcPr>
            <w:tcW w:type="dxa" w:w="3173"/>
          </w:tcPr>
          <w:p>
            <w:r/>
            <w:r>
              <w:rPr>
                <w:rFonts w:ascii="Calibri" w:hAnsi="Calibri"/>
                <w:b w:val="0"/>
                <w:color w:val="1F2937"/>
                <w:sz w:val="19"/>
              </w:rPr>
              <w:t>RPE-bandindeling Annex II</w:t>
            </w:r>
          </w:p>
        </w:tc>
      </w:tr>
    </w:tbl>
    <w:p>
      <w:pPr>
        <w:spacing w:after="40"/>
      </w:pPr>
    </w:p>
    <w:p>
      <w:pPr>
        <w:pStyle w:val="Heading2"/>
      </w:pPr>
      <w:r>
        <w:t>5.19 Art. 4.10 Arbobesluit — metingen</w:t>
      </w:r>
    </w:p>
    <w:p>
      <w:pPr>
        <w:spacing w:after="120"/>
      </w:pPr>
      <w:r>
        <w:rPr>
          <w:rFonts w:ascii="Calibri" w:hAnsi="Calibri"/>
          <w:b w:val="0"/>
          <w:i w:val="0"/>
          <w:sz w:val="22"/>
        </w:rPr>
        <w:t>De meetverplichting is ruim ingevuld: meetfrequenties per activiteit, extra triggers en bandkoppeling. Twee randvoorwaarden ontbreken: kalibratie/verification (T-07) en koppeling van resultaten aan het persoonsregister (T-09).</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Element</w:t>
            </w:r>
          </w:p>
        </w:tc>
        <w:tc>
          <w:tcPr>
            <w:tcW w:type="dxa" w:w="4759"/>
            <w:shd w:val="clear" w:color="auto" w:fill="003366"/>
          </w:tcPr>
          <w:p>
            <w:r/>
            <w:r>
              <w:rPr>
                <w:rFonts w:ascii="Calibri" w:hAnsi="Calibri"/>
                <w:b/>
                <w:color w:val="FFFFFF"/>
                <w:sz w:val="19"/>
              </w:rPr>
              <w:t>Status</w:t>
            </w:r>
          </w:p>
        </w:tc>
      </w:tr>
      <w:tr>
        <w:tc>
          <w:tcPr>
            <w:tcW w:type="dxa" w:w="4759"/>
          </w:tcPr>
          <w:p>
            <w:r/>
            <w:r>
              <w:rPr>
                <w:rFonts w:ascii="Calibri" w:hAnsi="Calibri"/>
                <w:b w:val="0"/>
                <w:color w:val="1F2937"/>
                <w:sz w:val="19"/>
              </w:rPr>
              <w:t>Meetfrequentieplan</w:t>
            </w:r>
          </w:p>
        </w:tc>
        <w:tc>
          <w:tcPr>
            <w:tcW w:type="dxa" w:w="4759"/>
          </w:tcPr>
          <w:p>
            <w:r/>
            <w:r>
              <w:rPr>
                <w:rFonts w:ascii="Calibri" w:hAnsi="Calibri"/>
                <w:b w:val="0"/>
                <w:color w:val="1F2937"/>
                <w:sz w:val="19"/>
              </w:rPr>
              <w:t>CONFORM</w:t>
            </w:r>
          </w:p>
        </w:tc>
      </w:tr>
      <w:tr>
        <w:tc>
          <w:tcPr>
            <w:tcW w:type="dxa" w:w="4759"/>
          </w:tcPr>
          <w:p>
            <w:r/>
            <w:r>
              <w:rPr>
                <w:rFonts w:ascii="Calibri" w:hAnsi="Calibri"/>
                <w:b w:val="0"/>
                <w:color w:val="1F2937"/>
                <w:sz w:val="19"/>
              </w:rPr>
              <w:t>Triggers voor extra metingen</w:t>
            </w:r>
          </w:p>
        </w:tc>
        <w:tc>
          <w:tcPr>
            <w:tcW w:type="dxa" w:w="4759"/>
          </w:tcPr>
          <w:p>
            <w:r/>
            <w:r>
              <w:rPr>
                <w:rFonts w:ascii="Calibri" w:hAnsi="Calibri"/>
                <w:b w:val="0"/>
                <w:color w:val="1F2937"/>
                <w:sz w:val="19"/>
              </w:rPr>
              <w:t>CONFORM</w:t>
            </w:r>
          </w:p>
        </w:tc>
      </w:tr>
      <w:tr>
        <w:tc>
          <w:tcPr>
            <w:tcW w:type="dxa" w:w="4759"/>
          </w:tcPr>
          <w:p>
            <w:r/>
            <w:r>
              <w:rPr>
                <w:rFonts w:ascii="Calibri" w:hAnsi="Calibri"/>
                <w:b w:val="0"/>
                <w:color w:val="1F2937"/>
                <w:sz w:val="19"/>
              </w:rPr>
              <w:t>Kalibratie/verification</w:t>
            </w:r>
          </w:p>
        </w:tc>
        <w:tc>
          <w:tcPr>
            <w:tcW w:type="dxa" w:w="4759"/>
          </w:tcPr>
          <w:p>
            <w:r/>
            <w:r>
              <w:rPr>
                <w:rFonts w:ascii="Calibri" w:hAnsi="Calibri"/>
                <w:b w:val="0"/>
                <w:color w:val="1F2937"/>
                <w:sz w:val="19"/>
              </w:rPr>
              <w:t>DEELS — T-07</w:t>
            </w:r>
          </w:p>
        </w:tc>
      </w:tr>
      <w:tr>
        <w:tc>
          <w:tcPr>
            <w:tcW w:type="dxa" w:w="4759"/>
          </w:tcPr>
          <w:p>
            <w:r/>
            <w:r>
              <w:rPr>
                <w:rFonts w:ascii="Calibri" w:hAnsi="Calibri"/>
                <w:b w:val="0"/>
                <w:color w:val="1F2937"/>
                <w:sz w:val="19"/>
              </w:rPr>
              <w:t>Koppeling blootstellingsregister</w:t>
            </w:r>
          </w:p>
        </w:tc>
        <w:tc>
          <w:tcPr>
            <w:tcW w:type="dxa" w:w="4759"/>
          </w:tcPr>
          <w:p>
            <w:r/>
            <w:r>
              <w:rPr>
                <w:rFonts w:ascii="Calibri" w:hAnsi="Calibri"/>
                <w:b w:val="0"/>
                <w:color w:val="1F2937"/>
                <w:sz w:val="19"/>
              </w:rPr>
              <w:t>ONTBREEKT — R-02</w:t>
            </w:r>
          </w:p>
        </w:tc>
      </w:tr>
    </w:tbl>
    <w:p>
      <w:pPr>
        <w:spacing w:after="40"/>
      </w:pPr>
    </w:p>
    <w:p>
      <w:pPr>
        <w:pStyle w:val="Heading2"/>
      </w:pPr>
      <w:r>
        <w:t>5.20 Art. 4.10a/4.10b — medische surveillance</w:t>
      </w:r>
    </w:p>
    <w:p>
      <w:pPr>
        <w:spacing w:after="120"/>
      </w:pPr>
      <w:r>
        <w:rPr>
          <w:rFonts w:ascii="Calibri" w:hAnsi="Calibri"/>
          <w:b w:val="0"/>
          <w:i w:val="0"/>
          <w:sz w:val="22"/>
        </w:rPr>
        <w:t>Volledig afwezig; dit is de ernstigste bevinding (R-01). Voor Repr. 1B-stoffen geldt het aanbieden van arbeidsgezondheidskundig onderzoek als harde verplichting, bij voorkeur vóór aanvang van de werkzaamheden. Herstel: rollen (T-03), reprotoxiciteits-alinea (T-05) en zwangerschapsregeling.</w:t>
      </w:r>
    </w:p>
    <w:p>
      <w:pPr>
        <w:pStyle w:val="Heading2"/>
      </w:pPr>
      <w:r>
        <w:t>5.21 Art. 4.10c — bewaartermijn</w:t>
      </w:r>
    </w:p>
    <w:p>
      <w:pPr>
        <w:spacing w:after="120"/>
      </w:pPr>
      <w:r>
        <w:rPr>
          <w:rFonts w:ascii="Calibri" w:hAnsi="Calibri"/>
          <w:b w:val="0"/>
          <w:i w:val="0"/>
          <w:sz w:val="22"/>
        </w:rPr>
        <w:t>Gegevens over blootstelling moeten 40 jaar beschikbaar blijven. Het brondocument kent geen enkele bewaarbepaling; bij een tijdelijk decommissioningproject is de overdrachtsregeling (T-10) essentieel om gegevensverlies bij demobilisatie te voorkomen.</w:t>
      </w:r>
    </w:p>
    <w:p>
      <w:pPr>
        <w:pStyle w:val="Heading2"/>
      </w:pPr>
      <w:r>
        <w:t>5.22 Art. 4.15 — blootstellingsregister</w:t>
      </w:r>
    </w:p>
    <w:p>
      <w:pPr>
        <w:spacing w:after="120"/>
      </w:pPr>
      <w:r>
        <w:rPr>
          <w:rFonts w:ascii="Calibri" w:hAnsi="Calibri"/>
          <w:b w:val="0"/>
          <w:i w:val="0"/>
          <w:sz w:val="22"/>
        </w:rPr>
        <w:t>Zie R-02/T-09. Het PTW-dossier dekt de wettelijke functie niet: het is taakgebonden, vraagt geen vermelding van ondergane blootstelling per persoon en kent geen inzage-/afschriftrecht.</w:t>
      </w:r>
    </w:p>
    <w:p>
      <w:pPr>
        <w:pStyle w:val="Heading2"/>
      </w:pPr>
      <w:r>
        <w:t>5.23 Art. 4.21 — abnormale blootstelling</w:t>
      </w:r>
    </w:p>
    <w:p>
      <w:pPr>
        <w:spacing w:after="120"/>
      </w:pPr>
      <w:r>
        <w:rPr>
          <w:rFonts w:ascii="Calibri" w:hAnsi="Calibri"/>
          <w:b w:val="0"/>
          <w:i w:val="0"/>
          <w:sz w:val="22"/>
        </w:rPr>
        <w:t>Bij overschrijding van de grenswaarde of incidenten moeten werknemers onmiddellijk worden geïnformeerd, maatregelen worden genomen en de OR/PVT worden ingeschakeld. Het EMVI-bestand dekt uitsluitend spill-opschoning (R-09). Herstel: T-13 met symptoomherkenning en escalatiepad.</w:t>
      </w:r>
    </w:p>
    <w:p>
      <w:pPr>
        <w:pStyle w:val="Heading2"/>
      </w:pPr>
      <w:r>
        <w:t>5.24 EU-Verordening 2017/852 — kwikregime</w:t>
      </w:r>
    </w:p>
    <w:p>
      <w:pPr>
        <w:spacing w:after="120"/>
      </w:pPr>
      <w:r>
        <w:rPr>
          <w:rFonts w:ascii="Calibri" w:hAnsi="Calibri"/>
          <w:b w:val="0"/>
          <w:i w:val="0"/>
          <w:sz w:val="22"/>
        </w:rPr>
        <w:t>De verordening beheerst opslag, overdracht en afval van kwik. De procedure bevat goede opslagpraktijken (gescheiden, gelemdde vloer) maar geen overdrachtsdocumentatie naar erkende ontvangers. Status: DEELS.</w:t>
      </w:r>
    </w:p>
    <w:p>
      <w:pPr>
        <w:pStyle w:val="Heading2"/>
      </w:pPr>
      <w:r>
        <w:t>5.25 CLP — classificatie en etikettering</w:t>
      </w:r>
    </w:p>
    <w:p>
      <w:pPr>
        <w:spacing w:after="120"/>
      </w:pPr>
      <w:r>
        <w:rPr>
          <w:rFonts w:ascii="Calibri" w:hAnsi="Calibri"/>
          <w:b w:val="0"/>
          <w:i w:val="0"/>
          <w:sz w:val="22"/>
        </w:rPr>
        <w:t>De geharmoniseerde classificatie (H360D, H372, H400, H410) ontbreekt volledig in het document (R-04). Etikettering wordt aan Logistics gedelegeerd zonder eisen te stellen. Herstel: T-04 en T-16.</w:t>
      </w:r>
    </w:p>
    <w:p>
      <w:pPr>
        <w:pStyle w:val="Heading2"/>
      </w:pPr>
      <w:r>
        <w:t>5.26 ADR — UN 2809 en IBC-verbod</w:t>
      </w:r>
    </w:p>
    <w:p>
      <w:pPr>
        <w:spacing w:after="120"/>
      </w:pPr>
      <w:r>
        <w:rPr>
          <w:rFonts w:ascii="Calibri" w:hAnsi="Calibri"/>
          <w:b w:val="0"/>
          <w:i w:val="0"/>
          <w:sz w:val="22"/>
        </w:rPr>
        <w:t>De ernstigste potentieel onjuiste instructie van het document: Annex III adviseert IBC tanks voor vloeistoffen, terwijl ADR voor vloeibaar kwik IBC/bulk/large packagings uitdrukkelijk verbiedt. Herstel: T-21 (herschreven passage met expliciete nuancering voor kwikhoudende vloeistoffen anders dan elementair kwik). Verificatiepunt V-1.</w:t>
      </w:r>
    </w:p>
    <w:p>
      <w:pPr>
        <w:pStyle w:val="Heading2"/>
      </w:pPr>
      <w:r>
        <w:t>5.27 Eural/Bal — afvalstroom</w:t>
      </w:r>
    </w:p>
    <w:p>
      <w:pPr>
        <w:spacing w:after="120"/>
      </w:pPr>
      <w:r>
        <w:rPr>
          <w:rFonts w:ascii="Calibri" w:hAnsi="Calibri"/>
          <w:b w:val="0"/>
          <w:i w:val="0"/>
          <w:sz w:val="22"/>
        </w:rPr>
        <w:t>De 3%-drempel is correct toegepast en de verpakkingsstandaard is sterk. Ontbrekend: begeleidingsbrief-regeling en erkenningseis voor verwerkers (T-15). Status: DEELS.</w:t>
      </w:r>
    </w:p>
    <w:p>
      <w:pPr>
        <w:pStyle w:val="Heading2"/>
      </w:pPr>
      <w:r>
        <w:t>5.28 Mijnbouwwet / NOGEPA — toezicht en branchekader</w:t>
      </w:r>
    </w:p>
    <w:p>
      <w:pPr>
        <w:spacing w:after="120"/>
      </w:pPr>
      <w:r>
        <w:rPr>
          <w:rFonts w:ascii="Calibri" w:hAnsi="Calibri"/>
          <w:b w:val="0"/>
          <w:i w:val="0"/>
          <w:sz w:val="22"/>
        </w:rPr>
        <w:t>De Mijnbouwwet staat in de referentietabel zonder toelichting (R-07/T-18); NOGEPA Standard 86 is correct vermeld (R-12 ingetrokken). Voor het continentale plat is Stoom de bevoegde toezichthouder — dit bepaalt het inspectieperspectief.</w:t>
      </w:r>
    </w:p>
    <w:p>
      <w:pPr>
        <w:pStyle w:val="Heading1"/>
      </w:pPr>
      <w:r>
        <w:t>6. Verificatiepunten (Veldinspectie Vereist)</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val="clear" w:color="auto" w:fill="003366"/>
          </w:tcPr>
          <w:p>
            <w:r/>
            <w:r>
              <w:rPr>
                <w:rFonts w:ascii="Calibri" w:hAnsi="Calibri"/>
                <w:b/>
                <w:color w:val="FFFFFF"/>
                <w:sz w:val="19"/>
              </w:rPr>
              <w:t>Vp</w:t>
            </w:r>
          </w:p>
        </w:tc>
        <w:tc>
          <w:tcPr>
            <w:tcW w:type="dxa" w:w="3173"/>
            <w:shd w:val="clear" w:color="auto" w:fill="003366"/>
          </w:tcPr>
          <w:p>
            <w:r/>
            <w:r>
              <w:rPr>
                <w:rFonts w:ascii="Calibri" w:hAnsi="Calibri"/>
                <w:b/>
                <w:color w:val="FFFFFF"/>
                <w:sz w:val="19"/>
              </w:rPr>
              <w:t>Punt</w:t>
            </w:r>
          </w:p>
        </w:tc>
        <w:tc>
          <w:tcPr>
            <w:tcW w:type="dxa" w:w="3173"/>
            <w:shd w:val="clear" w:color="auto" w:fill="003366"/>
          </w:tcPr>
          <w:p>
            <w:r/>
            <w:r>
              <w:rPr>
                <w:rFonts w:ascii="Calibri" w:hAnsi="Calibri"/>
                <w:b/>
                <w:color w:val="FFFFFF"/>
                <w:sz w:val="19"/>
              </w:rPr>
              <w:t>Waarom vereist</w:t>
            </w:r>
          </w:p>
        </w:tc>
      </w:tr>
      <w:tr>
        <w:tc>
          <w:tcPr>
            <w:tcW w:type="dxa" w:w="3173"/>
          </w:tcPr>
          <w:p>
            <w:r/>
            <w:r>
              <w:rPr>
                <w:rFonts w:ascii="Calibri" w:hAnsi="Calibri"/>
                <w:b w:val="0"/>
                <w:color w:val="1F2937"/>
                <w:sz w:val="19"/>
              </w:rPr>
              <w:t>V-1</w:t>
            </w:r>
          </w:p>
        </w:tc>
        <w:tc>
          <w:tcPr>
            <w:tcW w:type="dxa" w:w="3173"/>
          </w:tcPr>
          <w:p>
            <w:r/>
            <w:r>
              <w:rPr>
                <w:rFonts w:ascii="Calibri" w:hAnsi="Calibri"/>
                <w:b w:val="0"/>
                <w:color w:val="1F2937"/>
                <w:sz w:val="19"/>
              </w:rPr>
              <w:t>Annex III IBC-transportpassage: toets feitelijke praktijk tegen ADR UN 2809</w:t>
            </w:r>
          </w:p>
        </w:tc>
        <w:tc>
          <w:tcPr>
            <w:tcW w:type="dxa" w:w="3173"/>
          </w:tcPr>
          <w:p>
            <w:r/>
            <w:r>
              <w:rPr>
                <w:rFonts w:ascii="Calibri" w:hAnsi="Calibri"/>
                <w:b w:val="0"/>
                <w:color w:val="1F2937"/>
                <w:sz w:val="19"/>
              </w:rPr>
              <w:t>Mogelijk onjuiste instructie — R-03</w:t>
            </w:r>
          </w:p>
        </w:tc>
      </w:tr>
      <w:tr>
        <w:tc>
          <w:tcPr>
            <w:tcW w:type="dxa" w:w="3173"/>
          </w:tcPr>
          <w:p>
            <w:r/>
            <w:r>
              <w:rPr>
                <w:rFonts w:ascii="Calibri" w:hAnsi="Calibri"/>
                <w:b w:val="0"/>
                <w:color w:val="1F2937"/>
                <w:sz w:val="19"/>
              </w:rPr>
              <w:t>V-2</w:t>
            </w:r>
          </w:p>
        </w:tc>
        <w:tc>
          <w:tcPr>
            <w:tcW w:type="dxa" w:w="3173"/>
          </w:tcPr>
          <w:p>
            <w:r/>
            <w:r>
              <w:rPr>
                <w:rFonts w:ascii="Calibri" w:hAnsi="Calibri"/>
                <w:b w:val="0"/>
                <w:color w:val="1F2937"/>
                <w:sz w:val="19"/>
              </w:rPr>
              <w:t>Definitieve opslag- en walafhandeling kwikhoudend afval</w:t>
            </w:r>
          </w:p>
        </w:tc>
        <w:tc>
          <w:tcPr>
            <w:tcW w:type="dxa" w:w="3173"/>
          </w:tcPr>
          <w:p>
            <w:r/>
            <w:r>
              <w:rPr>
                <w:rFonts w:ascii="Calibri" w:hAnsi="Calibri"/>
                <w:b w:val="0"/>
                <w:color w:val="1F2937"/>
                <w:sz w:val="19"/>
              </w:rPr>
              <w:t>Eural-classificatie en verwerkerserkenning ter plaatse vaststellen</w:t>
            </w:r>
          </w:p>
        </w:tc>
      </w:tr>
      <w:tr>
        <w:tc>
          <w:tcPr>
            <w:tcW w:type="dxa" w:w="3173"/>
          </w:tcPr>
          <w:p>
            <w:r/>
            <w:r>
              <w:rPr>
                <w:rFonts w:ascii="Calibri" w:hAnsi="Calibri"/>
                <w:b w:val="0"/>
                <w:color w:val="1F2937"/>
                <w:sz w:val="19"/>
              </w:rPr>
              <w:t>V-3</w:t>
            </w:r>
          </w:p>
        </w:tc>
        <w:tc>
          <w:tcPr>
            <w:tcW w:type="dxa" w:w="3173"/>
          </w:tcPr>
          <w:p>
            <w:r/>
            <w:r>
              <w:rPr>
                <w:rFonts w:ascii="Calibri" w:hAnsi="Calibri"/>
                <w:b w:val="0"/>
                <w:color w:val="1F2937"/>
                <w:sz w:val="19"/>
              </w:rPr>
              <w:t>Accreditatie en kalibratie laboratoria (SGS/NRG) en Jerome J405-instrumenten</w:t>
            </w:r>
          </w:p>
        </w:tc>
        <w:tc>
          <w:tcPr>
            <w:tcW w:type="dxa" w:w="3173"/>
          </w:tcPr>
          <w:p>
            <w:r/>
            <w:r>
              <w:rPr>
                <w:rFonts w:ascii="Calibri" w:hAnsi="Calibri"/>
                <w:b w:val="0"/>
                <w:color w:val="1F2937"/>
                <w:sz w:val="19"/>
              </w:rPr>
              <w:t>Geldigheid meetgegevens</w:t>
            </w:r>
          </w:p>
        </w:tc>
      </w:tr>
    </w:tbl>
    <w:p>
      <w:pPr>
        <w:spacing w:after="40"/>
      </w:pPr>
    </w:p>
    <w:p>
      <w:pPr>
        <w:pStyle w:val="Heading1"/>
      </w:pPr>
      <w:r>
        <w:t>7. Beperkingen van deze Audit</w:t>
      </w:r>
    </w:p>
    <w:p>
      <w:pPr>
        <w:pStyle w:val="ListBullet"/>
        <w:spacing w:after="60"/>
      </w:pPr>
      <w:r>
        <w:t>Document-based: geen veldinspectie, geen interviews, geen steekproef uitvoering.</w:t>
      </w:r>
    </w:p>
    <w:p>
      <w:pPr>
        <w:pStyle w:val="ListBullet"/>
        <w:spacing w:after="60"/>
      </w:pPr>
      <w:r>
        <w:t>Brontekst Engels; wetsinterpretatie Nederlands — waar teksten verschillen prevaleert de wettekst.</w:t>
      </w:r>
    </w:p>
    <w:p>
      <w:pPr>
        <w:pStyle w:val="ListBullet"/>
        <w:spacing w:after="60"/>
      </w:pPr>
      <w:r>
        <w:t>ADR-toets gebaseerd op de laatst geraadpleegde editie; V-1 vereist verificatie tegen de actuele editie.</w:t>
      </w:r>
    </w:p>
    <w:p>
      <w:pPr>
        <w:pStyle w:val="ListBullet"/>
        <w:spacing w:after="60"/>
      </w:pPr>
      <w:r>
        <w:t>Geen beoordeling van de uitvoerbaarheid op specifieke platforms (layout, ventilatie, logistiek).</w:t>
      </w:r>
    </w:p>
    <w:p>
      <w:pPr>
        <w:pStyle w:val="Heading1"/>
      </w:pPr>
      <w:r>
        <w:t>8. Bevindingenstatistiek en Definitief Oordeel</w:t>
      </w:r>
    </w:p>
    <w:p>
      <w:pPr>
        <w:pStyle w:val="Heading2"/>
      </w:pPr>
      <w:r>
        <w:t>8.1 Overall conclusie</w:t>
      </w:r>
    </w:p>
    <w:p>
      <w:pPr>
        <w:spacing w:after="120"/>
      </w:pPr>
      <w:r>
        <w:rPr>
          <w:rFonts w:ascii="Calibri" w:hAnsi="Calibri"/>
          <w:b w:val="0"/>
          <w:i w:val="0"/>
          <w:sz w:val="22"/>
        </w:rPr>
        <w:t>Koole 003.057 is de best ontwikkelde procedure van de getoetste MSD 003-serie: de grenswaarde, meetstrategie en RPE-bandindeling zijn correct en concreet. De procedure voldoet echter niet volledig aan het CMR-regime dat sinds de classificatie van kwik als Repr. 1B op de procedure van toepassing is. Twee wettelijk verplichte elementen (medische surveillance, blootstellingsregister) ontbreken volledig; één instructie (IBC-transport) is potentieel in strijd met het ADR.</w:t>
      </w:r>
    </w:p>
    <w:p>
      <w:pPr>
        <w:pStyle w:val="Heading2"/>
      </w:pPr>
      <w:r>
        <w:t>8.2 Bevindingenstatistiek</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val="clear" w:color="auto" w:fill="003366"/>
          </w:tcPr>
          <w:p>
            <w:r/>
            <w:r>
              <w:rPr>
                <w:rFonts w:ascii="Calibri" w:hAnsi="Calibri"/>
                <w:b/>
                <w:color w:val="FFFFFF"/>
                <w:sz w:val="19"/>
              </w:rPr>
              <w:t>Ernst</w:t>
            </w:r>
          </w:p>
        </w:tc>
        <w:tc>
          <w:tcPr>
            <w:tcW w:type="dxa" w:w="3173"/>
            <w:shd w:val="clear" w:color="auto" w:fill="003366"/>
          </w:tcPr>
          <w:p>
            <w:r/>
            <w:r>
              <w:rPr>
                <w:rFonts w:ascii="Calibri" w:hAnsi="Calibri"/>
                <w:b/>
                <w:color w:val="FFFFFF"/>
                <w:sz w:val="19"/>
              </w:rPr>
              <w:t>Aantal</w:t>
            </w:r>
          </w:p>
        </w:tc>
        <w:tc>
          <w:tcPr>
            <w:tcW w:type="dxa" w:w="3173"/>
            <w:shd w:val="clear" w:color="auto" w:fill="003366"/>
          </w:tcPr>
          <w:p>
            <w:r/>
            <w:r>
              <w:rPr>
                <w:rFonts w:ascii="Calibri" w:hAnsi="Calibri"/>
                <w:b/>
                <w:color w:val="FFFFFF"/>
                <w:sz w:val="19"/>
              </w:rPr>
              <w:t>Kenmerk</w:t>
            </w:r>
          </w:p>
        </w:tc>
      </w:tr>
      <w:tr>
        <w:tc>
          <w:tcPr>
            <w:tcW w:type="dxa" w:w="3173"/>
          </w:tcPr>
          <w:p>
            <w:r/>
            <w:r>
              <w:rPr>
                <w:rFonts w:ascii="Calibri" w:hAnsi="Calibri"/>
                <w:b w:val="0"/>
                <w:color w:val="1F2937"/>
                <w:sz w:val="19"/>
              </w:rPr>
              <w:t>HOOG</w:t>
            </w:r>
          </w:p>
        </w:tc>
        <w:tc>
          <w:tcPr>
            <w:tcW w:type="dxa" w:w="3173"/>
          </w:tcPr>
          <w:p>
            <w:r/>
            <w:r>
              <w:rPr>
                <w:rFonts w:ascii="Calibri" w:hAnsi="Calibri"/>
                <w:b w:val="0"/>
                <w:color w:val="1F2937"/>
                <w:sz w:val="19"/>
              </w:rPr>
              <w:t>3</w:t>
            </w:r>
          </w:p>
        </w:tc>
        <w:tc>
          <w:tcPr>
            <w:tcW w:type="dxa" w:w="3173"/>
          </w:tcPr>
          <w:p>
            <w:r/>
            <w:r>
              <w:rPr>
                <w:rFonts w:ascii="Calibri" w:hAnsi="Calibri"/>
                <w:b w:val="0"/>
                <w:color w:val="1F2937"/>
                <w:sz w:val="19"/>
              </w:rPr>
              <w:t>R-01 AGO; R-02 register; R-03 ADR/IBC</w:t>
            </w:r>
          </w:p>
        </w:tc>
      </w:tr>
      <w:tr>
        <w:tc>
          <w:tcPr>
            <w:tcW w:type="dxa" w:w="3173"/>
          </w:tcPr>
          <w:p>
            <w:r/>
            <w:r>
              <w:rPr>
                <w:rFonts w:ascii="Calibri" w:hAnsi="Calibri"/>
                <w:b w:val="0"/>
                <w:color w:val="1F2937"/>
                <w:sz w:val="19"/>
              </w:rPr>
              <w:t>MIDDEN</w:t>
            </w:r>
          </w:p>
        </w:tc>
        <w:tc>
          <w:tcPr>
            <w:tcW w:type="dxa" w:w="3173"/>
          </w:tcPr>
          <w:p>
            <w:r/>
            <w:r>
              <w:rPr>
                <w:rFonts w:ascii="Calibri" w:hAnsi="Calibri"/>
                <w:b w:val="0"/>
                <w:color w:val="1F2937"/>
                <w:sz w:val="19"/>
              </w:rPr>
              <w:t>6</w:t>
            </w:r>
          </w:p>
        </w:tc>
        <w:tc>
          <w:tcPr>
            <w:tcW w:type="dxa" w:w="3173"/>
          </w:tcPr>
          <w:p>
            <w:r/>
            <w:r>
              <w:rPr>
                <w:rFonts w:ascii="Calibri" w:hAnsi="Calibri"/>
                <w:b w:val="0"/>
                <w:color w:val="1F2937"/>
                <w:sz w:val="19"/>
              </w:rPr>
              <w:t>R-04 CLP; R-05 fit-test; R-06 RI&amp;E; R-08 training; R-09 EMVI; (R-10 deels)</w:t>
            </w:r>
          </w:p>
        </w:tc>
      </w:tr>
      <w:tr>
        <w:tc>
          <w:tcPr>
            <w:tcW w:type="dxa" w:w="3173"/>
          </w:tcPr>
          <w:p>
            <w:r/>
            <w:r>
              <w:rPr>
                <w:rFonts w:ascii="Calibri" w:hAnsi="Calibri"/>
                <w:b w:val="0"/>
                <w:color w:val="1F2937"/>
                <w:sz w:val="19"/>
              </w:rPr>
              <w:t>LAAG</w:t>
            </w:r>
          </w:p>
        </w:tc>
        <w:tc>
          <w:tcPr>
            <w:tcW w:type="dxa" w:w="3173"/>
          </w:tcPr>
          <w:p>
            <w:r/>
            <w:r>
              <w:rPr>
                <w:rFonts w:ascii="Calibri" w:hAnsi="Calibri"/>
                <w:b w:val="0"/>
                <w:color w:val="1F2937"/>
                <w:sz w:val="19"/>
              </w:rPr>
              <w:t>3</w:t>
            </w:r>
          </w:p>
        </w:tc>
        <w:tc>
          <w:tcPr>
            <w:tcW w:type="dxa" w:w="3173"/>
          </w:tcPr>
          <w:p>
            <w:r/>
            <w:r>
              <w:rPr>
                <w:rFonts w:ascii="Calibri" w:hAnsi="Calibri"/>
                <w:b w:val="0"/>
                <w:color w:val="1F2937"/>
                <w:sz w:val="19"/>
              </w:rPr>
              <w:t>R-07 Mijnbouwwet; R-10 verwerkers; R-11 Ex-rating</w:t>
            </w:r>
          </w:p>
        </w:tc>
      </w:tr>
      <w:tr>
        <w:tc>
          <w:tcPr>
            <w:tcW w:type="dxa" w:w="3173"/>
          </w:tcPr>
          <w:p>
            <w:r/>
            <w:r>
              <w:rPr>
                <w:rFonts w:ascii="Calibri" w:hAnsi="Calibri"/>
                <w:b w:val="0"/>
                <w:color w:val="1F2937"/>
                <w:sz w:val="19"/>
              </w:rPr>
              <w:t>Conform/positief</w:t>
            </w:r>
          </w:p>
        </w:tc>
        <w:tc>
          <w:tcPr>
            <w:tcW w:type="dxa" w:w="3173"/>
          </w:tcPr>
          <w:p>
            <w:r/>
            <w:r>
              <w:rPr>
                <w:rFonts w:ascii="Calibri" w:hAnsi="Calibri"/>
                <w:b w:val="0"/>
                <w:color w:val="1F2937"/>
                <w:sz w:val="19"/>
              </w:rPr>
              <w:t>8</w:t>
            </w:r>
          </w:p>
        </w:tc>
        <w:tc>
          <w:tcPr>
            <w:tcW w:type="dxa" w:w="3173"/>
          </w:tcPr>
          <w:p>
            <w:r/>
            <w:r>
              <w:rPr>
                <w:rFonts w:ascii="Calibri" w:hAnsi="Calibri"/>
                <w:b w:val="0"/>
                <w:color w:val="1F2937"/>
                <w:sz w:val="19"/>
              </w:rPr>
              <w:t>Zie §5 en positieve bevindingenlijst</w:t>
            </w:r>
          </w:p>
        </w:tc>
      </w:tr>
    </w:tbl>
    <w:p>
      <w:pPr>
        <w:spacing w:after="40"/>
      </w:pPr>
    </w:p>
    <w:p>
      <w:pPr>
        <w:pStyle w:val="Heading2"/>
      </w:pPr>
      <w:r>
        <w:t>8.3 Top-kritieke tekortkomingen</w:t>
      </w:r>
    </w:p>
    <w:p>
      <w:pPr>
        <w:pStyle w:val="ListNumber"/>
        <w:spacing w:after="60"/>
      </w:pPr>
      <w:r>
        <w:t>R-01 — Medische surveillance ontbreekt volledig (Arbobesluit art. 4.10a/4.10b): geen AGO-aanbod, geen bedrijfsartsrol, geen biologische monitoring. Kwik is Repr. 1B → CMR-regime geldt voluit.</w:t>
      </w:r>
    </w:p>
    <w:p>
      <w:pPr>
        <w:pStyle w:val="ListNumber"/>
        <w:spacing w:after="60"/>
      </w:pPr>
      <w:r>
        <w:t>R-02 — Geen CMR-blootstellingsregister (art. 4.15): meetresultaten hangen uitsluitend aan het PTW-dossier; geen lijst van blootgestelden, geen inzage-/afschriftrecht, geen 40-jaars bewaarlijn.</w:t>
      </w:r>
    </w:p>
    <w:p>
      <w:pPr>
        <w:pStyle w:val="ListNumber"/>
        <w:spacing w:after="60"/>
      </w:pPr>
      <w:r>
        <w:t>R-03 — Annex III transportpassage (IBC tanks) mogelijk in strijd met het ADR-verbod voor UN 2809: verificatie en herschrijving vereist.</w:t>
      </w:r>
    </w:p>
    <w:p>
      <w:pPr>
        <w:pStyle w:val="Heading2"/>
      </w:pPr>
      <w:r>
        <w:t>8.4 Aanbevelingen</w:t>
      </w:r>
    </w:p>
    <w:p>
      <w:pPr>
        <w:pStyle w:val="ListBullet"/>
        <w:spacing w:after="60"/>
      </w:pPr>
      <w:r>
        <w:t>Herzie de procedure vóór projectuitvoering op R-01 t/m R-03 (spoedrevisie Rev 2).</w:t>
      </w:r>
    </w:p>
    <w:p>
      <w:pPr>
        <w:pStyle w:val="ListBullet"/>
        <w:spacing w:after="60"/>
      </w:pPr>
      <w:r>
        <w:t>Voer fit-testing in als vaste eis vóór blootstellingswerk (R-05) en werk EMVI uit tot symptoomherkenning + escalatiepad (R-09).</w:t>
      </w:r>
    </w:p>
    <w:p>
      <w:pPr>
        <w:pStyle w:val="ListBullet"/>
        <w:spacing w:after="60"/>
      </w:pPr>
      <w:r>
        <w:t>Voeg CLP-hazardinformatie en SDS-raadpleegplicht toe (R-04) en veranker de RI&amp;E/TRA-koppeling (R-06).</w:t>
      </w:r>
    </w:p>
    <w:p>
      <w:pPr>
        <w:pStyle w:val="ListBullet"/>
        <w:spacing w:after="60"/>
      </w:pPr>
      <w:r>
        <w:t>Werk training uit tot een competentieprogramma met inhoud, frequentie en bewijs (R-08).</w:t>
      </w:r>
    </w:p>
    <w:p>
      <w:pPr>
        <w:pStyle w:val="ListBullet"/>
        <w:spacing w:after="60"/>
      </w:pPr>
      <w:r>
        <w:t>Corrigeer horizontaal op serieniveau (MSD 003): het CMR-regime geldt ook voor 003.056 Cr(VI) en 003.059 asbest.</w:t>
      </w:r>
    </w:p>
    <w:p>
      <w:pPr>
        <w:pStyle w:val="Heading2"/>
      </w:pPr>
      <w:r>
        <w:t>8.5 Definitief oordeel</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Aspect</w:t>
            </w:r>
          </w:p>
        </w:tc>
        <w:tc>
          <w:tcPr>
            <w:tcW w:type="dxa" w:w="4759"/>
            <w:shd w:val="clear" w:color="auto" w:fill="003366"/>
          </w:tcPr>
          <w:p>
            <w:r/>
            <w:r>
              <w:rPr>
                <w:rFonts w:ascii="Calibri" w:hAnsi="Calibri"/>
                <w:b/>
                <w:color w:val="FFFFFF"/>
                <w:sz w:val="19"/>
              </w:rPr>
              <w:t>Oordeel</w:t>
            </w:r>
          </w:p>
        </w:tc>
      </w:tr>
      <w:tr>
        <w:tc>
          <w:tcPr>
            <w:tcW w:type="dxa" w:w="4759"/>
          </w:tcPr>
          <w:p>
            <w:r/>
            <w:r>
              <w:rPr>
                <w:rFonts w:ascii="Calibri" w:hAnsi="Calibri"/>
                <w:b w:val="0"/>
                <w:color w:val="1F2937"/>
                <w:sz w:val="19"/>
              </w:rPr>
              <w:t>Documentkwaliteit</w:t>
            </w:r>
          </w:p>
        </w:tc>
        <w:tc>
          <w:tcPr>
            <w:tcW w:type="dxa" w:w="4759"/>
          </w:tcPr>
          <w:p>
            <w:r/>
            <w:r>
              <w:rPr>
                <w:rFonts w:ascii="Calibri" w:hAnsi="Calibri"/>
                <w:b w:val="0"/>
                <w:color w:val="1F2937"/>
                <w:sz w:val="19"/>
              </w:rPr>
              <w:t>GOED — concreet, uitvoerbaar, boven branchestandaard op verpakkings- en meetgebied</w:t>
            </w:r>
          </w:p>
        </w:tc>
      </w:tr>
      <w:tr>
        <w:tc>
          <w:tcPr>
            <w:tcW w:type="dxa" w:w="4759"/>
          </w:tcPr>
          <w:p>
            <w:r/>
            <w:r>
              <w:rPr>
                <w:rFonts w:ascii="Calibri" w:hAnsi="Calibri"/>
                <w:b w:val="0"/>
                <w:color w:val="1F2937"/>
                <w:sz w:val="19"/>
              </w:rPr>
              <w:t>Wettelijke conformiteit CMR-regime</w:t>
            </w:r>
          </w:p>
        </w:tc>
        <w:tc>
          <w:tcPr>
            <w:tcW w:type="dxa" w:w="4759"/>
          </w:tcPr>
          <w:p>
            <w:r/>
            <w:r>
              <w:rPr>
                <w:rFonts w:ascii="Calibri" w:hAnsi="Calibri"/>
                <w:b w:val="0"/>
                <w:color w:val="1F2937"/>
                <w:sz w:val="19"/>
              </w:rPr>
              <w:t>ONVOLDOENDE — 2 verplichte elementen ontbreken volledig</w:t>
            </w:r>
          </w:p>
        </w:tc>
      </w:tr>
      <w:tr>
        <w:tc>
          <w:tcPr>
            <w:tcW w:type="dxa" w:w="4759"/>
          </w:tcPr>
          <w:p>
            <w:r/>
            <w:r>
              <w:rPr>
                <w:rFonts w:ascii="Calibri" w:hAnsi="Calibri"/>
                <w:b w:val="0"/>
                <w:color w:val="1F2937"/>
                <w:sz w:val="19"/>
              </w:rPr>
              <w:t>Transportveiligheid</w:t>
            </w:r>
          </w:p>
        </w:tc>
        <w:tc>
          <w:tcPr>
            <w:tcW w:type="dxa" w:w="4759"/>
          </w:tcPr>
          <w:p>
            <w:r/>
            <w:r>
              <w:rPr>
                <w:rFonts w:ascii="Calibri" w:hAnsi="Calibri"/>
                <w:b w:val="0"/>
                <w:color w:val="1F2937"/>
                <w:sz w:val="19"/>
              </w:rPr>
              <w:t>VERIFICATIE VEREIST — IBC-passage</w:t>
            </w:r>
          </w:p>
        </w:tc>
      </w:tr>
      <w:tr>
        <w:tc>
          <w:tcPr>
            <w:tcW w:type="dxa" w:w="4759"/>
          </w:tcPr>
          <w:p>
            <w:r/>
            <w:r>
              <w:rPr>
                <w:rFonts w:ascii="Calibri" w:hAnsi="Calibri"/>
                <w:b w:val="0"/>
                <w:color w:val="1F2937"/>
                <w:sz w:val="19"/>
              </w:rPr>
              <w:t>Eindoordeel</w:t>
            </w:r>
          </w:p>
        </w:tc>
        <w:tc>
          <w:tcPr>
            <w:tcW w:type="dxa" w:w="4759"/>
          </w:tcPr>
          <w:p>
            <w:r/>
            <w:r>
              <w:rPr>
                <w:rFonts w:ascii="Calibri" w:hAnsi="Calibri"/>
                <w:b w:val="0"/>
                <w:color w:val="1F2937"/>
                <w:sz w:val="19"/>
              </w:rPr>
              <w:t>MATIG-HOOG RISICO — herziening vereist vóór projectuitvoering</w:t>
            </w:r>
          </w:p>
        </w:tc>
      </w:tr>
    </w:tbl>
    <w:p>
      <w:pPr>
        <w:spacing w:after="40"/>
      </w:pPr>
    </w:p>
    <w:p>
      <w:pPr>
        <w:pStyle w:val="Heading1"/>
      </w:pPr>
      <w:r>
        <w:t>9. TierVerify Log</w:t>
      </w:r>
    </w:p>
    <w:p>
      <w:pPr>
        <w:pStyle w:val="Heading2"/>
      </w:pPr>
      <w:r>
        <w:t>9.1 Bronverificatie</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val="clear" w:color="auto" w:fill="003366"/>
          </w:tcPr>
          <w:p>
            <w:r/>
            <w:r>
              <w:rPr>
                <w:rFonts w:ascii="Calibri" w:hAnsi="Calibri"/>
                <w:b/>
                <w:color w:val="FFFFFF"/>
                <w:sz w:val="19"/>
              </w:rPr>
              <w:t>Feit</w:t>
            </w:r>
          </w:p>
        </w:tc>
        <w:tc>
          <w:tcPr>
            <w:tcW w:type="dxa" w:w="3173"/>
            <w:shd w:val="clear" w:color="auto" w:fill="003366"/>
          </w:tcPr>
          <w:p>
            <w:r/>
            <w:r>
              <w:rPr>
                <w:rFonts w:ascii="Calibri" w:hAnsi="Calibri"/>
                <w:b/>
                <w:color w:val="FFFFFF"/>
                <w:sz w:val="19"/>
              </w:rPr>
              <w:t>Bron</w:t>
            </w:r>
          </w:p>
        </w:tc>
        <w:tc>
          <w:tcPr>
            <w:tcW w:type="dxa" w:w="3173"/>
            <w:shd w:val="clear" w:color="auto" w:fill="003366"/>
          </w:tcPr>
          <w:p>
            <w:r/>
            <w:r>
              <w:rPr>
                <w:rFonts w:ascii="Calibri" w:hAnsi="Calibri"/>
                <w:b/>
                <w:color w:val="FFFFFF"/>
                <w:sz w:val="19"/>
              </w:rPr>
              <w:t>Status</w:t>
            </w:r>
          </w:p>
        </w:tc>
      </w:tr>
      <w:tr>
        <w:tc>
          <w:tcPr>
            <w:tcW w:type="dxa" w:w="3173"/>
          </w:tcPr>
          <w:p>
            <w:r/>
            <w:r>
              <w:rPr>
                <w:rFonts w:ascii="Calibri" w:hAnsi="Calibri"/>
                <w:b w:val="0"/>
                <w:color w:val="1F2937"/>
                <w:sz w:val="19"/>
              </w:rPr>
              <w:t>TGG-8u 0,02 mg/m³; geen STEL</w:t>
            </w:r>
          </w:p>
        </w:tc>
        <w:tc>
          <w:tcPr>
            <w:tcW w:type="dxa" w:w="3173"/>
          </w:tcPr>
          <w:p>
            <w:r/>
            <w:r>
              <w:rPr>
                <w:rFonts w:ascii="Calibri" w:hAnsi="Calibri"/>
                <w:b w:val="0"/>
                <w:color w:val="1F2937"/>
                <w:sz w:val="19"/>
              </w:rPr>
              <w:t>Arboregeling/SER (stcrt-2022-32933)</w:t>
            </w:r>
          </w:p>
        </w:tc>
        <w:tc>
          <w:tcPr>
            <w:tcW w:type="dxa" w:w="3173"/>
          </w:tcPr>
          <w:p>
            <w:r/>
            <w:r>
              <w:rPr>
                <w:rFonts w:ascii="Calibri" w:hAnsi="Calibri"/>
                <w:b w:val="0"/>
                <w:color w:val="1F2937"/>
                <w:sz w:val="19"/>
              </w:rPr>
              <w:t>GEVERIFIEERD</w:t>
            </w:r>
          </w:p>
        </w:tc>
      </w:tr>
      <w:tr>
        <w:tc>
          <w:tcPr>
            <w:tcW w:type="dxa" w:w="3173"/>
          </w:tcPr>
          <w:p>
            <w:r/>
            <w:r>
              <w:rPr>
                <w:rFonts w:ascii="Calibri" w:hAnsi="Calibri"/>
                <w:b w:val="0"/>
                <w:color w:val="1F2937"/>
                <w:sz w:val="19"/>
              </w:rPr>
              <w:t>CLP Repr. 1B H360D etc.</w:t>
            </w:r>
          </w:p>
        </w:tc>
        <w:tc>
          <w:tcPr>
            <w:tcW w:type="dxa" w:w="3173"/>
          </w:tcPr>
          <w:p>
            <w:r/>
            <w:r>
              <w:rPr>
                <w:rFonts w:ascii="Calibri" w:hAnsi="Calibri"/>
                <w:b w:val="0"/>
                <w:color w:val="1F2937"/>
                <w:sz w:val="19"/>
              </w:rPr>
              <w:t>ECHA CLP Bijlage VI, index 080-001-00-0</w:t>
            </w:r>
          </w:p>
        </w:tc>
        <w:tc>
          <w:tcPr>
            <w:tcW w:type="dxa" w:w="3173"/>
          </w:tcPr>
          <w:p>
            <w:r/>
            <w:r>
              <w:rPr>
                <w:rFonts w:ascii="Calibri" w:hAnsi="Calibri"/>
                <w:b w:val="0"/>
                <w:color w:val="1F2937"/>
                <w:sz w:val="19"/>
              </w:rPr>
              <w:t>GEVERIFIEERD</w:t>
            </w:r>
          </w:p>
        </w:tc>
      </w:tr>
      <w:tr>
        <w:tc>
          <w:tcPr>
            <w:tcW w:type="dxa" w:w="3173"/>
          </w:tcPr>
          <w:p>
            <w:r/>
            <w:r>
              <w:rPr>
                <w:rFonts w:ascii="Calibri" w:hAnsi="Calibri"/>
                <w:b w:val="0"/>
                <w:color w:val="1F2937"/>
                <w:sz w:val="19"/>
              </w:rPr>
              <w:t>UN 2809; IBC-verbod</w:t>
            </w:r>
          </w:p>
        </w:tc>
        <w:tc>
          <w:tcPr>
            <w:tcW w:type="dxa" w:w="3173"/>
          </w:tcPr>
          <w:p>
            <w:r/>
            <w:r>
              <w:rPr>
                <w:rFonts w:ascii="Calibri" w:hAnsi="Calibri"/>
                <w:b w:val="0"/>
                <w:color w:val="1F2937"/>
                <w:sz w:val="19"/>
              </w:rPr>
              <w:t>ADR deel 3 tabel A</w:t>
            </w:r>
          </w:p>
        </w:tc>
        <w:tc>
          <w:tcPr>
            <w:tcW w:type="dxa" w:w="3173"/>
          </w:tcPr>
          <w:p>
            <w:r/>
            <w:r>
              <w:rPr>
                <w:rFonts w:ascii="Calibri" w:hAnsi="Calibri"/>
                <w:b w:val="0"/>
                <w:color w:val="1F2937"/>
                <w:sz w:val="19"/>
              </w:rPr>
              <w:t>GEVERIFIEERD</w:t>
            </w:r>
          </w:p>
        </w:tc>
      </w:tr>
      <w:tr>
        <w:tc>
          <w:tcPr>
            <w:tcW w:type="dxa" w:w="3173"/>
          </w:tcPr>
          <w:p>
            <w:r/>
            <w:r>
              <w:rPr>
                <w:rFonts w:ascii="Calibri" w:hAnsi="Calibri"/>
                <w:b w:val="0"/>
                <w:color w:val="1F2937"/>
                <w:sz w:val="19"/>
              </w:rPr>
              <w:t>Eural &gt;3% kwik</w:t>
            </w:r>
          </w:p>
        </w:tc>
        <w:tc>
          <w:tcPr>
            <w:tcW w:type="dxa" w:w="3173"/>
          </w:tcPr>
          <w:p>
            <w:r/>
            <w:r>
              <w:rPr>
                <w:rFonts w:ascii="Calibri" w:hAnsi="Calibri"/>
                <w:b w:val="0"/>
                <w:color w:val="1F2937"/>
                <w:sz w:val="19"/>
              </w:rPr>
              <w:t>Eural 06 04 20*</w:t>
            </w:r>
          </w:p>
        </w:tc>
        <w:tc>
          <w:tcPr>
            <w:tcW w:type="dxa" w:w="3173"/>
          </w:tcPr>
          <w:p>
            <w:r/>
            <w:r>
              <w:rPr>
                <w:rFonts w:ascii="Calibri" w:hAnsi="Calibri"/>
                <w:b w:val="0"/>
                <w:color w:val="1F2937"/>
                <w:sz w:val="19"/>
              </w:rPr>
              <w:t>GEVERIFIEERD</w:t>
            </w:r>
          </w:p>
        </w:tc>
      </w:tr>
      <w:tr>
        <w:tc>
          <w:tcPr>
            <w:tcW w:type="dxa" w:w="3173"/>
          </w:tcPr>
          <w:p>
            <w:r/>
            <w:r>
              <w:rPr>
                <w:rFonts w:ascii="Calibri" w:hAnsi="Calibri"/>
                <w:b w:val="0"/>
                <w:color w:val="1F2937"/>
                <w:sz w:val="19"/>
              </w:rPr>
              <w:t>Rev-datums/goedkeuring</w:t>
            </w:r>
          </w:p>
        </w:tc>
        <w:tc>
          <w:tcPr>
            <w:tcW w:type="dxa" w:w="3173"/>
          </w:tcPr>
          <w:p>
            <w:r/>
            <w:r>
              <w:rPr>
                <w:rFonts w:ascii="Calibri" w:hAnsi="Calibri"/>
                <w:b w:val="0"/>
                <w:color w:val="1F2937"/>
                <w:sz w:val="19"/>
              </w:rPr>
              <w:t>Brondocument revisiestatuspagina</w:t>
            </w:r>
          </w:p>
        </w:tc>
        <w:tc>
          <w:tcPr>
            <w:tcW w:type="dxa" w:w="3173"/>
          </w:tcPr>
          <w:p>
            <w:r/>
            <w:r>
              <w:rPr>
                <w:rFonts w:ascii="Calibri" w:hAnsi="Calibri"/>
                <w:b w:val="0"/>
                <w:color w:val="1F2937"/>
                <w:sz w:val="19"/>
              </w:rPr>
              <w:t>GECONSTATEERD</w:t>
            </w:r>
          </w:p>
        </w:tc>
      </w:tr>
    </w:tbl>
    <w:p>
      <w:pPr>
        <w:spacing w:after="40"/>
      </w:pPr>
    </w:p>
    <w:p>
      <w:pPr>
        <w:pStyle w:val="Heading2"/>
      </w:pPr>
      <w:r>
        <w:t>9.2 Consistency checks</w:t>
      </w:r>
    </w:p>
    <w:p>
      <w:pPr>
        <w:pStyle w:val="ListBullet"/>
        <w:spacing w:after="60"/>
      </w:pPr>
      <w:r>
        <w:t>Grenswaarde consistent in secties 5 en 6 — geen interne tegenstrijdigheid.</w:t>
      </w:r>
    </w:p>
    <w:p>
      <w:pPr>
        <w:pStyle w:val="ListBullet"/>
        <w:spacing w:after="60"/>
      </w:pPr>
      <w:r>
        <w:t>RPE-bandindeling consistent met meetbanden — intern consistent.</w:t>
      </w:r>
    </w:p>
    <w:p>
      <w:pPr>
        <w:pStyle w:val="ListBullet"/>
        <w:spacing w:after="60"/>
      </w:pPr>
      <w:r>
        <w:t>Revisiestatus Rev A vs Rev 1 consistent gedocumenteerd (datum 12/05/2026 vs May 2026-notatie in voettekst — cosmetisch).</w:t>
      </w:r>
    </w:p>
    <w:p>
      <w:pPr>
        <w:pStyle w:val="Heading2"/>
      </w:pPr>
      <w:r>
        <w:t>9.3 Source hierarchy</w:t>
      </w:r>
    </w:p>
    <w:p>
      <w:pPr>
        <w:spacing w:after="120"/>
      </w:pPr>
      <w:r>
        <w:rPr>
          <w:rFonts w:ascii="Calibri" w:hAnsi="Calibri"/>
          <w:b w:val="0"/>
          <w:i w:val="0"/>
          <w:sz w:val="22"/>
        </w:rPr>
        <w:t>Bij tegenstrijdigheid prevaleert: (1) wettekst/regeling; (2) verordeningen (EU); (3) normen/AI-bladen; (4) branchestandaarden; (5) brondocument. Alle HOOG-bevindingen berusten op niveau 1-2.</w:t>
      </w:r>
    </w:p>
    <w:p>
      <w:pPr>
        <w:pStyle w:val="Heading2"/>
      </w:pPr>
      <w:r>
        <w:t>9.4 Data quality assessment</w:t>
      </w:r>
    </w:p>
    <w:p>
      <w:pPr>
        <w:pStyle w:val="ListBullet"/>
        <w:spacing w:after="60"/>
      </w:pPr>
      <w:r>
        <w:t>Brontekst: integrale extractie beschikbaar — hoge betrouwbaarheid.</w:t>
      </w:r>
    </w:p>
    <w:p>
      <w:pPr>
        <w:pStyle w:val="ListBullet"/>
        <w:spacing w:after="60"/>
      </w:pPr>
      <w:r>
        <w:t>Wetgeving: lokale kennisbank Arbobesluit 2025 + primaire bronnen — actueel op auditdatum.</w:t>
      </w:r>
    </w:p>
    <w:p>
      <w:pPr>
        <w:pStyle w:val="ListBullet"/>
        <w:spacing w:after="60"/>
      </w:pPr>
      <w:r>
        <w:t>Beperking: geen veldgegevens — uitvoeringsconformiteit onbepaald (V-1 t/m V-3).</w:t>
      </w:r>
    </w:p>
    <w:p>
      <w:pPr>
        <w:pStyle w:val="Heading1"/>
      </w:pPr>
      <w:r>
        <w:t>10. Bronverwijzingen</w:t>
      </w:r>
    </w:p>
    <w:p>
      <w:pPr>
        <w:pStyle w:val="ListNumber"/>
        <w:spacing w:after="60"/>
      </w:pPr>
      <w:r>
        <w:t>Koole MSD 003.057 Safe Handling of Mercury, Rev 1 (12-05-2026) — brondocument.</w:t>
      </w:r>
    </w:p>
    <w:p>
      <w:pPr>
        <w:pStyle w:val="ListNumber"/>
        <w:spacing w:after="60"/>
      </w:pPr>
      <w:r>
        <w:t>Arbeidsomstandighedenwet; Arbobesluit 2025 H4; Arbeidsomstandighedenregeling afd. 4.4.</w:t>
      </w:r>
    </w:p>
    <w:p>
      <w:pPr>
        <w:pStyle w:val="ListNumber"/>
        <w:spacing w:after="60"/>
      </w:pPr>
      <w:r>
        <w:t>Verordening (EU) 2017/852; Besluit kwik en kwikhoudende producten.</w:t>
      </w:r>
    </w:p>
    <w:p>
      <w:pPr>
        <w:pStyle w:val="ListNumber"/>
        <w:spacing w:after="60"/>
      </w:pPr>
      <w:r>
        <w:t>REACH (EG) 1907/2006; CLP (EG) 1272/2008 Bijlage VI; ECHA C&amp;L.</w:t>
      </w:r>
    </w:p>
    <w:p>
      <w:pPr>
        <w:pStyle w:val="ListNumber"/>
        <w:spacing w:after="60"/>
      </w:pPr>
      <w:r>
        <w:t>ADR deel 3 tabel A (UN 2809); IMDG.</w:t>
      </w:r>
    </w:p>
    <w:p>
      <w:pPr>
        <w:pStyle w:val="ListNumber"/>
        <w:spacing w:after="60"/>
      </w:pPr>
      <w:r>
        <w:t>Bal; Wet milieubeheer; Eural; OSPAR; MARPOL.</w:t>
      </w:r>
    </w:p>
    <w:p>
      <w:pPr>
        <w:pStyle w:val="ListNumber"/>
        <w:spacing w:after="60"/>
      </w:pPr>
      <w:r>
        <w:t>AI-bladen 31, 18, 64; NOGEPA Standard 86; NEN-EN 689/489/482.</w:t>
      </w:r>
    </w:p>
    <w:p>
      <w:pPr>
        <w:pStyle w:val="ListNumber"/>
        <w:spacing w:after="60"/>
      </w:pPr>
      <w:r>
        <w:t>JvG Compliance Audit Rapport 003.057 v2.0; Herzieningsvoorstel 003.057 v2.1; Kennisdossier Kwik v1.0.</w:t>
      </w:r>
    </w:p>
    <w:p>
      <w:pPr>
        <w:pStyle w:val="ListNumber"/>
        <w:spacing w:after="60"/>
      </w:pPr>
      <w:r>
        <w:t>JvG Golden Standard Audit Asbest 003.059 v2.0 — formatreferentie.</w:t>
      </w:r>
    </w:p>
    <w:p>
      <w:pPr>
        <w:pStyle w:val="Heading2"/>
      </w:pPr>
      <w:r>
        <w:t>8.6 Verbetertraject per prioriteit</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2379"/>
            <w:shd w:val="clear" w:color="auto" w:fill="003366"/>
          </w:tcPr>
          <w:p>
            <w:r/>
            <w:r>
              <w:rPr>
                <w:rFonts w:ascii="Calibri" w:hAnsi="Calibri"/>
                <w:b/>
                <w:color w:val="FFFFFF"/>
                <w:sz w:val="19"/>
              </w:rPr>
              <w:t>Fase</w:t>
            </w:r>
          </w:p>
        </w:tc>
        <w:tc>
          <w:tcPr>
            <w:tcW w:type="dxa" w:w="2379"/>
            <w:shd w:val="clear" w:color="auto" w:fill="003366"/>
          </w:tcPr>
          <w:p>
            <w:r/>
            <w:r>
              <w:rPr>
                <w:rFonts w:ascii="Calibri" w:hAnsi="Calibri"/>
                <w:b/>
                <w:color w:val="FFFFFF"/>
                <w:sz w:val="19"/>
              </w:rPr>
              <w:t>Voorstellen</w:t>
            </w:r>
          </w:p>
        </w:tc>
        <w:tc>
          <w:tcPr>
            <w:tcW w:type="dxa" w:w="2379"/>
            <w:shd w:val="clear" w:color="auto" w:fill="003366"/>
          </w:tcPr>
          <w:p>
            <w:r/>
            <w:r>
              <w:rPr>
                <w:rFonts w:ascii="Calibri" w:hAnsi="Calibri"/>
                <w:b/>
                <w:color w:val="FFFFFF"/>
                <w:sz w:val="19"/>
              </w:rPr>
              <w:t>Revisie</w:t>
            </w:r>
          </w:p>
        </w:tc>
        <w:tc>
          <w:tcPr>
            <w:tcW w:type="dxa" w:w="2379"/>
            <w:shd w:val="clear" w:color="auto" w:fill="003366"/>
          </w:tcPr>
          <w:p>
            <w:r/>
            <w:r>
              <w:rPr>
                <w:rFonts w:ascii="Calibri" w:hAnsi="Calibri"/>
                <w:b/>
                <w:color w:val="FFFFFF"/>
                <w:sz w:val="19"/>
              </w:rPr>
              <w:t>Effect</w:t>
            </w:r>
          </w:p>
        </w:tc>
      </w:tr>
      <w:tr>
        <w:tc>
          <w:tcPr>
            <w:tcW w:type="dxa" w:w="2379"/>
          </w:tcPr>
          <w:p>
            <w:r/>
            <w:r>
              <w:rPr>
                <w:rFonts w:ascii="Calibri" w:hAnsi="Calibri"/>
                <w:b w:val="0"/>
                <w:color w:val="1F2937"/>
                <w:sz w:val="19"/>
              </w:rPr>
              <w:t>Spoed</w:t>
            </w:r>
          </w:p>
        </w:tc>
        <w:tc>
          <w:tcPr>
            <w:tcW w:type="dxa" w:w="2379"/>
          </w:tcPr>
          <w:p>
            <w:r/>
            <w:r>
              <w:rPr>
                <w:rFonts w:ascii="Calibri" w:hAnsi="Calibri"/>
                <w:b w:val="0"/>
                <w:color w:val="1F2937"/>
                <w:sz w:val="19"/>
              </w:rPr>
              <w:t>T-03, T-05, T-06, T-09, T-10, T-19, T-21</w:t>
            </w:r>
          </w:p>
        </w:tc>
        <w:tc>
          <w:tcPr>
            <w:tcW w:type="dxa" w:w="2379"/>
          </w:tcPr>
          <w:p>
            <w:r/>
            <w:r>
              <w:rPr>
                <w:rFonts w:ascii="Calibri" w:hAnsi="Calibri"/>
                <w:b w:val="0"/>
                <w:color w:val="1F2937"/>
                <w:sz w:val="19"/>
              </w:rPr>
              <w:t>Rev 2</w:t>
            </w:r>
          </w:p>
        </w:tc>
        <w:tc>
          <w:tcPr>
            <w:tcW w:type="dxa" w:w="2379"/>
          </w:tcPr>
          <w:p>
            <w:r/>
            <w:r>
              <w:rPr>
                <w:rFonts w:ascii="Calibri" w:hAnsi="Calibri"/>
                <w:b w:val="0"/>
                <w:color w:val="1F2937"/>
                <w:sz w:val="19"/>
              </w:rPr>
              <w:t>CMR-regime + ADR hersteld — wettelijk conform</w:t>
            </w:r>
          </w:p>
        </w:tc>
      </w:tr>
      <w:tr>
        <w:tc>
          <w:tcPr>
            <w:tcW w:type="dxa" w:w="2379"/>
          </w:tcPr>
          <w:p>
            <w:r/>
            <w:r>
              <w:rPr>
                <w:rFonts w:ascii="Calibri" w:hAnsi="Calibri"/>
                <w:b w:val="0"/>
                <w:color w:val="1F2937"/>
                <w:sz w:val="19"/>
              </w:rPr>
              <w:t>Kort</w:t>
            </w:r>
          </w:p>
        </w:tc>
        <w:tc>
          <w:tcPr>
            <w:tcW w:type="dxa" w:w="2379"/>
          </w:tcPr>
          <w:p>
            <w:r/>
            <w:r>
              <w:rPr>
                <w:rFonts w:ascii="Calibri" w:hAnsi="Calibri"/>
                <w:b w:val="0"/>
                <w:color w:val="1F2937"/>
                <w:sz w:val="19"/>
              </w:rPr>
              <w:t>T-01, T-04, T-07, T-08, T-11, T-12, T-13, T-16, T-23</w:t>
            </w:r>
          </w:p>
        </w:tc>
        <w:tc>
          <w:tcPr>
            <w:tcW w:type="dxa" w:w="2379"/>
          </w:tcPr>
          <w:p>
            <w:r/>
            <w:r>
              <w:rPr>
                <w:rFonts w:ascii="Calibri" w:hAnsi="Calibri"/>
                <w:b w:val="0"/>
                <w:color w:val="1F2937"/>
                <w:sz w:val="19"/>
              </w:rPr>
              <w:t>Rev 3</w:t>
            </w:r>
          </w:p>
        </w:tc>
        <w:tc>
          <w:tcPr>
            <w:tcW w:type="dxa" w:w="2379"/>
          </w:tcPr>
          <w:p>
            <w:r/>
            <w:r>
              <w:rPr>
                <w:rFonts w:ascii="Calibri" w:hAnsi="Calibri"/>
                <w:b w:val="0"/>
                <w:color w:val="1F2937"/>
                <w:sz w:val="19"/>
              </w:rPr>
              <w:t>Governance en technische beheersing verbeterd</w:t>
            </w:r>
          </w:p>
        </w:tc>
      </w:tr>
      <w:tr>
        <w:tc>
          <w:tcPr>
            <w:tcW w:type="dxa" w:w="2379"/>
          </w:tcPr>
          <w:p>
            <w:r/>
            <w:r>
              <w:rPr>
                <w:rFonts w:ascii="Calibri" w:hAnsi="Calibri"/>
                <w:b w:val="0"/>
                <w:color w:val="1F2937"/>
                <w:sz w:val="19"/>
              </w:rPr>
              <w:t>Normaal</w:t>
            </w:r>
          </w:p>
        </w:tc>
        <w:tc>
          <w:tcPr>
            <w:tcW w:type="dxa" w:w="2379"/>
          </w:tcPr>
          <w:p>
            <w:r/>
            <w:r>
              <w:rPr>
                <w:rFonts w:ascii="Calibri" w:hAnsi="Calibri"/>
                <w:b w:val="0"/>
                <w:color w:val="1F2937"/>
                <w:sz w:val="19"/>
              </w:rPr>
              <w:t>T-02, T-14, T-15, T-17, T-18, T-20, T-22, T-24</w:t>
            </w:r>
          </w:p>
        </w:tc>
        <w:tc>
          <w:tcPr>
            <w:tcW w:type="dxa" w:w="2379"/>
          </w:tcPr>
          <w:p>
            <w:r/>
            <w:r>
              <w:rPr>
                <w:rFonts w:ascii="Calibri" w:hAnsi="Calibri"/>
                <w:b w:val="0"/>
                <w:color w:val="1F2937"/>
                <w:sz w:val="19"/>
              </w:rPr>
              <w:t>Rev 3</w:t>
            </w:r>
          </w:p>
        </w:tc>
        <w:tc>
          <w:tcPr>
            <w:tcW w:type="dxa" w:w="2379"/>
          </w:tcPr>
          <w:p>
            <w:r/>
            <w:r>
              <w:rPr>
                <w:rFonts w:ascii="Calibri" w:hAnsi="Calibri"/>
                <w:b w:val="0"/>
                <w:color w:val="1F2937"/>
                <w:sz w:val="19"/>
              </w:rPr>
              <w:t>Ondersteunend en documentbeheer</w:t>
            </w:r>
          </w:p>
        </w:tc>
      </w:tr>
    </w:tbl>
    <w:p>
      <w:pPr>
        <w:spacing w:after="40"/>
      </w:pPr>
    </w:p>
    <w:p>
      <w:pPr>
        <w:spacing w:after="120"/>
      </w:pPr>
      <w:r>
        <w:rPr>
          <w:rFonts w:ascii="Calibri" w:hAnsi="Calibri"/>
          <w:b w:val="0"/>
          <w:i w:val="0"/>
          <w:sz w:val="22"/>
        </w:rPr>
        <w:t>Na implementatie van de spoedfase daalt het risicoprofiel van MATIG-HOOG naar ACCEPTABEL-MET-AANDACHTSPUNTEN, mits de verificatiepunten V-1 t/m V-3 conform worden afgerond en de herziene procedure opnieuw tegen de conformiteitsmatrix wordt getoetst.</w:t>
      </w:r>
    </w:p>
    <w:p>
      <w:pPr>
        <w:pStyle w:val="Heading2"/>
      </w:pPr>
      <w:r>
        <w:t>8.7 Wat zou een inspectie (Stoom/Nederlandse Arbeidsinspectie) doen?</w:t>
      </w:r>
    </w:p>
    <w:p>
      <w:pPr>
        <w:pStyle w:val="ListBullet"/>
        <w:spacing w:after="60"/>
      </w:pPr>
      <w:r>
        <w:t>Vragen om het blootstellingsregister en bewijs van AGO-aanbiedingen — bij stilzwijgen volgt een handhavingsmaatregel.</w:t>
      </w:r>
    </w:p>
    <w:p>
      <w:pPr>
        <w:pStyle w:val="ListBullet"/>
        <w:spacing w:after="60"/>
      </w:pPr>
      <w:r>
        <w:t>Toetsen de transportpraktijk aan ADR UN 2809 — een IBC met vrij kwik leidt direct tot stillegging.</w:t>
      </w:r>
    </w:p>
    <w:p>
      <w:pPr>
        <w:pStyle w:val="ListBullet"/>
        <w:spacing w:after="60"/>
      </w:pPr>
      <w:r>
        <w:t>Steekproef fit-test-bewijzen bij dragers van half-/volgelaatsmaskers.</w:t>
      </w:r>
    </w:p>
    <w:p>
      <w:pPr>
        <w:pStyle w:val="ListBullet"/>
        <w:spacing w:after="60"/>
      </w:pPr>
      <w:r>
        <w:t>Kalibratiebewijzen Jerome-instrument opvragen bij de eerste de beste meetregistratie.</w:t>
      </w:r>
    </w:p>
    <w:p>
      <w:pPr>
        <w:pStyle w:val="Heading2"/>
      </w:pPr>
      <w:r>
        <w:t>9.5 Aanvullende consistency checks</w:t>
      </w:r>
    </w:p>
    <w:p>
      <w:pPr>
        <w:pStyle w:val="ListBullet"/>
        <w:spacing w:after="60"/>
      </w:pPr>
      <w:r>
        <w:t>Herzieningsvoorstellen (T-01 t/m T-24) sluiten 1-op-1 aan op de matrixregels (34) en de R-bevindingen (12).</w:t>
      </w:r>
    </w:p>
    <w:p>
      <w:pPr>
        <w:pStyle w:val="ListBullet"/>
        <w:spacing w:after="60"/>
      </w:pPr>
      <w:r>
        <w:t>Geen tegenstrijdigheid tussen Golden Standard Audit, Compliance Audit v3.0 en Kennisdossier.</w:t>
      </w:r>
    </w:p>
    <w:p>
      <w:pPr>
        <w:pStyle w:val="ListBullet"/>
        <w:spacing w:after="60"/>
      </w:pPr>
      <w:r>
        <w:t>Alle citaten uit het brondocument zijn herleidbaar naar de integrale extractie in research/koole_003_057.txt.</w:t>
      </w:r>
    </w:p>
    <w:p>
      <w:pPr>
        <w:spacing w:after="80"/>
      </w:pPr>
      <w:r>
        <w:rPr>
          <w:rFonts w:ascii="Calibri" w:hAnsi="Calibri"/>
          <w:b w:val="0"/>
          <w:i/>
          <w:sz w:val="19"/>
        </w:rPr>
        <w:t>Golden Standard Audit Kwik 003.057 v2.0 — JvG Consultancy — 24-08-2026 — Vertrouwelijk. Dit rapport is auditwerk op documentbasis; het vervangt geen juridisch advies noch veldinspectie.</w:t>
      </w:r>
    </w:p>
    <w:sectPr w:rsidR="00FC693F" w:rsidRPr="0006063C" w:rsidSect="00034616">
      <w:headerReference w:type="default" r:id="rId9"/>
      <w:footerReference w:type="default" r:id="rId10"/>
      <w:pgSz w:w="12240" w:h="15840"/>
      <w:pgMar w:top="1247"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003366"/>
        <w:sz w:val="16"/>
      </w:rPr>
      <w:t>JvG Consultancy — Golden Standard Audit Kwik 003.057 v2.0 — 24-08-2026 — Vertrouwelijk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5231"/>
          <wp:docPr id="1" name="Picture 1"/>
          <wp:cNvGraphicFramePr>
            <a:graphicFrameLocks noChangeAspect="1"/>
          </wp:cNvGraphicFramePr>
          <a:graphic>
            <a:graphicData uri="http://schemas.openxmlformats.org/drawingml/2006/picture">
              <pic:pic>
                <pic:nvPicPr>
                  <pic:cNvPr id="0" name="jvg-logo-small-upgrade.png"/>
                  <pic:cNvPicPr/>
                </pic:nvPicPr>
                <pic:blipFill>
                  <a:blip r:embed="rId1"/>
                  <a:stretch>
                    <a:fillRect/>
                  </a:stretch>
                </pic:blipFill>
                <pic:spPr>
                  <a:xfrm>
                    <a:off x="0" y="0"/>
                    <a:ext cx="720000" cy="645231"/>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