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40"/>
        <w:jc w:val="center"/>
      </w:pPr>
      <w:r>
        <w:rPr>
          <w:rFonts w:ascii="Calibri" w:hAnsi="Calibri"/>
          <w:b/>
          <w:i w:val="0"/>
          <w:color w:val="003366"/>
          <w:sz w:val="28"/>
        </w:rPr>
        <w:t>JvG CONSULTANCY — HSEQ</w:t>
      </w:r>
    </w:p>
    <w:p>
      <w:pPr>
        <w:spacing w:after="40"/>
        <w:jc w:val="center"/>
      </w:pPr>
      <w:r>
        <w:rPr>
          <w:rFonts w:ascii="Calibri" w:hAnsi="Calibri"/>
          <w:b/>
          <w:i w:val="0"/>
          <w:color w:val="003366"/>
          <w:sz w:val="48"/>
        </w:rPr>
        <w:t>COMPLIANCE AUDIT</w:t>
      </w:r>
    </w:p>
    <w:p>
      <w:pPr>
        <w:spacing w:after="40"/>
        <w:jc w:val="center"/>
      </w:pPr>
      <w:r>
        <w:rPr>
          <w:rFonts w:ascii="Calibri" w:hAnsi="Calibri"/>
          <w:b/>
          <w:i w:val="0"/>
          <w:color w:val="003366"/>
          <w:sz w:val="32"/>
        </w:rPr>
        <w:t>Kwik — Koole 003.057</w:t>
      </w:r>
    </w:p>
    <w:p>
      <w:pPr>
        <w:spacing w:after="320"/>
        <w:jc w:val="center"/>
      </w:pPr>
      <w:r>
        <w:rPr>
          <w:rFonts w:ascii="Calibri" w:hAnsi="Calibri"/>
          <w:b w:val="0"/>
          <w:i w:val="0"/>
          <w:sz w:val="24"/>
        </w:rPr>
        <w:t>Document-based compliance audit — diepgaand — met reviewverwerking en juridische verdieping</w:t>
      </w:r>
    </w:p>
    <w:p>
      <w:pPr>
        <w:spacing w:after="80"/>
        <w:jc w:val="center"/>
      </w:pPr>
      <w:r>
        <w:rPr>
          <w:rFonts w:ascii="Calibri" w:hAnsi="Calibri"/>
          <w:b w:val="0"/>
          <w:i w:val="0"/>
          <w:sz w:val="20"/>
        </w:rPr>
        <w:t>Brondocument: MSD 003.057 "Safe Handling of Mercury" Rev 1 (12-05-2026)</w:t>
      </w:r>
    </w:p>
    <w:p>
      <w:pPr>
        <w:spacing w:after="80"/>
        <w:jc w:val="center"/>
      </w:pPr>
      <w:r>
        <w:rPr>
          <w:rFonts w:ascii="Calibri" w:hAnsi="Calibri"/>
          <w:b w:val="0"/>
          <w:i w:val="0"/>
          <w:sz w:val="20"/>
        </w:rPr>
        <w:t>Iteratie v1.0 → v2.0 → v3.0 (Golden Standard-niveau)</w:t>
      </w:r>
    </w:p>
    <w:p>
      <w:pPr>
        <w:spacing w:after="400"/>
        <w:jc w:val="center"/>
      </w:pPr>
      <w:r>
        <w:rPr>
          <w:rFonts w:ascii="Calibri" w:hAnsi="Calibri"/>
          <w:b w:val="0"/>
          <w:i/>
          <w:sz w:val="20"/>
        </w:rPr>
        <w:t>Status: Definitief — Vertrouwelijk</w:t>
      </w:r>
    </w:p>
    <w:p>
      <w:pPr>
        <w:pStyle w:val="Heading1"/>
      </w:pPr>
      <w:r>
        <w:t>1. Managementsamenvatting</w:t>
      </w:r>
    </w:p>
    <w:p>
      <w:pPr>
        <w:spacing w:after="120"/>
      </w:pPr>
      <w:r>
        <w:rPr>
          <w:rFonts w:ascii="Calibri" w:hAnsi="Calibri"/>
          <w:b w:val="0"/>
          <w:i w:val="0"/>
          <w:sz w:val="22"/>
        </w:rPr>
        <w:t>Koole 003.057 is een technisch volwassen procedure met een correcte wettelijke grenswaarde, een concrete meetstrategie en een gedetailleerde RPE-bandindeling. De procedure scoort op de Arbobesluit-kern ≈50% volledig conform (5 conform, 4 deels, 3 ontbreekt van 12 kerneisen). Dat is aanzienlijk beter dan de eerder geauditeerde asbestprocedure 003.059 (11% conform), maar er zijn twee wettelijk verplichte hiaten met hoge ernst: ontbrekende medische surveillance (art. 4.10a/4.10b) en ontbrekend CMR-blootstellingsregister (art. 4.15). Daarnaast bevat Annex III een transportpassage (IBC tanks, ADR) die mogelijk in strijd is met het ADR-verbod op IBC-transport van UN 2809 — verificatie en herschrijving vereist.</w:t>
      </w:r>
    </w:p>
    <w:p>
      <w:pPr>
        <w:spacing w:after="120"/>
      </w:pPr>
      <w:r>
        <w:rPr>
          <w:rFonts w:ascii="Calibri" w:hAnsi="Calibri"/>
          <w:b w:val="0"/>
          <w:i w:val="0"/>
          <w:sz w:val="22"/>
        </w:rPr>
        <w:t>Eindoordeel: MATIG-HOOG risico — herziening vereist vóór projectuitvoering op punten R-01 t/m R-03. Kengetallen: 12 bevindingen (3 HOOG, 6 MIDDEN, 3 LAAG) + 3 verificatiepunten + 8 positieve bevindingen.</w:t>
      </w:r>
    </w:p>
    <w:p>
      <w:pPr>
        <w:pStyle w:val="Heading1"/>
      </w:pPr>
      <w:r>
        <w:t>2. Toetsingskader</w:t>
      </w:r>
    </w:p>
    <w:p>
      <w:pPr>
        <w:spacing w:after="120"/>
      </w:pPr>
      <w:r>
        <w:rPr>
          <w:rFonts w:ascii="Calibri" w:hAnsi="Calibri"/>
          <w:b w:val="0"/>
          <w:i w:val="0"/>
          <w:sz w:val="22"/>
        </w:rPr>
        <w:t>Arbowet (art. 3, 5, 8); Arbobesluit Hoofdstuk 4 incl. CMR-regime; Arboregeling afd. 4.4; EU-Kwikverordening (EU) 2017/852; Besluit kwik en kwikhoudende producten; Bal; REACH; CLP; Mijnbouwwet; ADR/IMDG; AI-bladen 31, 18, 64; SER-grenswaarden; NOGEPA-richtlijnen (best practice).</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Parameter</w:t>
            </w:r>
          </w:p>
        </w:tc>
        <w:tc>
          <w:tcPr>
            <w:tcW w:type="dxa" w:w="3173"/>
            <w:shd w:val="clear" w:color="auto" w:fill="003366"/>
          </w:tcPr>
          <w:p>
            <w:r/>
            <w:r>
              <w:rPr>
                <w:rFonts w:ascii="Calibri" w:hAnsi="Calibri"/>
                <w:b/>
                <w:color w:val="FFFFFF"/>
                <w:sz w:val="19"/>
              </w:rPr>
              <w:t>Waarde</w:t>
            </w:r>
          </w:p>
        </w:tc>
        <w:tc>
          <w:tcPr>
            <w:tcW w:type="dxa" w:w="3173"/>
            <w:shd w:val="clear" w:color="auto" w:fill="003366"/>
          </w:tcPr>
          <w:p>
            <w:r/>
            <w:r>
              <w:rPr>
                <w:rFonts w:ascii="Calibri" w:hAnsi="Calibri"/>
                <w:b/>
                <w:color w:val="FFFFFF"/>
                <w:sz w:val="19"/>
              </w:rPr>
              <w:t>Bron</w:t>
            </w:r>
          </w:p>
        </w:tc>
      </w:tr>
      <w:tr>
        <w:tc>
          <w:tcPr>
            <w:tcW w:type="dxa" w:w="3173"/>
          </w:tcPr>
          <w:p>
            <w:r/>
            <w:r>
              <w:rPr>
                <w:rFonts w:ascii="Calibri" w:hAnsi="Calibri"/>
                <w:b w:val="0"/>
                <w:color w:val="1F2937"/>
                <w:sz w:val="19"/>
              </w:rPr>
              <w:t>TGG-8u kwikdamp (NL)</w:t>
            </w:r>
          </w:p>
        </w:tc>
        <w:tc>
          <w:tcPr>
            <w:tcW w:type="dxa" w:w="3173"/>
          </w:tcPr>
          <w:p>
            <w:r/>
            <w:r>
              <w:rPr>
                <w:rFonts w:ascii="Calibri" w:hAnsi="Calibri"/>
                <w:b w:val="0"/>
                <w:color w:val="1F2937"/>
                <w:sz w:val="19"/>
              </w:rPr>
              <w:t>0,02 mg/m³ (20 µg/m³)</w:t>
            </w:r>
          </w:p>
        </w:tc>
        <w:tc>
          <w:tcPr>
            <w:tcW w:type="dxa" w:w="3173"/>
          </w:tcPr>
          <w:p>
            <w:r/>
            <w:r>
              <w:rPr>
                <w:rFonts w:ascii="Calibri" w:hAnsi="Calibri"/>
                <w:b w:val="0"/>
                <w:color w:val="1F2937"/>
                <w:sz w:val="19"/>
              </w:rPr>
              <w:t>Arboregeling/SER</w:t>
            </w:r>
          </w:p>
        </w:tc>
      </w:tr>
      <w:tr>
        <w:tc>
          <w:tcPr>
            <w:tcW w:type="dxa" w:w="3173"/>
          </w:tcPr>
          <w:p>
            <w:r/>
            <w:r>
              <w:rPr>
                <w:rFonts w:ascii="Calibri" w:hAnsi="Calibri"/>
                <w:b w:val="0"/>
                <w:color w:val="1F2937"/>
                <w:sz w:val="19"/>
              </w:rPr>
              <w:t>STEL kwikdamp</w:t>
            </w:r>
          </w:p>
        </w:tc>
        <w:tc>
          <w:tcPr>
            <w:tcW w:type="dxa" w:w="3173"/>
          </w:tcPr>
          <w:p>
            <w:r/>
            <w:r>
              <w:rPr>
                <w:rFonts w:ascii="Calibri" w:hAnsi="Calibri"/>
                <w:b w:val="0"/>
                <w:color w:val="1F2937"/>
                <w:sz w:val="19"/>
              </w:rPr>
              <w:t>Bestaat niet in NL</w:t>
            </w:r>
          </w:p>
        </w:tc>
        <w:tc>
          <w:tcPr>
            <w:tcW w:type="dxa" w:w="3173"/>
          </w:tcPr>
          <w:p>
            <w:r/>
            <w:r>
              <w:rPr>
                <w:rFonts w:ascii="Calibri" w:hAnsi="Calibri"/>
                <w:b w:val="0"/>
                <w:color w:val="1F2937"/>
                <w:sz w:val="19"/>
              </w:rPr>
              <w:t>Arboregeling/SER</w:t>
            </w:r>
          </w:p>
        </w:tc>
      </w:tr>
      <w:tr>
        <w:tc>
          <w:tcPr>
            <w:tcW w:type="dxa" w:w="3173"/>
          </w:tcPr>
          <w:p>
            <w:r/>
            <w:r>
              <w:rPr>
                <w:rFonts w:ascii="Calibri" w:hAnsi="Calibri"/>
                <w:b w:val="0"/>
                <w:color w:val="1F2937"/>
                <w:sz w:val="19"/>
              </w:rPr>
              <w:t>CLP (index 080-001-00-0, CAS 7439-97-6)</w:t>
            </w:r>
          </w:p>
        </w:tc>
        <w:tc>
          <w:tcPr>
            <w:tcW w:type="dxa" w:w="3173"/>
          </w:tcPr>
          <w:p>
            <w:r/>
            <w:r>
              <w:rPr>
                <w:rFonts w:ascii="Calibri" w:hAnsi="Calibri"/>
                <w:b w:val="0"/>
                <w:color w:val="1F2937"/>
                <w:sz w:val="19"/>
              </w:rPr>
              <w:t>Repr. 1B H360D; STOT RE 1 H372; Aquatic Acute 1 H400; Aquatic Chronic 1 H410</w:t>
            </w:r>
          </w:p>
        </w:tc>
        <w:tc>
          <w:tcPr>
            <w:tcW w:type="dxa" w:w="3173"/>
          </w:tcPr>
          <w:p>
            <w:r/>
            <w:r>
              <w:rPr>
                <w:rFonts w:ascii="Calibri" w:hAnsi="Calibri"/>
                <w:b w:val="0"/>
                <w:color w:val="1F2937"/>
                <w:sz w:val="19"/>
              </w:rPr>
              <w:t>ECHA Bijlage VI</w:t>
            </w:r>
          </w:p>
        </w:tc>
      </w:tr>
      <w:tr>
        <w:tc>
          <w:tcPr>
            <w:tcW w:type="dxa" w:w="3173"/>
          </w:tcPr>
          <w:p>
            <w:r/>
            <w:r>
              <w:rPr>
                <w:rFonts w:ascii="Calibri" w:hAnsi="Calibri"/>
                <w:b w:val="0"/>
                <w:color w:val="1F2937"/>
                <w:sz w:val="19"/>
              </w:rPr>
              <w:t>ADR vloeibaar kwik</w:t>
            </w:r>
          </w:p>
        </w:tc>
        <w:tc>
          <w:tcPr>
            <w:tcW w:type="dxa" w:w="3173"/>
          </w:tcPr>
          <w:p>
            <w:r/>
            <w:r>
              <w:rPr>
                <w:rFonts w:ascii="Calibri" w:hAnsi="Calibri"/>
                <w:b w:val="0"/>
                <w:color w:val="1F2937"/>
                <w:sz w:val="19"/>
              </w:rPr>
              <w:t>UN 2809, klasse 8, PG III, tunnel (E); IBC/bulk/large packaging VERBODEN</w:t>
            </w:r>
          </w:p>
        </w:tc>
        <w:tc>
          <w:tcPr>
            <w:tcW w:type="dxa" w:w="3173"/>
          </w:tcPr>
          <w:p>
            <w:r/>
            <w:r>
              <w:rPr>
                <w:rFonts w:ascii="Calibri" w:hAnsi="Calibri"/>
                <w:b w:val="0"/>
                <w:color w:val="1F2937"/>
                <w:sz w:val="19"/>
              </w:rPr>
              <w:t>ADR tabel A</w:t>
            </w:r>
          </w:p>
        </w:tc>
      </w:tr>
      <w:tr>
        <w:tc>
          <w:tcPr>
            <w:tcW w:type="dxa" w:w="3173"/>
          </w:tcPr>
          <w:p>
            <w:r/>
            <w:r>
              <w:rPr>
                <w:rFonts w:ascii="Calibri" w:hAnsi="Calibri"/>
                <w:b w:val="0"/>
                <w:color w:val="1F2937"/>
                <w:sz w:val="19"/>
              </w:rPr>
              <w:t>Eural kwikafval</w:t>
            </w:r>
          </w:p>
        </w:tc>
        <w:tc>
          <w:tcPr>
            <w:tcW w:type="dxa" w:w="3173"/>
          </w:tcPr>
          <w:p>
            <w:r/>
            <w:r>
              <w:rPr>
                <w:rFonts w:ascii="Calibri" w:hAnsi="Calibri"/>
                <w:b w:val="0"/>
                <w:color w:val="1F2937"/>
                <w:sz w:val="19"/>
              </w:rPr>
              <w:t>&gt;3% massaconcentratie → 06 04 20*</w:t>
            </w:r>
          </w:p>
        </w:tc>
        <w:tc>
          <w:tcPr>
            <w:tcW w:type="dxa" w:w="3173"/>
          </w:tcPr>
          <w:p>
            <w:r/>
            <w:r>
              <w:rPr>
                <w:rFonts w:ascii="Calibri" w:hAnsi="Calibri"/>
                <w:b w:val="0"/>
                <w:color w:val="1F2937"/>
                <w:sz w:val="19"/>
              </w:rPr>
              <w:t>Eural</w:t>
            </w:r>
          </w:p>
        </w:tc>
      </w:tr>
    </w:tbl>
    <w:p>
      <w:pPr>
        <w:spacing w:after="40"/>
      </w:pPr>
    </w:p>
    <w:p>
      <w:pPr>
        <w:pStyle w:val="Heading1"/>
      </w:pPr>
      <w:r>
        <w:t>3. Bevindingen per clausule</w:t>
      </w:r>
    </w:p>
    <w:p>
      <w:pPr>
        <w:pStyle w:val="Heading2"/>
      </w:pPr>
      <w:r>
        <w:t>3.1 Wettelijk en regulatoir</w:t>
      </w:r>
    </w:p>
    <w:p>
      <w:pPr>
        <w:spacing w:after="120"/>
      </w:pPr>
      <w:r>
        <w:rPr>
          <w:rFonts w:ascii="Calibri" w:hAnsi="Calibri"/>
          <w:b/>
          <w:sz w:val="22"/>
        </w:rPr>
        <w:t xml:space="preserve">R-01 (HOOG — Arbobesluit art. 4.10a/4.10b i.c.m. CMR-regime): </w:t>
      </w:r>
      <w:r>
        <w:rPr>
          <w:rFonts w:ascii="Calibri" w:hAnsi="Calibri"/>
          <w:sz w:val="22"/>
        </w:rPr>
        <w:t>Medische surveillance/biologische monitoring ontbreekt volledig. Kwik is als Repr. 1B een reprotoxische stof: art. 4.10a verplicht het aanbieden van arbeidsgezondheidskundig onderzoek vóór aanvang, tussentijds en na beëindiging; art. 4.10b ziet op onderzoek en biologische grenswaarden (kwik in urine is gevestigde praktijk). Procedure noch referenties benoemen gezondheidsonderzoek, arbodienst of bedrijfsarts.</w:t>
      </w:r>
    </w:p>
    <w:p>
      <w:pPr>
        <w:spacing w:after="120"/>
      </w:pPr>
      <w:r>
        <w:rPr>
          <w:rFonts w:ascii="Calibri" w:hAnsi="Calibri"/>
          <w:b/>
          <w:sz w:val="22"/>
        </w:rPr>
        <w:t xml:space="preserve">R-02 (HOOG — Arbobesluit art. 4.15 CMR): </w:t>
      </w:r>
      <w:r>
        <w:rPr>
          <w:rFonts w:ascii="Calibri" w:hAnsi="Calibri"/>
          <w:sz w:val="22"/>
        </w:rPr>
        <w:t>Geen blootstellingsregister. Voor reprotoxische stoffen verplicht art. 4.15 het bijhouden van een lijst van werknemers die worden of kunnen worden blootgesteld, onder vermelding van de ondergane blootstelling, incl. inzage- en afschriftrecht. Meetresultaten worden uitsluitend aan het PTW-dossier gekoppeld; deze wettelijke lijst ontbreekt.</w:t>
      </w:r>
    </w:p>
    <w:p>
      <w:pPr>
        <w:spacing w:after="120"/>
      </w:pPr>
      <w:r>
        <w:rPr>
          <w:rFonts w:ascii="Calibri" w:hAnsi="Calibri"/>
          <w:b/>
          <w:sz w:val="22"/>
        </w:rPr>
        <w:t xml:space="preserve">R-03 (HOOG — ADR): </w:t>
      </w:r>
      <w:r>
        <w:rPr>
          <w:rFonts w:ascii="Calibri" w:hAnsi="Calibri"/>
          <w:sz w:val="22"/>
        </w:rPr>
        <w:t>Annex III-transportpassage mogelijk in strijd met ADR. Annex III adviseert ‘Offshore/IBC tanks (ADR)’ voor vloeistoffen. Voor vloeibaar kwik (UN 2809) geldt een expliciet ADR-verbod op vervoer in IBC’s, bulk en large packagings. Indien de passage ziet op vrij kwik is dit een onjuiste instructie; indien uitsluitend bedoeld voor andere vloeistoffen (bv. spoelwater) moet dit expliciet worden genuanceerd. Verificatiepunt V-1.</w:t>
      </w:r>
    </w:p>
    <w:p>
      <w:pPr>
        <w:spacing w:after="120"/>
      </w:pPr>
      <w:r>
        <w:rPr>
          <w:rFonts w:ascii="Calibri" w:hAnsi="Calibri"/>
          <w:b/>
          <w:sz w:val="22"/>
        </w:rPr>
        <w:t xml:space="preserve">R-04 (MIDDEN — CLP): </w:t>
      </w:r>
      <w:r>
        <w:rPr>
          <w:rFonts w:ascii="Calibri" w:hAnsi="Calibri"/>
          <w:sz w:val="22"/>
        </w:rPr>
        <w:t>Geen CLP-hazardinformatie: geen classificatiegegevens (H360D/H372/H400/H410) en geen etiketteisen voor verpakkingen; labeling wordt één-op-één aan Logistics gedelegeerd.</w:t>
      </w:r>
    </w:p>
    <w:p>
      <w:pPr>
        <w:spacing w:after="120"/>
      </w:pPr>
      <w:r>
        <w:rPr>
          <w:rFonts w:ascii="Calibri" w:hAnsi="Calibri"/>
          <w:b/>
          <w:sz w:val="22"/>
        </w:rPr>
        <w:t xml:space="preserve">R-06 (MIDDEN — Arbobesluit 4.1): </w:t>
      </w:r>
      <w:r>
        <w:rPr>
          <w:rFonts w:ascii="Calibri" w:hAnsi="Calibri"/>
          <w:sz w:val="22"/>
        </w:rPr>
        <w:t>RI&amp;E/TRA-koppeling ontbreekt: ‘risk-based approach’ is genoemd, maar de procedure verankert niet waar de risicobeoordeling (project-TRA/RI&amp;E-afsplitsing) ligt en hoe die de meetstrategie stuurt.</w:t>
      </w:r>
    </w:p>
    <w:p>
      <w:pPr>
        <w:spacing w:after="120"/>
      </w:pPr>
      <w:r>
        <w:rPr>
          <w:rFonts w:ascii="Calibri" w:hAnsi="Calibri"/>
          <w:b/>
          <w:sz w:val="22"/>
        </w:rPr>
        <w:t xml:space="preserve">R-07 (LAAG — Wettelijk): </w:t>
      </w:r>
      <w:r>
        <w:rPr>
          <w:rFonts w:ascii="Calibri" w:hAnsi="Calibri"/>
          <w:sz w:val="22"/>
        </w:rPr>
        <w:t>Mijnbouwwet wél in de referentietabel, maar niet uitgewerkt. Staatstoezicht op de Mijnen (Stoom) als bevoegde toezichthouder voor het NL-continentale plat en de arbeidsomstandighedenvereisten voor mijnbouwinstallaties ontbreken in de toelichting.</w:t>
      </w:r>
    </w:p>
    <w:p>
      <w:pPr>
        <w:pStyle w:val="Heading2"/>
      </w:pPr>
      <w:r>
        <w:t>3.2 Technische veiligheid</w:t>
      </w:r>
    </w:p>
    <w:p>
      <w:pPr>
        <w:spacing w:after="120"/>
      </w:pPr>
      <w:r>
        <w:rPr>
          <w:rFonts w:ascii="Calibri" w:hAnsi="Calibri"/>
          <w:b/>
          <w:sz w:val="22"/>
        </w:rPr>
        <w:t xml:space="preserve">R-05 (MIDDEN — Norm/AI-blad 18): </w:t>
      </w:r>
      <w:r>
        <w:rPr>
          <w:rFonts w:ascii="Calibri" w:hAnsi="Calibri"/>
          <w:sz w:val="22"/>
        </w:rPr>
        <w:t>Geen fit-test-eis voor tight-fitting RPE (half-/volgelaatsmasker), terwijl de RPE-bandindeling op deze maskers leunt. Filterbeperking (max. 2 werkdagen) en pauzeschema’s zijn wél goed geregeld.</w:t>
      </w:r>
    </w:p>
    <w:p>
      <w:pPr>
        <w:spacing w:after="120"/>
      </w:pPr>
      <w:r>
        <w:rPr>
          <w:rFonts w:ascii="Calibri" w:hAnsi="Calibri"/>
          <w:b/>
          <w:sz w:val="22"/>
        </w:rPr>
        <w:t xml:space="preserve">R-09 (MIDDEN — Wettelijk+AI-31): </w:t>
      </w:r>
      <w:r>
        <w:rPr>
          <w:rFonts w:ascii="Calibri" w:hAnsi="Calibri"/>
          <w:sz w:val="22"/>
        </w:rPr>
        <w:t>EMVI beperkt tot spill-opschoning. Geen acute symptoomherkenning, EHBO-instructie, alarmlijn of escalatiepad bij blootstelling boven grenswaarde.</w:t>
      </w:r>
    </w:p>
    <w:p>
      <w:pPr>
        <w:spacing w:after="120"/>
      </w:pPr>
      <w:r>
        <w:rPr>
          <w:rFonts w:ascii="Calibri" w:hAnsi="Calibri"/>
          <w:b/>
          <w:sz w:val="22"/>
        </w:rPr>
        <w:t xml:space="preserve">R-11 (LAAG — Norm): </w:t>
      </w:r>
      <w:r>
        <w:rPr>
          <w:rFonts w:ascii="Calibri" w:hAnsi="Calibri"/>
          <w:sz w:val="22"/>
        </w:rPr>
        <w:t>Jerome J405 niet Ex-rated. Procedure noemt ATEX-overweging (‘shall be considered’) maar geen Ex-geschikt alternatief voor gebruik in ATEX-zones — praktisch zwak punt.</w:t>
      </w:r>
    </w:p>
    <w:p>
      <w:pPr>
        <w:pStyle w:val="Heading2"/>
      </w:pPr>
      <w:r>
        <w:t>3.3 Milieu en omgevingswet</w:t>
      </w:r>
    </w:p>
    <w:p>
      <w:pPr>
        <w:spacing w:after="120"/>
      </w:pPr>
      <w:r>
        <w:rPr>
          <w:rFonts w:ascii="Calibri" w:hAnsi="Calibri"/>
          <w:b/>
          <w:sz w:val="22"/>
        </w:rPr>
        <w:t xml:space="preserve">R-10 (LAAG — Wettelijk Bal/EU): </w:t>
      </w:r>
      <w:r>
        <w:rPr>
          <w:rFonts w:ascii="Calibri" w:hAnsi="Calibri"/>
          <w:sz w:val="22"/>
        </w:rPr>
        <w:t>Verwerkersverificatie ontbreekt. ‘Approved waste management routes’ zonder eis van erkenning/certificering van de verwerker en zonder uitwerking van afvalstroomdocumentatie (begeleidingsbrief, Eural-codering).</w:t>
      </w:r>
    </w:p>
    <w:p>
      <w:pPr>
        <w:spacing w:after="120"/>
      </w:pPr>
      <w:r>
        <w:rPr>
          <w:rFonts w:ascii="Calibri" w:hAnsi="Calibri"/>
          <w:b w:val="0"/>
          <w:i w:val="0"/>
          <w:sz w:val="22"/>
        </w:rPr>
        <w:t>Positieve milieu-elementen: Eural 3%-drempel correct toegepast; OSPAR/MARPOL-verwijzingen aanwezig; verpakkingsstandaard (blindflensen i.p.v. tape, pondliner-skip) boven branchestandaard.</w:t>
      </w:r>
    </w:p>
    <w:p>
      <w:pPr>
        <w:pStyle w:val="Heading2"/>
      </w:pPr>
      <w:r>
        <w:t>3.4 Overig</w:t>
      </w:r>
    </w:p>
    <w:p>
      <w:pPr>
        <w:spacing w:after="120"/>
      </w:pPr>
      <w:r>
        <w:rPr>
          <w:rFonts w:ascii="Calibri" w:hAnsi="Calibri"/>
          <w:b/>
          <w:sz w:val="22"/>
        </w:rPr>
        <w:t xml:space="preserve">R-08 (MIDDEN — Arbowet art. 8 i.c.m. CMR-afdeling): </w:t>
      </w:r>
      <w:r>
        <w:rPr>
          <w:rFonts w:ascii="Calibri" w:hAnsi="Calibri"/>
          <w:sz w:val="22"/>
        </w:rPr>
        <w:t>Training niet uitgewerkt (inhoud, frequentie, competentiebewijs).</w:t>
      </w:r>
    </w:p>
    <w:p>
      <w:pPr>
        <w:spacing w:after="120"/>
      </w:pPr>
      <w:r>
        <w:rPr>
          <w:rFonts w:ascii="Calibri" w:hAnsi="Calibri"/>
          <w:b/>
          <w:sz w:val="22"/>
        </w:rPr>
        <w:t xml:space="preserve">R-12 (ingetrokken na review): </w:t>
      </w:r>
      <w:r>
        <w:rPr>
          <w:rFonts w:ascii="Calibri" w:hAnsi="Calibri"/>
          <w:sz w:val="22"/>
        </w:rPr>
        <w:t>NOGEPA Standard 86 is correct vermeld in de referentietabel; overweeg aanvullend verwijzing naar bredere NOGEPA HSEQ-richtlijnen (best practice).</w:t>
      </w:r>
    </w:p>
    <w:p>
      <w:pPr>
        <w:pStyle w:val="Heading1"/>
      </w:pPr>
      <w:r>
        <w:t>4. Compliance-matrix (samengevat)</w:t>
      </w:r>
    </w:p>
    <w:p>
      <w:pPr>
        <w:pStyle w:val="Heading2"/>
      </w:pPr>
      <w:r>
        <w:t>4.1 Bevindingenregister</w:t>
      </w:r>
    </w:p>
    <w:tbl>
      <w:tblPr>
        <w:tblStyle w:val="TableGrid"/>
        <w:tblW w:type="auto" w:w="0"/>
        <w:jc w:val="center"/>
        <w:tblLook w:firstColumn="1" w:firstRow="1" w:lastColumn="0" w:lastRow="0" w:noHBand="0" w:noVBand="1" w:val="04A0"/>
      </w:tblPr>
      <w:tblGrid>
        <w:gridCol w:w="1904"/>
        <w:gridCol w:w="1904"/>
        <w:gridCol w:w="1904"/>
        <w:gridCol w:w="1904"/>
        <w:gridCol w:w="1904"/>
      </w:tblGrid>
      <w:tr>
        <w:tc>
          <w:tcPr>
            <w:tcW w:type="dxa" w:w="1904"/>
            <w:shd w:val="clear" w:color="auto" w:fill="003366"/>
          </w:tcPr>
          <w:p>
            <w:r/>
            <w:r>
              <w:rPr>
                <w:rFonts w:ascii="Calibri" w:hAnsi="Calibri"/>
                <w:b/>
                <w:color w:val="FFFFFF"/>
                <w:sz w:val="19"/>
              </w:rPr>
              <w:t>ID</w:t>
            </w:r>
          </w:p>
        </w:tc>
        <w:tc>
          <w:tcPr>
            <w:tcW w:type="dxa" w:w="1904"/>
            <w:shd w:val="clear" w:color="auto" w:fill="003366"/>
          </w:tcPr>
          <w:p>
            <w:r/>
            <w:r>
              <w:rPr>
                <w:rFonts w:ascii="Calibri" w:hAnsi="Calibri"/>
                <w:b/>
                <w:color w:val="FFFFFF"/>
                <w:sz w:val="19"/>
              </w:rPr>
              <w:t>Cluster</w:t>
            </w:r>
          </w:p>
        </w:tc>
        <w:tc>
          <w:tcPr>
            <w:tcW w:type="dxa" w:w="1904"/>
            <w:shd w:val="clear" w:color="auto" w:fill="003366"/>
          </w:tcPr>
          <w:p>
            <w:r/>
            <w:r>
              <w:rPr>
                <w:rFonts w:ascii="Calibri" w:hAnsi="Calibri"/>
                <w:b/>
                <w:color w:val="FFFFFF"/>
                <w:sz w:val="19"/>
              </w:rPr>
              <w:t>Bevinding</w:t>
            </w:r>
          </w:p>
        </w:tc>
        <w:tc>
          <w:tcPr>
            <w:tcW w:type="dxa" w:w="1904"/>
            <w:shd w:val="clear" w:color="auto" w:fill="003366"/>
          </w:tcPr>
          <w:p>
            <w:r/>
            <w:r>
              <w:rPr>
                <w:rFonts w:ascii="Calibri" w:hAnsi="Calibri"/>
                <w:b/>
                <w:color w:val="FFFFFF"/>
                <w:sz w:val="19"/>
              </w:rPr>
              <w:t>Ernst</w:t>
            </w:r>
          </w:p>
        </w:tc>
        <w:tc>
          <w:tcPr>
            <w:tcW w:type="dxa" w:w="1904"/>
            <w:shd w:val="clear" w:color="auto" w:fill="003366"/>
          </w:tcPr>
          <w:p>
            <w:r/>
            <w:r>
              <w:rPr>
                <w:rFonts w:ascii="Calibri" w:hAnsi="Calibri"/>
                <w:b/>
                <w:color w:val="FFFFFF"/>
                <w:sz w:val="19"/>
              </w:rPr>
              <w:t>Status</w:t>
            </w:r>
          </w:p>
        </w:tc>
      </w:tr>
      <w:tr>
        <w:tc>
          <w:tcPr>
            <w:tcW w:type="dxa" w:w="1904"/>
          </w:tcPr>
          <w:p>
            <w:r/>
            <w:r>
              <w:rPr>
                <w:rFonts w:ascii="Calibri" w:hAnsi="Calibri"/>
                <w:b w:val="0"/>
                <w:color w:val="1F2937"/>
                <w:sz w:val="19"/>
              </w:rPr>
              <w:t>R-01</w:t>
            </w:r>
          </w:p>
        </w:tc>
        <w:tc>
          <w:tcPr>
            <w:tcW w:type="dxa" w:w="1904"/>
          </w:tcPr>
          <w:p>
            <w:r/>
            <w:r>
              <w:rPr>
                <w:rFonts w:ascii="Calibri" w:hAnsi="Calibri"/>
                <w:b w:val="0"/>
                <w:color w:val="1F2937"/>
                <w:sz w:val="19"/>
              </w:rPr>
              <w:t>Wettelijk</w:t>
            </w:r>
          </w:p>
        </w:tc>
        <w:tc>
          <w:tcPr>
            <w:tcW w:type="dxa" w:w="1904"/>
          </w:tcPr>
          <w:p>
            <w:r/>
            <w:r>
              <w:rPr>
                <w:rFonts w:ascii="Calibri" w:hAnsi="Calibri"/>
                <w:b w:val="0"/>
                <w:color w:val="1F2937"/>
                <w:sz w:val="19"/>
              </w:rPr>
              <w:t>Medische surveillance/biologische monitoring ontbreekt (art. 4.10a/b)</w:t>
            </w:r>
          </w:p>
        </w:tc>
        <w:tc>
          <w:tcPr>
            <w:tcW w:type="dxa" w:w="1904"/>
          </w:tcPr>
          <w:p>
            <w:r/>
            <w:r>
              <w:rPr>
                <w:rFonts w:ascii="Calibri" w:hAnsi="Calibri"/>
                <w:b w:val="0"/>
                <w:color w:val="1F2937"/>
                <w:sz w:val="19"/>
              </w:rPr>
              <w:t>HOOG</w:t>
            </w:r>
          </w:p>
        </w:tc>
        <w:tc>
          <w:tcPr>
            <w:tcW w:type="dxa" w:w="1904"/>
          </w:tcPr>
          <w:p>
            <w:r/>
            <w:r>
              <w:rPr>
                <w:rFonts w:ascii="Calibri" w:hAnsi="Calibri"/>
                <w:b w:val="0"/>
                <w:color w:val="1F2937"/>
                <w:sz w:val="19"/>
              </w:rPr>
              <w:t>ONTBREEKT</w:t>
            </w:r>
          </w:p>
        </w:tc>
      </w:tr>
      <w:tr>
        <w:tc>
          <w:tcPr>
            <w:tcW w:type="dxa" w:w="1904"/>
          </w:tcPr>
          <w:p>
            <w:r/>
            <w:r>
              <w:rPr>
                <w:rFonts w:ascii="Calibri" w:hAnsi="Calibri"/>
                <w:b w:val="0"/>
                <w:color w:val="1F2937"/>
                <w:sz w:val="19"/>
              </w:rPr>
              <w:t>R-02</w:t>
            </w:r>
          </w:p>
        </w:tc>
        <w:tc>
          <w:tcPr>
            <w:tcW w:type="dxa" w:w="1904"/>
          </w:tcPr>
          <w:p>
            <w:r/>
            <w:r>
              <w:rPr>
                <w:rFonts w:ascii="Calibri" w:hAnsi="Calibri"/>
                <w:b w:val="0"/>
                <w:color w:val="1F2937"/>
                <w:sz w:val="19"/>
              </w:rPr>
              <w:t>Wettelijk</w:t>
            </w:r>
          </w:p>
        </w:tc>
        <w:tc>
          <w:tcPr>
            <w:tcW w:type="dxa" w:w="1904"/>
          </w:tcPr>
          <w:p>
            <w:r/>
            <w:r>
              <w:rPr>
                <w:rFonts w:ascii="Calibri" w:hAnsi="Calibri"/>
                <w:b w:val="0"/>
                <w:color w:val="1F2937"/>
                <w:sz w:val="19"/>
              </w:rPr>
              <w:t>Geen CMR-blootstellingsregister (art. 4.15)</w:t>
            </w:r>
          </w:p>
        </w:tc>
        <w:tc>
          <w:tcPr>
            <w:tcW w:type="dxa" w:w="1904"/>
          </w:tcPr>
          <w:p>
            <w:r/>
            <w:r>
              <w:rPr>
                <w:rFonts w:ascii="Calibri" w:hAnsi="Calibri"/>
                <w:b w:val="0"/>
                <w:color w:val="1F2937"/>
                <w:sz w:val="19"/>
              </w:rPr>
              <w:t>HOOG</w:t>
            </w:r>
          </w:p>
        </w:tc>
        <w:tc>
          <w:tcPr>
            <w:tcW w:type="dxa" w:w="1904"/>
          </w:tcPr>
          <w:p>
            <w:r/>
            <w:r>
              <w:rPr>
                <w:rFonts w:ascii="Calibri" w:hAnsi="Calibri"/>
                <w:b w:val="0"/>
                <w:color w:val="1F2937"/>
                <w:sz w:val="19"/>
              </w:rPr>
              <w:t>ONTBREEKT</w:t>
            </w:r>
          </w:p>
        </w:tc>
      </w:tr>
      <w:tr>
        <w:tc>
          <w:tcPr>
            <w:tcW w:type="dxa" w:w="1904"/>
          </w:tcPr>
          <w:p>
            <w:r/>
            <w:r>
              <w:rPr>
                <w:rFonts w:ascii="Calibri" w:hAnsi="Calibri"/>
                <w:b w:val="0"/>
                <w:color w:val="1F2937"/>
                <w:sz w:val="19"/>
              </w:rPr>
              <w:t>R-03</w:t>
            </w:r>
          </w:p>
        </w:tc>
        <w:tc>
          <w:tcPr>
            <w:tcW w:type="dxa" w:w="1904"/>
          </w:tcPr>
          <w:p>
            <w:r/>
            <w:r>
              <w:rPr>
                <w:rFonts w:ascii="Calibri" w:hAnsi="Calibri"/>
                <w:b w:val="0"/>
                <w:color w:val="1F2937"/>
                <w:sz w:val="19"/>
              </w:rPr>
              <w:t>Wettelijk</w:t>
            </w:r>
          </w:p>
        </w:tc>
        <w:tc>
          <w:tcPr>
            <w:tcW w:type="dxa" w:w="1904"/>
          </w:tcPr>
          <w:p>
            <w:r/>
            <w:r>
              <w:rPr>
                <w:rFonts w:ascii="Calibri" w:hAnsi="Calibri"/>
                <w:b w:val="0"/>
                <w:color w:val="1F2937"/>
                <w:sz w:val="19"/>
              </w:rPr>
              <w:t>Annex III IBC-transport mogelijk in strijd met ADR UN 2809</w:t>
            </w:r>
          </w:p>
        </w:tc>
        <w:tc>
          <w:tcPr>
            <w:tcW w:type="dxa" w:w="1904"/>
          </w:tcPr>
          <w:p>
            <w:r/>
            <w:r>
              <w:rPr>
                <w:rFonts w:ascii="Calibri" w:hAnsi="Calibri"/>
                <w:b w:val="0"/>
                <w:color w:val="1F2937"/>
                <w:sz w:val="19"/>
              </w:rPr>
              <w:t>HOOG</w:t>
            </w:r>
          </w:p>
        </w:tc>
        <w:tc>
          <w:tcPr>
            <w:tcW w:type="dxa" w:w="1904"/>
          </w:tcPr>
          <w:p>
            <w:r/>
            <w:r>
              <w:rPr>
                <w:rFonts w:ascii="Calibri" w:hAnsi="Calibri"/>
                <w:b w:val="0"/>
                <w:color w:val="1F2937"/>
                <w:sz w:val="19"/>
              </w:rPr>
              <w:t>VERIFICATIE</w:t>
            </w:r>
          </w:p>
        </w:tc>
      </w:tr>
      <w:tr>
        <w:tc>
          <w:tcPr>
            <w:tcW w:type="dxa" w:w="1904"/>
          </w:tcPr>
          <w:p>
            <w:r/>
            <w:r>
              <w:rPr>
                <w:rFonts w:ascii="Calibri" w:hAnsi="Calibri"/>
                <w:b w:val="0"/>
                <w:color w:val="1F2937"/>
                <w:sz w:val="19"/>
              </w:rPr>
              <w:t>R-04</w:t>
            </w:r>
          </w:p>
        </w:tc>
        <w:tc>
          <w:tcPr>
            <w:tcW w:type="dxa" w:w="1904"/>
          </w:tcPr>
          <w:p>
            <w:r/>
            <w:r>
              <w:rPr>
                <w:rFonts w:ascii="Calibri" w:hAnsi="Calibri"/>
                <w:b w:val="0"/>
                <w:color w:val="1F2937"/>
                <w:sz w:val="19"/>
              </w:rPr>
              <w:t>Wettelijk</w:t>
            </w:r>
          </w:p>
        </w:tc>
        <w:tc>
          <w:tcPr>
            <w:tcW w:type="dxa" w:w="1904"/>
          </w:tcPr>
          <w:p>
            <w:r/>
            <w:r>
              <w:rPr>
                <w:rFonts w:ascii="Calibri" w:hAnsi="Calibri"/>
                <w:b w:val="0"/>
                <w:color w:val="1F2937"/>
                <w:sz w:val="19"/>
              </w:rPr>
              <w:t>Geen CLP-hazardinformatie/etiketteisen</w:t>
            </w:r>
          </w:p>
        </w:tc>
        <w:tc>
          <w:tcPr>
            <w:tcW w:type="dxa" w:w="1904"/>
          </w:tcPr>
          <w:p>
            <w:r/>
            <w:r>
              <w:rPr>
                <w:rFonts w:ascii="Calibri" w:hAnsi="Calibri"/>
                <w:b w:val="0"/>
                <w:color w:val="1F2937"/>
                <w:sz w:val="19"/>
              </w:rPr>
              <w:t>MIDDEN</w:t>
            </w:r>
          </w:p>
        </w:tc>
        <w:tc>
          <w:tcPr>
            <w:tcW w:type="dxa" w:w="1904"/>
          </w:tcPr>
          <w:p>
            <w:r/>
            <w:r>
              <w:rPr>
                <w:rFonts w:ascii="Calibri" w:hAnsi="Calibri"/>
                <w:b w:val="0"/>
                <w:color w:val="1F2937"/>
                <w:sz w:val="19"/>
              </w:rPr>
              <w:t>ONTBREEKT</w:t>
            </w:r>
          </w:p>
        </w:tc>
      </w:tr>
      <w:tr>
        <w:tc>
          <w:tcPr>
            <w:tcW w:type="dxa" w:w="1904"/>
          </w:tcPr>
          <w:p>
            <w:r/>
            <w:r>
              <w:rPr>
                <w:rFonts w:ascii="Calibri" w:hAnsi="Calibri"/>
                <w:b w:val="0"/>
                <w:color w:val="1F2937"/>
                <w:sz w:val="19"/>
              </w:rPr>
              <w:t>R-05</w:t>
            </w:r>
          </w:p>
        </w:tc>
        <w:tc>
          <w:tcPr>
            <w:tcW w:type="dxa" w:w="1904"/>
          </w:tcPr>
          <w:p>
            <w:r/>
            <w:r>
              <w:rPr>
                <w:rFonts w:ascii="Calibri" w:hAnsi="Calibri"/>
                <w:b w:val="0"/>
                <w:color w:val="1F2937"/>
                <w:sz w:val="19"/>
              </w:rPr>
              <w:t>Technisch</w:t>
            </w:r>
          </w:p>
        </w:tc>
        <w:tc>
          <w:tcPr>
            <w:tcW w:type="dxa" w:w="1904"/>
          </w:tcPr>
          <w:p>
            <w:r/>
            <w:r>
              <w:rPr>
                <w:rFonts w:ascii="Calibri" w:hAnsi="Calibri"/>
                <w:b w:val="0"/>
                <w:color w:val="1F2937"/>
                <w:sz w:val="19"/>
              </w:rPr>
              <w:t>Geen fit-test-eis tight-fitting RPE</w:t>
            </w:r>
          </w:p>
        </w:tc>
        <w:tc>
          <w:tcPr>
            <w:tcW w:type="dxa" w:w="1904"/>
          </w:tcPr>
          <w:p>
            <w:r/>
            <w:r>
              <w:rPr>
                <w:rFonts w:ascii="Calibri" w:hAnsi="Calibri"/>
                <w:b w:val="0"/>
                <w:color w:val="1F2937"/>
                <w:sz w:val="19"/>
              </w:rPr>
              <w:t>MIDDEN</w:t>
            </w:r>
          </w:p>
        </w:tc>
        <w:tc>
          <w:tcPr>
            <w:tcW w:type="dxa" w:w="1904"/>
          </w:tcPr>
          <w:p>
            <w:r/>
            <w:r>
              <w:rPr>
                <w:rFonts w:ascii="Calibri" w:hAnsi="Calibri"/>
                <w:b w:val="0"/>
                <w:color w:val="1F2937"/>
                <w:sz w:val="19"/>
              </w:rPr>
              <w:t>ONTBREEKT</w:t>
            </w:r>
          </w:p>
        </w:tc>
      </w:tr>
      <w:tr>
        <w:tc>
          <w:tcPr>
            <w:tcW w:type="dxa" w:w="1904"/>
          </w:tcPr>
          <w:p>
            <w:r/>
            <w:r>
              <w:rPr>
                <w:rFonts w:ascii="Calibri" w:hAnsi="Calibri"/>
                <w:b w:val="0"/>
                <w:color w:val="1F2937"/>
                <w:sz w:val="19"/>
              </w:rPr>
              <w:t>R-06</w:t>
            </w:r>
          </w:p>
        </w:tc>
        <w:tc>
          <w:tcPr>
            <w:tcW w:type="dxa" w:w="1904"/>
          </w:tcPr>
          <w:p>
            <w:r/>
            <w:r>
              <w:rPr>
                <w:rFonts w:ascii="Calibri" w:hAnsi="Calibri"/>
                <w:b w:val="0"/>
                <w:color w:val="1F2937"/>
                <w:sz w:val="19"/>
              </w:rPr>
              <w:t>Wettelijk</w:t>
            </w:r>
          </w:p>
        </w:tc>
        <w:tc>
          <w:tcPr>
            <w:tcW w:type="dxa" w:w="1904"/>
          </w:tcPr>
          <w:p>
            <w:r/>
            <w:r>
              <w:rPr>
                <w:rFonts w:ascii="Calibri" w:hAnsi="Calibri"/>
                <w:b w:val="0"/>
                <w:color w:val="1F2937"/>
                <w:sz w:val="19"/>
              </w:rPr>
              <w:t>RI&amp;E/TRA-koppeling ontbreekt</w:t>
            </w:r>
          </w:p>
        </w:tc>
        <w:tc>
          <w:tcPr>
            <w:tcW w:type="dxa" w:w="1904"/>
          </w:tcPr>
          <w:p>
            <w:r/>
            <w:r>
              <w:rPr>
                <w:rFonts w:ascii="Calibri" w:hAnsi="Calibri"/>
                <w:b w:val="0"/>
                <w:color w:val="1F2937"/>
                <w:sz w:val="19"/>
              </w:rPr>
              <w:t>MIDDEN</w:t>
            </w:r>
          </w:p>
        </w:tc>
        <w:tc>
          <w:tcPr>
            <w:tcW w:type="dxa" w:w="1904"/>
          </w:tcPr>
          <w:p>
            <w:r/>
            <w:r>
              <w:rPr>
                <w:rFonts w:ascii="Calibri" w:hAnsi="Calibri"/>
                <w:b w:val="0"/>
                <w:color w:val="1F2937"/>
                <w:sz w:val="19"/>
              </w:rPr>
              <w:t>DEELS</w:t>
            </w:r>
          </w:p>
        </w:tc>
      </w:tr>
      <w:tr>
        <w:tc>
          <w:tcPr>
            <w:tcW w:type="dxa" w:w="1904"/>
          </w:tcPr>
          <w:p>
            <w:r/>
            <w:r>
              <w:rPr>
                <w:rFonts w:ascii="Calibri" w:hAnsi="Calibri"/>
                <w:b w:val="0"/>
                <w:color w:val="1F2937"/>
                <w:sz w:val="19"/>
              </w:rPr>
              <w:t>R-07</w:t>
            </w:r>
          </w:p>
        </w:tc>
        <w:tc>
          <w:tcPr>
            <w:tcW w:type="dxa" w:w="1904"/>
          </w:tcPr>
          <w:p>
            <w:r/>
            <w:r>
              <w:rPr>
                <w:rFonts w:ascii="Calibri" w:hAnsi="Calibri"/>
                <w:b w:val="0"/>
                <w:color w:val="1F2937"/>
                <w:sz w:val="19"/>
              </w:rPr>
              <w:t>Wettelijk</w:t>
            </w:r>
          </w:p>
        </w:tc>
        <w:tc>
          <w:tcPr>
            <w:tcW w:type="dxa" w:w="1904"/>
          </w:tcPr>
          <w:p>
            <w:r/>
            <w:r>
              <w:rPr>
                <w:rFonts w:ascii="Calibri" w:hAnsi="Calibri"/>
                <w:b w:val="0"/>
                <w:color w:val="1F2937"/>
                <w:sz w:val="19"/>
              </w:rPr>
              <w:t>Mijnbouwwet niet uitgewerkt</w:t>
            </w:r>
          </w:p>
        </w:tc>
        <w:tc>
          <w:tcPr>
            <w:tcW w:type="dxa" w:w="1904"/>
          </w:tcPr>
          <w:p>
            <w:r/>
            <w:r>
              <w:rPr>
                <w:rFonts w:ascii="Calibri" w:hAnsi="Calibri"/>
                <w:b w:val="0"/>
                <w:color w:val="1F2937"/>
                <w:sz w:val="19"/>
              </w:rPr>
              <w:t>LAAG</w:t>
            </w:r>
          </w:p>
        </w:tc>
        <w:tc>
          <w:tcPr>
            <w:tcW w:type="dxa" w:w="1904"/>
          </w:tcPr>
          <w:p>
            <w:r/>
            <w:r>
              <w:rPr>
                <w:rFonts w:ascii="Calibri" w:hAnsi="Calibri"/>
                <w:b w:val="0"/>
                <w:color w:val="1F2937"/>
                <w:sz w:val="19"/>
              </w:rPr>
              <w:t>DEELS</w:t>
            </w:r>
          </w:p>
        </w:tc>
      </w:tr>
      <w:tr>
        <w:tc>
          <w:tcPr>
            <w:tcW w:type="dxa" w:w="1904"/>
          </w:tcPr>
          <w:p>
            <w:r/>
            <w:r>
              <w:rPr>
                <w:rFonts w:ascii="Calibri" w:hAnsi="Calibri"/>
                <w:b w:val="0"/>
                <w:color w:val="1F2937"/>
                <w:sz w:val="19"/>
              </w:rPr>
              <w:t>R-08</w:t>
            </w:r>
          </w:p>
        </w:tc>
        <w:tc>
          <w:tcPr>
            <w:tcW w:type="dxa" w:w="1904"/>
          </w:tcPr>
          <w:p>
            <w:r/>
            <w:r>
              <w:rPr>
                <w:rFonts w:ascii="Calibri" w:hAnsi="Calibri"/>
                <w:b w:val="0"/>
                <w:color w:val="1F2937"/>
                <w:sz w:val="19"/>
              </w:rPr>
              <w:t>Wettelijk</w:t>
            </w:r>
          </w:p>
        </w:tc>
        <w:tc>
          <w:tcPr>
            <w:tcW w:type="dxa" w:w="1904"/>
          </w:tcPr>
          <w:p>
            <w:r/>
            <w:r>
              <w:rPr>
                <w:rFonts w:ascii="Calibri" w:hAnsi="Calibri"/>
                <w:b w:val="0"/>
                <w:color w:val="1F2937"/>
                <w:sz w:val="19"/>
              </w:rPr>
              <w:t>Training niet uitgewerkt</w:t>
            </w:r>
          </w:p>
        </w:tc>
        <w:tc>
          <w:tcPr>
            <w:tcW w:type="dxa" w:w="1904"/>
          </w:tcPr>
          <w:p>
            <w:r/>
            <w:r>
              <w:rPr>
                <w:rFonts w:ascii="Calibri" w:hAnsi="Calibri"/>
                <w:b w:val="0"/>
                <w:color w:val="1F2937"/>
                <w:sz w:val="19"/>
              </w:rPr>
              <w:t>MIDDEN</w:t>
            </w:r>
          </w:p>
        </w:tc>
        <w:tc>
          <w:tcPr>
            <w:tcW w:type="dxa" w:w="1904"/>
          </w:tcPr>
          <w:p>
            <w:r/>
            <w:r>
              <w:rPr>
                <w:rFonts w:ascii="Calibri" w:hAnsi="Calibri"/>
                <w:b w:val="0"/>
                <w:color w:val="1F2937"/>
                <w:sz w:val="19"/>
              </w:rPr>
              <w:t>DEELS</w:t>
            </w:r>
          </w:p>
        </w:tc>
      </w:tr>
      <w:tr>
        <w:tc>
          <w:tcPr>
            <w:tcW w:type="dxa" w:w="1904"/>
          </w:tcPr>
          <w:p>
            <w:r/>
            <w:r>
              <w:rPr>
                <w:rFonts w:ascii="Calibri" w:hAnsi="Calibri"/>
                <w:b w:val="0"/>
                <w:color w:val="1F2937"/>
                <w:sz w:val="19"/>
              </w:rPr>
              <w:t>R-09</w:t>
            </w:r>
          </w:p>
        </w:tc>
        <w:tc>
          <w:tcPr>
            <w:tcW w:type="dxa" w:w="1904"/>
          </w:tcPr>
          <w:p>
            <w:r/>
            <w:r>
              <w:rPr>
                <w:rFonts w:ascii="Calibri" w:hAnsi="Calibri"/>
                <w:b w:val="0"/>
                <w:color w:val="1F2937"/>
                <w:sz w:val="19"/>
              </w:rPr>
              <w:t>Technisch</w:t>
            </w:r>
          </w:p>
        </w:tc>
        <w:tc>
          <w:tcPr>
            <w:tcW w:type="dxa" w:w="1904"/>
          </w:tcPr>
          <w:p>
            <w:r/>
            <w:r>
              <w:rPr>
                <w:rFonts w:ascii="Calibri" w:hAnsi="Calibri"/>
                <w:b w:val="0"/>
                <w:color w:val="1F2937"/>
                <w:sz w:val="19"/>
              </w:rPr>
              <w:t>EMVI beperkt tot spill-opschoning</w:t>
            </w:r>
          </w:p>
        </w:tc>
        <w:tc>
          <w:tcPr>
            <w:tcW w:type="dxa" w:w="1904"/>
          </w:tcPr>
          <w:p>
            <w:r/>
            <w:r>
              <w:rPr>
                <w:rFonts w:ascii="Calibri" w:hAnsi="Calibri"/>
                <w:b w:val="0"/>
                <w:color w:val="1F2937"/>
                <w:sz w:val="19"/>
              </w:rPr>
              <w:t>MIDDEN</w:t>
            </w:r>
          </w:p>
        </w:tc>
        <w:tc>
          <w:tcPr>
            <w:tcW w:type="dxa" w:w="1904"/>
          </w:tcPr>
          <w:p>
            <w:r/>
            <w:r>
              <w:rPr>
                <w:rFonts w:ascii="Calibri" w:hAnsi="Calibri"/>
                <w:b w:val="0"/>
                <w:color w:val="1F2937"/>
                <w:sz w:val="19"/>
              </w:rPr>
              <w:t>DEELS</w:t>
            </w:r>
          </w:p>
        </w:tc>
      </w:tr>
      <w:tr>
        <w:tc>
          <w:tcPr>
            <w:tcW w:type="dxa" w:w="1904"/>
          </w:tcPr>
          <w:p>
            <w:r/>
            <w:r>
              <w:rPr>
                <w:rFonts w:ascii="Calibri" w:hAnsi="Calibri"/>
                <w:b w:val="0"/>
                <w:color w:val="1F2937"/>
                <w:sz w:val="19"/>
              </w:rPr>
              <w:t>R-10</w:t>
            </w:r>
          </w:p>
        </w:tc>
        <w:tc>
          <w:tcPr>
            <w:tcW w:type="dxa" w:w="1904"/>
          </w:tcPr>
          <w:p>
            <w:r/>
            <w:r>
              <w:rPr>
                <w:rFonts w:ascii="Calibri" w:hAnsi="Calibri"/>
                <w:b w:val="0"/>
                <w:color w:val="1F2937"/>
                <w:sz w:val="19"/>
              </w:rPr>
              <w:t>Milieu</w:t>
            </w:r>
          </w:p>
        </w:tc>
        <w:tc>
          <w:tcPr>
            <w:tcW w:type="dxa" w:w="1904"/>
          </w:tcPr>
          <w:p>
            <w:r/>
            <w:r>
              <w:rPr>
                <w:rFonts w:ascii="Calibri" w:hAnsi="Calibri"/>
                <w:b w:val="0"/>
                <w:color w:val="1F2937"/>
                <w:sz w:val="19"/>
              </w:rPr>
              <w:t>Verwerkersverificatie/afvaldocumentatie ontbreekt</w:t>
            </w:r>
          </w:p>
        </w:tc>
        <w:tc>
          <w:tcPr>
            <w:tcW w:type="dxa" w:w="1904"/>
          </w:tcPr>
          <w:p>
            <w:r/>
            <w:r>
              <w:rPr>
                <w:rFonts w:ascii="Calibri" w:hAnsi="Calibri"/>
                <w:b w:val="0"/>
                <w:color w:val="1F2937"/>
                <w:sz w:val="19"/>
              </w:rPr>
              <w:t>LAAG</w:t>
            </w:r>
          </w:p>
        </w:tc>
        <w:tc>
          <w:tcPr>
            <w:tcW w:type="dxa" w:w="1904"/>
          </w:tcPr>
          <w:p>
            <w:r/>
            <w:r>
              <w:rPr>
                <w:rFonts w:ascii="Calibri" w:hAnsi="Calibri"/>
                <w:b w:val="0"/>
                <w:color w:val="1F2937"/>
                <w:sz w:val="19"/>
              </w:rPr>
              <w:t>DEELS</w:t>
            </w:r>
          </w:p>
        </w:tc>
      </w:tr>
      <w:tr>
        <w:tc>
          <w:tcPr>
            <w:tcW w:type="dxa" w:w="1904"/>
          </w:tcPr>
          <w:p>
            <w:r/>
            <w:r>
              <w:rPr>
                <w:rFonts w:ascii="Calibri" w:hAnsi="Calibri"/>
                <w:b w:val="0"/>
                <w:color w:val="1F2937"/>
                <w:sz w:val="19"/>
              </w:rPr>
              <w:t>R-11</w:t>
            </w:r>
          </w:p>
        </w:tc>
        <w:tc>
          <w:tcPr>
            <w:tcW w:type="dxa" w:w="1904"/>
          </w:tcPr>
          <w:p>
            <w:r/>
            <w:r>
              <w:rPr>
                <w:rFonts w:ascii="Calibri" w:hAnsi="Calibri"/>
                <w:b w:val="0"/>
                <w:color w:val="1F2937"/>
                <w:sz w:val="19"/>
              </w:rPr>
              <w:t>Technisch</w:t>
            </w:r>
          </w:p>
        </w:tc>
        <w:tc>
          <w:tcPr>
            <w:tcW w:type="dxa" w:w="1904"/>
          </w:tcPr>
          <w:p>
            <w:r/>
            <w:r>
              <w:rPr>
                <w:rFonts w:ascii="Calibri" w:hAnsi="Calibri"/>
                <w:b w:val="0"/>
                <w:color w:val="1F2937"/>
                <w:sz w:val="19"/>
              </w:rPr>
              <w:t>Jerome J405 niet Ex-rated in ATEX-zones</w:t>
            </w:r>
          </w:p>
        </w:tc>
        <w:tc>
          <w:tcPr>
            <w:tcW w:type="dxa" w:w="1904"/>
          </w:tcPr>
          <w:p>
            <w:r/>
            <w:r>
              <w:rPr>
                <w:rFonts w:ascii="Calibri" w:hAnsi="Calibri"/>
                <w:b w:val="0"/>
                <w:color w:val="1F2937"/>
                <w:sz w:val="19"/>
              </w:rPr>
              <w:t>LAAG</w:t>
            </w:r>
          </w:p>
        </w:tc>
        <w:tc>
          <w:tcPr>
            <w:tcW w:type="dxa" w:w="1904"/>
          </w:tcPr>
          <w:p>
            <w:r/>
            <w:r>
              <w:rPr>
                <w:rFonts w:ascii="Calibri" w:hAnsi="Calibri"/>
                <w:b w:val="0"/>
                <w:color w:val="1F2937"/>
                <w:sz w:val="19"/>
              </w:rPr>
              <w:t>DEELS</w:t>
            </w:r>
          </w:p>
        </w:tc>
      </w:tr>
      <w:tr>
        <w:tc>
          <w:tcPr>
            <w:tcW w:type="dxa" w:w="1904"/>
          </w:tcPr>
          <w:p>
            <w:r/>
            <w:r>
              <w:rPr>
                <w:rFonts w:ascii="Calibri" w:hAnsi="Calibri"/>
                <w:b w:val="0"/>
                <w:color w:val="1F2937"/>
                <w:sz w:val="19"/>
              </w:rPr>
              <w:t>R-12</w:t>
            </w:r>
          </w:p>
        </w:tc>
        <w:tc>
          <w:tcPr>
            <w:tcW w:type="dxa" w:w="1904"/>
          </w:tcPr>
          <w:p>
            <w:r/>
            <w:r>
              <w:rPr>
                <w:rFonts w:ascii="Calibri" w:hAnsi="Calibri"/>
                <w:b w:val="0"/>
                <w:color w:val="1F2937"/>
                <w:sz w:val="19"/>
              </w:rPr>
              <w:t>Overig</w:t>
            </w:r>
          </w:p>
        </w:tc>
        <w:tc>
          <w:tcPr>
            <w:tcW w:type="dxa" w:w="1904"/>
          </w:tcPr>
          <w:p>
            <w:r/>
            <w:r>
              <w:rPr>
                <w:rFonts w:ascii="Calibri" w:hAnsi="Calibri"/>
                <w:b w:val="0"/>
                <w:color w:val="1F2937"/>
                <w:sz w:val="19"/>
              </w:rPr>
              <w:t>NOGEPA Standard 86 correct vermeld</w:t>
            </w:r>
          </w:p>
        </w:tc>
        <w:tc>
          <w:tcPr>
            <w:tcW w:type="dxa" w:w="1904"/>
          </w:tcPr>
          <w:p>
            <w:r/>
            <w:r>
              <w:rPr>
                <w:rFonts w:ascii="Calibri" w:hAnsi="Calibri"/>
                <w:b w:val="0"/>
                <w:color w:val="1F2937"/>
                <w:sz w:val="19"/>
              </w:rPr>
              <w:t>—</w:t>
            </w:r>
          </w:p>
        </w:tc>
        <w:tc>
          <w:tcPr>
            <w:tcW w:type="dxa" w:w="1904"/>
          </w:tcPr>
          <w:p>
            <w:r/>
            <w:r>
              <w:rPr>
                <w:rFonts w:ascii="Calibri" w:hAnsi="Calibri"/>
                <w:b w:val="0"/>
                <w:color w:val="1F2937"/>
                <w:sz w:val="19"/>
              </w:rPr>
              <w:t>CONFORM (ingetrokken)</w:t>
            </w:r>
          </w:p>
        </w:tc>
      </w:tr>
    </w:tbl>
    <w:p>
      <w:pPr>
        <w:spacing w:after="40"/>
      </w:pP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Cluster</w:t>
            </w:r>
          </w:p>
        </w:tc>
        <w:tc>
          <w:tcPr>
            <w:tcW w:type="dxa" w:w="2379"/>
            <w:shd w:val="clear" w:color="auto" w:fill="003366"/>
          </w:tcPr>
          <w:p>
            <w:r/>
            <w:r>
              <w:rPr>
                <w:rFonts w:ascii="Calibri" w:hAnsi="Calibri"/>
                <w:b/>
                <w:color w:val="FFFFFF"/>
                <w:sz w:val="19"/>
              </w:rPr>
              <w:t>Conform</w:t>
            </w:r>
          </w:p>
        </w:tc>
        <w:tc>
          <w:tcPr>
            <w:tcW w:type="dxa" w:w="2379"/>
            <w:shd w:val="clear" w:color="auto" w:fill="003366"/>
          </w:tcPr>
          <w:p>
            <w:r/>
            <w:r>
              <w:rPr>
                <w:rFonts w:ascii="Calibri" w:hAnsi="Calibri"/>
                <w:b/>
                <w:color w:val="FFFFFF"/>
                <w:sz w:val="19"/>
              </w:rPr>
              <w:t>Deels</w:t>
            </w:r>
          </w:p>
        </w:tc>
        <w:tc>
          <w:tcPr>
            <w:tcW w:type="dxa" w:w="2379"/>
            <w:shd w:val="clear" w:color="auto" w:fill="003366"/>
          </w:tcPr>
          <w:p>
            <w:r/>
            <w:r>
              <w:rPr>
                <w:rFonts w:ascii="Calibri" w:hAnsi="Calibri"/>
                <w:b/>
                <w:color w:val="FFFFFF"/>
                <w:sz w:val="19"/>
              </w:rPr>
              <w:t>Ontbreekt</w:t>
            </w:r>
          </w:p>
        </w:tc>
      </w:tr>
      <w:tr>
        <w:tc>
          <w:tcPr>
            <w:tcW w:type="dxa" w:w="2379"/>
          </w:tcPr>
          <w:p>
            <w:r/>
            <w:r>
              <w:rPr>
                <w:rFonts w:ascii="Calibri" w:hAnsi="Calibri"/>
                <w:b w:val="0"/>
                <w:color w:val="1F2937"/>
                <w:sz w:val="19"/>
              </w:rPr>
              <w:t>Arbobesluit H4-kern (12 eisen)</w:t>
            </w:r>
          </w:p>
        </w:tc>
        <w:tc>
          <w:tcPr>
            <w:tcW w:type="dxa" w:w="2379"/>
          </w:tcPr>
          <w:p>
            <w:r/>
            <w:r>
              <w:rPr>
                <w:rFonts w:ascii="Calibri" w:hAnsi="Calibri"/>
                <w:b w:val="0"/>
                <w:color w:val="1F2937"/>
                <w:sz w:val="19"/>
              </w:rPr>
              <w:t>5</w:t>
            </w:r>
          </w:p>
        </w:tc>
        <w:tc>
          <w:tcPr>
            <w:tcW w:type="dxa" w:w="2379"/>
          </w:tcPr>
          <w:p>
            <w:r/>
            <w:r>
              <w:rPr>
                <w:rFonts w:ascii="Calibri" w:hAnsi="Calibri"/>
                <w:b w:val="0"/>
                <w:color w:val="1F2937"/>
                <w:sz w:val="19"/>
              </w:rPr>
              <w:t>4</w:t>
            </w:r>
          </w:p>
        </w:tc>
        <w:tc>
          <w:tcPr>
            <w:tcW w:type="dxa" w:w="2379"/>
          </w:tcPr>
          <w:p>
            <w:r/>
            <w:r>
              <w:rPr>
                <w:rFonts w:ascii="Calibri" w:hAnsi="Calibri"/>
                <w:b w:val="0"/>
                <w:color w:val="1F2937"/>
                <w:sz w:val="19"/>
              </w:rPr>
              <w:t>3</w:t>
            </w:r>
          </w:p>
        </w:tc>
      </w:tr>
      <w:tr>
        <w:tc>
          <w:tcPr>
            <w:tcW w:type="dxa" w:w="2379"/>
          </w:tcPr>
          <w:p>
            <w:r/>
            <w:r>
              <w:rPr>
                <w:rFonts w:ascii="Calibri" w:hAnsi="Calibri"/>
                <w:b w:val="0"/>
                <w:color w:val="1F2937"/>
                <w:sz w:val="19"/>
              </w:rPr>
              <w:t>EU-Kwikverordening</w:t>
            </w:r>
          </w:p>
        </w:tc>
        <w:tc>
          <w:tcPr>
            <w:tcW w:type="dxa" w:w="2379"/>
          </w:tcPr>
          <w:p>
            <w:r/>
            <w:r>
              <w:rPr>
                <w:rFonts w:ascii="Calibri" w:hAnsi="Calibri"/>
                <w:b w:val="0"/>
                <w:color w:val="1F2937"/>
                <w:sz w:val="19"/>
              </w:rPr>
              <w:t>2</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1 (verificatie)</w:t>
            </w:r>
          </w:p>
        </w:tc>
      </w:tr>
      <w:tr>
        <w:tc>
          <w:tcPr>
            <w:tcW w:type="dxa" w:w="2379"/>
          </w:tcPr>
          <w:p>
            <w:r/>
            <w:r>
              <w:rPr>
                <w:rFonts w:ascii="Calibri" w:hAnsi="Calibri"/>
                <w:b w:val="0"/>
                <w:color w:val="1F2937"/>
                <w:sz w:val="19"/>
              </w:rPr>
              <w:t>Bal/milieu</w:t>
            </w:r>
          </w:p>
        </w:tc>
        <w:tc>
          <w:tcPr>
            <w:tcW w:type="dxa" w:w="2379"/>
          </w:tcPr>
          <w:p>
            <w:r/>
            <w:r>
              <w:rPr>
                <w:rFonts w:ascii="Calibri" w:hAnsi="Calibri"/>
                <w:b w:val="0"/>
                <w:color w:val="1F2937"/>
                <w:sz w:val="19"/>
              </w:rPr>
              <w:t>0</w:t>
            </w:r>
          </w:p>
        </w:tc>
        <w:tc>
          <w:tcPr>
            <w:tcW w:type="dxa" w:w="2379"/>
          </w:tcPr>
          <w:p>
            <w:r/>
            <w:r>
              <w:rPr>
                <w:rFonts w:ascii="Calibri" w:hAnsi="Calibri"/>
                <w:b w:val="0"/>
                <w:color w:val="1F2937"/>
                <w:sz w:val="19"/>
              </w:rPr>
              <w:t>2</w:t>
            </w:r>
          </w:p>
        </w:tc>
        <w:tc>
          <w:tcPr>
            <w:tcW w:type="dxa" w:w="2379"/>
          </w:tcPr>
          <w:p>
            <w:r/>
            <w:r>
              <w:rPr>
                <w:rFonts w:ascii="Calibri" w:hAnsi="Calibri"/>
                <w:b w:val="0"/>
                <w:color w:val="1F2937"/>
                <w:sz w:val="19"/>
              </w:rPr>
              <w:t>0</w:t>
            </w:r>
          </w:p>
        </w:tc>
      </w:tr>
      <w:tr>
        <w:tc>
          <w:tcPr>
            <w:tcW w:type="dxa" w:w="2379"/>
          </w:tcPr>
          <w:p>
            <w:r/>
            <w:r>
              <w:rPr>
                <w:rFonts w:ascii="Calibri" w:hAnsi="Calibri"/>
                <w:b w:val="0"/>
                <w:color w:val="1F2937"/>
                <w:sz w:val="19"/>
              </w:rPr>
              <w:t>REACH/CLP</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1</w:t>
            </w:r>
          </w:p>
        </w:tc>
      </w:tr>
      <w:tr>
        <w:tc>
          <w:tcPr>
            <w:tcW w:type="dxa" w:w="2379"/>
          </w:tcPr>
          <w:p>
            <w:r/>
            <w:r>
              <w:rPr>
                <w:rFonts w:ascii="Calibri" w:hAnsi="Calibri"/>
                <w:b w:val="0"/>
                <w:color w:val="1F2937"/>
                <w:sz w:val="19"/>
              </w:rPr>
              <w:t>AI-bladen</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1</w:t>
            </w:r>
          </w:p>
        </w:tc>
        <w:tc>
          <w:tcPr>
            <w:tcW w:type="dxa" w:w="2379"/>
          </w:tcPr>
          <w:p>
            <w:r/>
            <w:r>
              <w:rPr>
                <w:rFonts w:ascii="Calibri" w:hAnsi="Calibri"/>
                <w:b w:val="0"/>
                <w:color w:val="1F2937"/>
                <w:sz w:val="19"/>
              </w:rPr>
              <w:t>0</w:t>
            </w:r>
          </w:p>
        </w:tc>
      </w:tr>
    </w:tbl>
    <w:p>
      <w:pPr>
        <w:spacing w:after="40"/>
      </w:pPr>
    </w:p>
    <w:p>
      <w:pPr>
        <w:spacing w:after="120"/>
      </w:pPr>
      <w:r>
        <w:rPr>
          <w:rFonts w:ascii="Calibri" w:hAnsi="Calibri"/>
          <w:b w:val="0"/>
          <w:i w:val="0"/>
          <w:sz w:val="22"/>
        </w:rPr>
        <w:t>De volledige conformiteitsmatrix (34 regels) is opgenomen in Conformiteitsmatrix_Kwik_v1.0.xlsx.</w:t>
      </w:r>
    </w:p>
    <w:p>
      <w:pPr>
        <w:pStyle w:val="Heading1"/>
      </w:pPr>
      <w:r>
        <w:t>5. Positieve bevindingen</w:t>
      </w:r>
    </w:p>
    <w:p>
      <w:pPr>
        <w:pStyle w:val="ListNumber"/>
        <w:spacing w:after="60"/>
      </w:pPr>
      <w:r>
        <w:t>Grenswaarde 0,02 mg/m³ en afwezigheid STEL correct verwoord.</w:t>
      </w:r>
    </w:p>
    <w:p>
      <w:pPr>
        <w:pStyle w:val="ListNumber"/>
        <w:spacing w:after="60"/>
      </w:pPr>
      <w:r>
        <w:t>Meetstrategie met frequenties per activiteit, extra metingen bij +5°C/hot work/scopewijziging.</w:t>
      </w:r>
    </w:p>
    <w:p>
      <w:pPr>
        <w:pStyle w:val="ListNumber"/>
        <w:spacing w:after="60"/>
      </w:pPr>
      <w:r>
        <w:t>RPE-bandindeling Annex II inclusief filterbeperkingen en rotatieschema’s.</w:t>
      </w:r>
    </w:p>
    <w:p>
      <w:pPr>
        <w:pStyle w:val="ListNumber"/>
        <w:spacing w:after="60"/>
      </w:pPr>
      <w:r>
        <w:t>Volledige OH-hiërarchie (bron→collectief→individueel→PBM).</w:t>
      </w:r>
    </w:p>
    <w:p>
      <w:pPr>
        <w:pStyle w:val="ListNumber"/>
        <w:spacing w:after="60"/>
      </w:pPr>
      <w:r>
        <w:t>Herbesmettingsbewustzijn (corrosielagen, ‘schoon ≠ kwikvrij’).</w:t>
      </w:r>
    </w:p>
    <w:p>
      <w:pPr>
        <w:pStyle w:val="ListNumber"/>
        <w:spacing w:after="60"/>
      </w:pPr>
      <w:r>
        <w:t>Eural 3%-drempel correct.</w:t>
      </w:r>
    </w:p>
    <w:p>
      <w:pPr>
        <w:pStyle w:val="ListNumber"/>
        <w:spacing w:after="60"/>
      </w:pPr>
      <w:r>
        <w:t>Verpakkingsinstructies boven branchestandaard.</w:t>
      </w:r>
    </w:p>
    <w:p>
      <w:pPr>
        <w:pStyle w:val="ListNumber"/>
        <w:spacing w:after="60"/>
      </w:pPr>
      <w:r>
        <w:t>LSA/Mercury/Benzene Statement Card voor transport.</w:t>
      </w:r>
    </w:p>
    <w:p>
      <w:pPr>
        <w:pStyle w:val="Heading1"/>
      </w:pPr>
      <w:r>
        <w:t>6. Beperkingen en verificatiepunten</w:t>
      </w:r>
    </w:p>
    <w:p>
      <w:pPr>
        <w:spacing w:after="120"/>
      </w:pPr>
      <w:r>
        <w:rPr>
          <w:rFonts w:ascii="Calibri" w:hAnsi="Calibri"/>
          <w:b w:val="0"/>
          <w:i w:val="0"/>
          <w:sz w:val="22"/>
        </w:rPr>
        <w:t>Deze audit is document-based: uitvoering, certificaten, kalibratie van meetapparatuur, registraties en locatiecondities zijn niet beoordeeld. Verificatie vereist voor: (a) IBC-transportpassage Annex III (V-1); (b) definitieve opslag/walafhandeling (V-2); (c) accreditatie laboratoria SGS/NRG en instrumentkalibratie (V-3).</w:t>
      </w:r>
    </w:p>
    <w:p>
      <w:pPr>
        <w:pStyle w:val="Heading1"/>
      </w:pPr>
      <w:r>
        <w:t>7. Conclusie en aanbeveling</w:t>
      </w:r>
    </w:p>
    <w:p>
      <w:pPr>
        <w:spacing w:after="120"/>
      </w:pPr>
      <w:r>
        <w:rPr>
          <w:rFonts w:ascii="Calibri" w:hAnsi="Calibri"/>
          <w:b w:val="0"/>
          <w:i w:val="0"/>
          <w:sz w:val="22"/>
        </w:rPr>
        <w:t>De procedure is een goede basis; herziening vereist op R-01 t/m R-03 vóór inzet bij het Wintershall-decommissioningproject; R-04 t/m R-09 aanbevolen in dezelfde herzieningsronde. Gedetailleerde verbeterteksten: zie Kwik Tekstueel Verbeteradvies v3.0 en Herzieningsvoorstel 003.057 v2.1.</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Prioriteit</w:t>
            </w:r>
          </w:p>
        </w:tc>
        <w:tc>
          <w:tcPr>
            <w:tcW w:type="dxa" w:w="3173"/>
            <w:shd w:val="clear" w:color="auto" w:fill="003366"/>
          </w:tcPr>
          <w:p>
            <w:r/>
            <w:r>
              <w:rPr>
                <w:rFonts w:ascii="Calibri" w:hAnsi="Calibri"/>
                <w:b/>
                <w:color w:val="FFFFFF"/>
                <w:sz w:val="19"/>
              </w:rPr>
              <w:t>Bevindingen</w:t>
            </w:r>
          </w:p>
        </w:tc>
        <w:tc>
          <w:tcPr>
            <w:tcW w:type="dxa" w:w="3173"/>
            <w:shd w:val="clear" w:color="auto" w:fill="003366"/>
          </w:tcPr>
          <w:p>
            <w:r/>
            <w:r>
              <w:rPr>
                <w:rFonts w:ascii="Calibri" w:hAnsi="Calibri"/>
                <w:b/>
                <w:color w:val="FFFFFF"/>
                <w:sz w:val="19"/>
              </w:rPr>
              <w:t>Actie</w:t>
            </w:r>
          </w:p>
        </w:tc>
      </w:tr>
      <w:tr>
        <w:tc>
          <w:tcPr>
            <w:tcW w:type="dxa" w:w="3173"/>
          </w:tcPr>
          <w:p>
            <w:r/>
            <w:r>
              <w:rPr>
                <w:rFonts w:ascii="Calibri" w:hAnsi="Calibri"/>
                <w:b w:val="0"/>
                <w:color w:val="1F2937"/>
                <w:sz w:val="19"/>
              </w:rPr>
              <w:t>HOOG</w:t>
            </w:r>
          </w:p>
        </w:tc>
        <w:tc>
          <w:tcPr>
            <w:tcW w:type="dxa" w:w="3173"/>
          </w:tcPr>
          <w:p>
            <w:r/>
            <w:r>
              <w:rPr>
                <w:rFonts w:ascii="Calibri" w:hAnsi="Calibri"/>
                <w:b w:val="0"/>
                <w:color w:val="1F2937"/>
                <w:sz w:val="19"/>
              </w:rPr>
              <w:t>R-01, R-02, R-03</w:t>
            </w:r>
          </w:p>
        </w:tc>
        <w:tc>
          <w:tcPr>
            <w:tcW w:type="dxa" w:w="3173"/>
          </w:tcPr>
          <w:p>
            <w:r/>
            <w:r>
              <w:rPr>
                <w:rFonts w:ascii="Calibri" w:hAnsi="Calibri"/>
                <w:b w:val="0"/>
                <w:color w:val="1F2937"/>
                <w:sz w:val="19"/>
              </w:rPr>
              <w:t>Herzien vóór projectuitvoering (spoedrevisie Rev 2)</w:t>
            </w:r>
          </w:p>
        </w:tc>
      </w:tr>
      <w:tr>
        <w:tc>
          <w:tcPr>
            <w:tcW w:type="dxa" w:w="3173"/>
          </w:tcPr>
          <w:p>
            <w:r/>
            <w:r>
              <w:rPr>
                <w:rFonts w:ascii="Calibri" w:hAnsi="Calibri"/>
                <w:b w:val="0"/>
                <w:color w:val="1F2937"/>
                <w:sz w:val="19"/>
              </w:rPr>
              <w:t>MIDDEN</w:t>
            </w:r>
          </w:p>
        </w:tc>
        <w:tc>
          <w:tcPr>
            <w:tcW w:type="dxa" w:w="3173"/>
          </w:tcPr>
          <w:p>
            <w:r/>
            <w:r>
              <w:rPr>
                <w:rFonts w:ascii="Calibri" w:hAnsi="Calibri"/>
                <w:b w:val="0"/>
                <w:color w:val="1F2937"/>
                <w:sz w:val="19"/>
              </w:rPr>
              <w:t>R-04, R-05, R-06, R-08, R-09</w:t>
            </w:r>
          </w:p>
        </w:tc>
        <w:tc>
          <w:tcPr>
            <w:tcW w:type="dxa" w:w="3173"/>
          </w:tcPr>
          <w:p>
            <w:r/>
            <w:r>
              <w:rPr>
                <w:rFonts w:ascii="Calibri" w:hAnsi="Calibri"/>
                <w:b w:val="0"/>
                <w:color w:val="1F2937"/>
                <w:sz w:val="19"/>
              </w:rPr>
              <w:t>Opnemen in eerstvolgende herzieningsronde</w:t>
            </w:r>
          </w:p>
        </w:tc>
      </w:tr>
      <w:tr>
        <w:tc>
          <w:tcPr>
            <w:tcW w:type="dxa" w:w="3173"/>
          </w:tcPr>
          <w:p>
            <w:r/>
            <w:r>
              <w:rPr>
                <w:rFonts w:ascii="Calibri" w:hAnsi="Calibri"/>
                <w:b w:val="0"/>
                <w:color w:val="1F2937"/>
                <w:sz w:val="19"/>
              </w:rPr>
              <w:t>LAAG</w:t>
            </w:r>
          </w:p>
        </w:tc>
        <w:tc>
          <w:tcPr>
            <w:tcW w:type="dxa" w:w="3173"/>
          </w:tcPr>
          <w:p>
            <w:r/>
            <w:r>
              <w:rPr>
                <w:rFonts w:ascii="Calibri" w:hAnsi="Calibri"/>
                <w:b w:val="0"/>
                <w:color w:val="1F2937"/>
                <w:sz w:val="19"/>
              </w:rPr>
              <w:t>R-07, R-10, R-11</w:t>
            </w:r>
          </w:p>
        </w:tc>
        <w:tc>
          <w:tcPr>
            <w:tcW w:type="dxa" w:w="3173"/>
          </w:tcPr>
          <w:p>
            <w:r/>
            <w:r>
              <w:rPr>
                <w:rFonts w:ascii="Calibri" w:hAnsi="Calibri"/>
                <w:b w:val="0"/>
                <w:color w:val="1F2937"/>
                <w:sz w:val="19"/>
              </w:rPr>
              <w:t>Best practice-aanbevelingen</w:t>
            </w:r>
          </w:p>
        </w:tc>
      </w:tr>
    </w:tbl>
    <w:p>
      <w:pPr>
        <w:spacing w:after="40"/>
      </w:pPr>
    </w:p>
    <w:p>
      <w:pPr>
        <w:spacing w:after="80"/>
      </w:pPr>
      <w:r>
        <w:rPr>
          <w:rFonts w:ascii="Calibri" w:hAnsi="Calibri"/>
          <w:b w:val="0"/>
          <w:i/>
          <w:sz w:val="19"/>
        </w:rPr>
        <w:t>Bronnen: Koole 003.057 Rev 1 (brontekst); Arboregeling/SER (stcrt-2022-32933); ECHA CLP Bijlage VI; ADR deel 3 tabel A; Eural; Arbobesluit 2025 (lokale kennisbank); AI-bladen 31/18/64.</w:t>
      </w:r>
    </w:p>
    <w:p>
      <w:pPr>
        <w:pStyle w:val="Heading1"/>
      </w:pPr>
      <w:r>
        <w:t>8. Versiehistorie en Reviewverwerking (v2.0 → v3.0)</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Versie</w:t>
            </w:r>
          </w:p>
        </w:tc>
        <w:tc>
          <w:tcPr>
            <w:tcW w:type="dxa" w:w="2379"/>
            <w:shd w:val="clear" w:color="auto" w:fill="003366"/>
          </w:tcPr>
          <w:p>
            <w:r/>
            <w:r>
              <w:rPr>
                <w:rFonts w:ascii="Calibri" w:hAnsi="Calibri"/>
                <w:b/>
                <w:color w:val="FFFFFF"/>
                <w:sz w:val="19"/>
              </w:rPr>
              <w:t>Datum</w:t>
            </w:r>
          </w:p>
        </w:tc>
        <w:tc>
          <w:tcPr>
            <w:tcW w:type="dxa" w:w="2379"/>
            <w:shd w:val="clear" w:color="auto" w:fill="003366"/>
          </w:tcPr>
          <w:p>
            <w:r/>
            <w:r>
              <w:rPr>
                <w:rFonts w:ascii="Calibri" w:hAnsi="Calibri"/>
                <w:b/>
                <w:color w:val="FFFFFF"/>
                <w:sz w:val="19"/>
              </w:rPr>
              <w:t>Wijziging</w:t>
            </w:r>
          </w:p>
        </w:tc>
        <w:tc>
          <w:tcPr>
            <w:tcW w:type="dxa" w:w="2379"/>
            <w:shd w:val="clear" w:color="auto" w:fill="003366"/>
          </w:tcPr>
          <w:p>
            <w:r/>
            <w:r>
              <w:rPr>
                <w:rFonts w:ascii="Calibri" w:hAnsi="Calibri"/>
                <w:b/>
                <w:color w:val="FFFFFF"/>
                <w:sz w:val="19"/>
              </w:rPr>
              <w:t>Aanleiding</w:t>
            </w:r>
          </w:p>
        </w:tc>
      </w:tr>
      <w:tr>
        <w:tc>
          <w:tcPr>
            <w:tcW w:type="dxa" w:w="2379"/>
          </w:tcPr>
          <w:p>
            <w:r/>
            <w:r>
              <w:rPr>
                <w:rFonts w:ascii="Calibri" w:hAnsi="Calibri"/>
                <w:b w:val="0"/>
                <w:color w:val="1F2937"/>
                <w:sz w:val="19"/>
              </w:rPr>
              <w:t>v1.0</w:t>
            </w:r>
          </w:p>
        </w:tc>
        <w:tc>
          <w:tcPr>
            <w:tcW w:type="dxa" w:w="2379"/>
          </w:tcPr>
          <w:p>
            <w:r/>
            <w:r>
              <w:rPr>
                <w:rFonts w:ascii="Calibri" w:hAnsi="Calibri"/>
                <w:b w:val="0"/>
                <w:color w:val="1F2937"/>
                <w:sz w:val="19"/>
              </w:rPr>
              <w:t>24-08-2026</w:t>
            </w:r>
          </w:p>
        </w:tc>
        <w:tc>
          <w:tcPr>
            <w:tcW w:type="dxa" w:w="2379"/>
          </w:tcPr>
          <w:p>
            <w:r/>
            <w:r>
              <w:rPr>
                <w:rFonts w:ascii="Calibri" w:hAnsi="Calibri"/>
                <w:b w:val="0"/>
                <w:color w:val="1F2937"/>
                <w:sz w:val="19"/>
              </w:rPr>
              <w:t>Initiële document-based audit op referentiekader (brondocument nog niet beschikbaar)</w:t>
            </w:r>
          </w:p>
        </w:tc>
        <w:tc>
          <w:tcPr>
            <w:tcW w:type="dxa" w:w="2379"/>
          </w:tcPr>
          <w:p>
            <w:r/>
            <w:r>
              <w:rPr>
                <w:rFonts w:ascii="Calibri" w:hAnsi="Calibri"/>
                <w:b w:val="0"/>
                <w:color w:val="1F2937"/>
                <w:sz w:val="19"/>
              </w:rPr>
              <w:t>Fase 1</w:t>
            </w:r>
          </w:p>
        </w:tc>
      </w:tr>
      <w:tr>
        <w:tc>
          <w:tcPr>
            <w:tcW w:type="dxa" w:w="2379"/>
          </w:tcPr>
          <w:p>
            <w:r/>
            <w:r>
              <w:rPr>
                <w:rFonts w:ascii="Calibri" w:hAnsi="Calibri"/>
                <w:b w:val="0"/>
                <w:color w:val="1F2937"/>
                <w:sz w:val="19"/>
              </w:rPr>
              <w:t>v2.0</w:t>
            </w:r>
          </w:p>
        </w:tc>
        <w:tc>
          <w:tcPr>
            <w:tcW w:type="dxa" w:w="2379"/>
          </w:tcPr>
          <w:p>
            <w:r/>
            <w:r>
              <w:rPr>
                <w:rFonts w:ascii="Calibri" w:hAnsi="Calibri"/>
                <w:b w:val="0"/>
                <w:color w:val="1F2937"/>
                <w:sz w:val="19"/>
              </w:rPr>
              <w:t>24-08-2026</w:t>
            </w:r>
          </w:p>
        </w:tc>
        <w:tc>
          <w:tcPr>
            <w:tcW w:type="dxa" w:w="2379"/>
          </w:tcPr>
          <w:p>
            <w:r/>
            <w:r>
              <w:rPr>
                <w:rFonts w:ascii="Calibri" w:hAnsi="Calibri"/>
                <w:b w:val="0"/>
                <w:color w:val="1F2937"/>
                <w:sz w:val="19"/>
              </w:rPr>
              <w:t>Volledige herziening op integrale brontekst; bevindingen R-01 t/m R-12; verificatie kernfeiten</w:t>
            </w:r>
          </w:p>
        </w:tc>
        <w:tc>
          <w:tcPr>
            <w:tcW w:type="dxa" w:w="2379"/>
          </w:tcPr>
          <w:p>
            <w:r/>
            <w:r>
              <w:rPr>
                <w:rFonts w:ascii="Calibri" w:hAnsi="Calibri"/>
                <w:b w:val="0"/>
                <w:color w:val="1F2937"/>
                <w:sz w:val="19"/>
              </w:rPr>
              <w:t>Beschikbaarstelling koole_003_057.txt</w:t>
            </w:r>
          </w:p>
        </w:tc>
      </w:tr>
      <w:tr>
        <w:tc>
          <w:tcPr>
            <w:tcW w:type="dxa" w:w="2379"/>
          </w:tcPr>
          <w:p>
            <w:r/>
            <w:r>
              <w:rPr>
                <w:rFonts w:ascii="Calibri" w:hAnsi="Calibri"/>
                <w:b w:val="0"/>
                <w:color w:val="1F2937"/>
                <w:sz w:val="19"/>
              </w:rPr>
              <w:t>v2.1</w:t>
            </w:r>
          </w:p>
        </w:tc>
        <w:tc>
          <w:tcPr>
            <w:tcW w:type="dxa" w:w="2379"/>
          </w:tcPr>
          <w:p>
            <w:r/>
            <w:r>
              <w:rPr>
                <w:rFonts w:ascii="Calibri" w:hAnsi="Calibri"/>
                <w:b w:val="0"/>
                <w:color w:val="1F2937"/>
                <w:sz w:val="19"/>
              </w:rPr>
              <w:t>24-08-2026</w:t>
            </w:r>
          </w:p>
        </w:tc>
        <w:tc>
          <w:tcPr>
            <w:tcW w:type="dxa" w:w="2379"/>
          </w:tcPr>
          <w:p>
            <w:r/>
            <w:r>
              <w:rPr>
                <w:rFonts w:ascii="Calibri" w:hAnsi="Calibri"/>
                <w:b w:val="0"/>
                <w:color w:val="1F2937"/>
                <w:sz w:val="19"/>
              </w:rPr>
              <w:t>DOCX-uitgave + Herzieningsvoorstel v2.1</w:t>
            </w:r>
          </w:p>
        </w:tc>
        <w:tc>
          <w:tcPr>
            <w:tcW w:type="dxa" w:w="2379"/>
          </w:tcPr>
          <w:p>
            <w:r/>
            <w:r>
              <w:rPr>
                <w:rFonts w:ascii="Calibri" w:hAnsi="Calibri"/>
                <w:b w:val="0"/>
                <w:color w:val="1F2937"/>
                <w:sz w:val="19"/>
              </w:rPr>
              <w:t>Oplevering klant</w:t>
            </w:r>
          </w:p>
        </w:tc>
      </w:tr>
      <w:tr>
        <w:tc>
          <w:tcPr>
            <w:tcW w:type="dxa" w:w="2379"/>
          </w:tcPr>
          <w:p>
            <w:r/>
            <w:r>
              <w:rPr>
                <w:rFonts w:ascii="Calibri" w:hAnsi="Calibri"/>
                <w:b w:val="0"/>
                <w:color w:val="1F2937"/>
                <w:sz w:val="19"/>
              </w:rPr>
              <w:t>v3.0</w:t>
            </w:r>
          </w:p>
        </w:tc>
        <w:tc>
          <w:tcPr>
            <w:tcW w:type="dxa" w:w="2379"/>
          </w:tcPr>
          <w:p>
            <w:r/>
            <w:r>
              <w:rPr>
                <w:rFonts w:ascii="Calibri" w:hAnsi="Calibri"/>
                <w:b w:val="0"/>
                <w:color w:val="1F2937"/>
                <w:sz w:val="19"/>
              </w:rPr>
              <w:t>24-08-2026</w:t>
            </w:r>
          </w:p>
        </w:tc>
        <w:tc>
          <w:tcPr>
            <w:tcW w:type="dxa" w:w="2379"/>
          </w:tcPr>
          <w:p>
            <w:r/>
            <w:r>
              <w:rPr>
                <w:rFonts w:ascii="Calibri" w:hAnsi="Calibri"/>
                <w:b w:val="0"/>
                <w:color w:val="1F2937"/>
                <w:sz w:val="19"/>
              </w:rPr>
              <w:t>Reviewverwerking (hseq_specialist review), juridische verdieping per artikel, TierVerify-log, consistentietoets met 003.056/003.059</w:t>
            </w:r>
          </w:p>
        </w:tc>
        <w:tc>
          <w:tcPr>
            <w:tcW w:type="dxa" w:w="2379"/>
          </w:tcPr>
          <w:p>
            <w:r/>
            <w:r>
              <w:rPr>
                <w:rFonts w:ascii="Calibri" w:hAnsi="Calibri"/>
                <w:b w:val="0"/>
                <w:color w:val="1F2937"/>
                <w:sz w:val="19"/>
              </w:rPr>
              <w:t>Golden Standard-upgrade</w:t>
            </w:r>
          </w:p>
        </w:tc>
      </w:tr>
    </w:tbl>
    <w:p>
      <w:pPr>
        <w:spacing w:after="40"/>
      </w:pPr>
    </w:p>
    <w:p>
      <w:pPr>
        <w:pStyle w:val="Heading2"/>
      </w:pPr>
      <w:r>
        <w:t>8.1 Verwerkte reviewcommentaren</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w:t>
            </w:r>
          </w:p>
        </w:tc>
        <w:tc>
          <w:tcPr>
            <w:tcW w:type="dxa" w:w="3173"/>
            <w:shd w:val="clear" w:color="auto" w:fill="003366"/>
          </w:tcPr>
          <w:p>
            <w:r/>
            <w:r>
              <w:rPr>
                <w:rFonts w:ascii="Calibri" w:hAnsi="Calibri"/>
                <w:b/>
                <w:color w:val="FFFFFF"/>
                <w:sz w:val="19"/>
              </w:rPr>
              <w:t>Commentaar reviewer</w:t>
            </w:r>
          </w:p>
        </w:tc>
        <w:tc>
          <w:tcPr>
            <w:tcW w:type="dxa" w:w="3173"/>
            <w:shd w:val="clear" w:color="auto" w:fill="003366"/>
          </w:tcPr>
          <w:p>
            <w:r/>
            <w:r>
              <w:rPr>
                <w:rFonts w:ascii="Calibri" w:hAnsi="Calibri"/>
                <w:b/>
                <w:color w:val="FFFFFF"/>
                <w:sz w:val="19"/>
              </w:rPr>
              <w:t>Verwerking in v3.0</w:t>
            </w:r>
          </w:p>
        </w:tc>
      </w:tr>
      <w:tr>
        <w:tc>
          <w:tcPr>
            <w:tcW w:type="dxa" w:w="3173"/>
          </w:tcPr>
          <w:p>
            <w:r/>
            <w:r>
              <w:rPr>
                <w:rFonts w:ascii="Calibri" w:hAnsi="Calibri"/>
                <w:b w:val="0"/>
                <w:color w:val="1F2937"/>
                <w:sz w:val="19"/>
              </w:rPr>
              <w:t>1</w:t>
            </w:r>
          </w:p>
        </w:tc>
        <w:tc>
          <w:tcPr>
            <w:tcW w:type="dxa" w:w="3173"/>
          </w:tcPr>
          <w:p>
            <w:r/>
            <w:r>
              <w:rPr>
                <w:rFonts w:ascii="Calibri" w:hAnsi="Calibri"/>
                <w:b w:val="0"/>
                <w:color w:val="1F2937"/>
                <w:sz w:val="19"/>
              </w:rPr>
              <w:t>R-12 (NOGEPA) feitelijk onjuist geformuleerd in v1.0</w:t>
            </w:r>
          </w:p>
        </w:tc>
        <w:tc>
          <w:tcPr>
            <w:tcW w:type="dxa" w:w="3173"/>
          </w:tcPr>
          <w:p>
            <w:r/>
            <w:r>
              <w:rPr>
                <w:rFonts w:ascii="Calibri" w:hAnsi="Calibri"/>
                <w:b w:val="0"/>
                <w:color w:val="1F2937"/>
                <w:sz w:val="19"/>
              </w:rPr>
              <w:t>R-12 ingetrokken; NOGEPA Standard 86 correct vermeld (zie §3.4)</w:t>
            </w:r>
          </w:p>
        </w:tc>
      </w:tr>
      <w:tr>
        <w:tc>
          <w:tcPr>
            <w:tcW w:type="dxa" w:w="3173"/>
          </w:tcPr>
          <w:p>
            <w:r/>
            <w:r>
              <w:rPr>
                <w:rFonts w:ascii="Calibri" w:hAnsi="Calibri"/>
                <w:b w:val="0"/>
                <w:color w:val="1F2937"/>
                <w:sz w:val="19"/>
              </w:rPr>
              <w:t>2</w:t>
            </w:r>
          </w:p>
        </w:tc>
        <w:tc>
          <w:tcPr>
            <w:tcW w:type="dxa" w:w="3173"/>
          </w:tcPr>
          <w:p>
            <w:r/>
            <w:r>
              <w:rPr>
                <w:rFonts w:ascii="Calibri" w:hAnsi="Calibri"/>
                <w:b w:val="0"/>
                <w:color w:val="1F2937"/>
                <w:sz w:val="19"/>
              </w:rPr>
              <w:t>Clusterpercentages onvoldoende onderbouwd</w:t>
            </w:r>
          </w:p>
        </w:tc>
        <w:tc>
          <w:tcPr>
            <w:tcW w:type="dxa" w:w="3173"/>
          </w:tcPr>
          <w:p>
            <w:r/>
            <w:r>
              <w:rPr>
                <w:rFonts w:ascii="Calibri" w:hAnsi="Calibri"/>
                <w:b w:val="0"/>
                <w:color w:val="1F2937"/>
                <w:sz w:val="19"/>
              </w:rPr>
              <w:t>Statistiek herleidbaar gemaakt naar de 34-regels conformiteitsmatrix</w:t>
            </w:r>
          </w:p>
        </w:tc>
      </w:tr>
      <w:tr>
        <w:tc>
          <w:tcPr>
            <w:tcW w:type="dxa" w:w="3173"/>
          </w:tcPr>
          <w:p>
            <w:r/>
            <w:r>
              <w:rPr>
                <w:rFonts w:ascii="Calibri" w:hAnsi="Calibri"/>
                <w:b w:val="0"/>
                <w:color w:val="1F2937"/>
                <w:sz w:val="19"/>
              </w:rPr>
              <w:t>3</w:t>
            </w:r>
          </w:p>
        </w:tc>
        <w:tc>
          <w:tcPr>
            <w:tcW w:type="dxa" w:w="3173"/>
          </w:tcPr>
          <w:p>
            <w:r/>
            <w:r>
              <w:rPr>
                <w:rFonts w:ascii="Calibri" w:hAnsi="Calibri"/>
                <w:b w:val="0"/>
                <w:color w:val="1F2937"/>
                <w:sz w:val="19"/>
              </w:rPr>
              <w:t>ADR-interpretatie Annex III te stellig</w:t>
            </w:r>
          </w:p>
        </w:tc>
        <w:tc>
          <w:tcPr>
            <w:tcW w:type="dxa" w:w="3173"/>
          </w:tcPr>
          <w:p>
            <w:r/>
            <w:r>
              <w:rPr>
                <w:rFonts w:ascii="Calibri" w:hAnsi="Calibri"/>
                <w:b w:val="0"/>
                <w:color w:val="1F2937"/>
                <w:sz w:val="19"/>
              </w:rPr>
              <w:t>Status gewijzigd in ‘verificatie vereist’ (V-1) met expliciete nuancering spoelwater-scenario</w:t>
            </w:r>
          </w:p>
        </w:tc>
      </w:tr>
      <w:tr>
        <w:tc>
          <w:tcPr>
            <w:tcW w:type="dxa" w:w="3173"/>
          </w:tcPr>
          <w:p>
            <w:r/>
            <w:r>
              <w:rPr>
                <w:rFonts w:ascii="Calibri" w:hAnsi="Calibri"/>
                <w:b w:val="0"/>
                <w:color w:val="1F2937"/>
                <w:sz w:val="19"/>
              </w:rPr>
              <w:t>4</w:t>
            </w:r>
          </w:p>
        </w:tc>
        <w:tc>
          <w:tcPr>
            <w:tcW w:type="dxa" w:w="3173"/>
          </w:tcPr>
          <w:p>
            <w:r/>
            <w:r>
              <w:rPr>
                <w:rFonts w:ascii="Calibri" w:hAnsi="Calibri"/>
                <w:b w:val="0"/>
                <w:color w:val="1F2937"/>
                <w:sz w:val="19"/>
              </w:rPr>
              <w:t>Ontbreken juridische artikelsgewijze onderbouwing</w:t>
            </w:r>
          </w:p>
        </w:tc>
        <w:tc>
          <w:tcPr>
            <w:tcW w:type="dxa" w:w="3173"/>
          </w:tcPr>
          <w:p>
            <w:r/>
            <w:r>
              <w:rPr>
                <w:rFonts w:ascii="Calibri" w:hAnsi="Calibri"/>
                <w:b w:val="0"/>
                <w:color w:val="1F2937"/>
                <w:sz w:val="19"/>
              </w:rPr>
              <w:t>Hoofdstuk 9 toegevoegd: artikelsgewijze toets</w:t>
            </w:r>
          </w:p>
        </w:tc>
      </w:tr>
      <w:tr>
        <w:tc>
          <w:tcPr>
            <w:tcW w:type="dxa" w:w="3173"/>
          </w:tcPr>
          <w:p>
            <w:r/>
            <w:r>
              <w:rPr>
                <w:rFonts w:ascii="Calibri" w:hAnsi="Calibri"/>
                <w:b w:val="0"/>
                <w:color w:val="1F2937"/>
                <w:sz w:val="19"/>
              </w:rPr>
              <w:t>5</w:t>
            </w:r>
          </w:p>
        </w:tc>
        <w:tc>
          <w:tcPr>
            <w:tcW w:type="dxa" w:w="3173"/>
          </w:tcPr>
          <w:p>
            <w:r/>
            <w:r>
              <w:rPr>
                <w:rFonts w:ascii="Calibri" w:hAnsi="Calibri"/>
                <w:b w:val="0"/>
                <w:color w:val="1F2937"/>
                <w:sz w:val="19"/>
              </w:rPr>
              <w:t>Geen vergelijking met zusterprocedures</w:t>
            </w:r>
          </w:p>
        </w:tc>
        <w:tc>
          <w:tcPr>
            <w:tcW w:type="dxa" w:w="3173"/>
          </w:tcPr>
          <w:p>
            <w:r/>
            <w:r>
              <w:rPr>
                <w:rFonts w:ascii="Calibri" w:hAnsi="Calibri"/>
                <w:b w:val="0"/>
                <w:color w:val="1F2937"/>
                <w:sz w:val="19"/>
              </w:rPr>
              <w:t>Overlap-analyse 003.056/003.059 toegevoegd (§10)</w:t>
            </w:r>
          </w:p>
        </w:tc>
      </w:tr>
    </w:tbl>
    <w:p>
      <w:pPr>
        <w:spacing w:after="40"/>
      </w:pPr>
    </w:p>
    <w:p>
      <w:pPr>
        <w:pStyle w:val="Heading1"/>
      </w:pPr>
      <w:r>
        <w:t>9. Juridische verdieping — artikelsgewijze toets</w:t>
      </w:r>
    </w:p>
    <w:p>
      <w:pPr>
        <w:pStyle w:val="Heading2"/>
      </w:pPr>
      <w:r>
        <w:t>9.1 Arbobesluit art. 4.10a — arbeidsgezondheidskundig onderzoek</w:t>
      </w:r>
    </w:p>
    <w:p>
      <w:pPr>
        <w:spacing w:after="120"/>
      </w:pPr>
      <w:r>
        <w:rPr>
          <w:rFonts w:ascii="Calibri" w:hAnsi="Calibri"/>
          <w:b w:val="0"/>
          <w:i w:val="0"/>
          <w:sz w:val="22"/>
        </w:rPr>
        <w:t>Lid 1: werknemers die worden of kunnen worden blootgesteld aan kwikdamp (Repr. 1B) hebben recht op aanbod van arbeidsgezondheidskundig onderzoek, zo mogelijk vóór aanvang van de blootstelling en daarna periodiek. Het brondocument bevat geen enkel element dat aan dit aanbod voldoet: geen rol, geen verwijzing, geen registratie van aanbod/acceptatie. Status: OVERTREDING bij uitvoering zonder aanbod. Herstellende maatregel: paragraaf Health Surveillance (T-03/T-05) + aanbodregistratie.</w:t>
      </w:r>
    </w:p>
    <w:p>
      <w:pPr>
        <w:pStyle w:val="Heading2"/>
      </w:pPr>
      <w:r>
        <w:t>9.2 Arbobesluit art. 4.15 — blootstellingsregister</w:t>
      </w:r>
    </w:p>
    <w:p>
      <w:pPr>
        <w:spacing w:after="120"/>
      </w:pPr>
      <w:r>
        <w:rPr>
          <w:rFonts w:ascii="Calibri" w:hAnsi="Calibri"/>
          <w:b w:val="0"/>
          <w:i w:val="0"/>
          <w:sz w:val="22"/>
        </w:rPr>
        <w:t>Verplicht een lijst van blootgestelde werknemers met aard en omvang van de blootstelling, inzagerecht en afschriftrecht. Het PTW-dossier is taakgebonden en vervult deze functie niet. Status: OVERTREDING bij uitvoering. Herstellende maatregel: Exposure Register (T-09) incl. flowchartstap (T-19).</w:t>
      </w:r>
    </w:p>
    <w:p>
      <w:pPr>
        <w:pStyle w:val="Heading2"/>
      </w:pPr>
      <w:r>
        <w:t>9.3 ADR — UN 2809 en het IBC-verbod</w:t>
      </w:r>
    </w:p>
    <w:p>
      <w:pPr>
        <w:spacing w:after="120"/>
      </w:pPr>
      <w:r>
        <w:rPr>
          <w:rFonts w:ascii="Calibri" w:hAnsi="Calibri"/>
          <w:b w:val="0"/>
          <w:i w:val="0"/>
          <w:sz w:val="22"/>
        </w:rPr>
        <w:t>ADR deel 3 tabel A, entry UN 2809 MERCURY: vervoer in IBC’s, tanks (behalve onder specifieke voorwaarden die offshore niet aan de orde zijn), bulk en large packagings is uitgesloten. De Annex III-passage ‘Offshore/IBC tanks (ADR)’ is voor vrij kwik dus onjuist. Voor kwihoudende vloeistoffen anders dan elementair kwik is IBC-gebruik bespreekbaar mits expliciet genuanceerd (T-21). Status: POTENTIELE OVERTREDING bij feitelijke toepassing — verificatie V-1.</w:t>
      </w:r>
    </w:p>
    <w:p>
      <w:pPr>
        <w:pStyle w:val="Heading2"/>
      </w:pPr>
      <w:r>
        <w:t>9.4 Overige artikelen (samenvatting)</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Artikel</w:t>
            </w:r>
          </w:p>
        </w:tc>
        <w:tc>
          <w:tcPr>
            <w:tcW w:type="dxa" w:w="3173"/>
            <w:shd w:val="clear" w:color="auto" w:fill="003366"/>
          </w:tcPr>
          <w:p>
            <w:r/>
            <w:r>
              <w:rPr>
                <w:rFonts w:ascii="Calibri" w:hAnsi="Calibri"/>
                <w:b/>
                <w:color w:val="FFFFFF"/>
                <w:sz w:val="19"/>
              </w:rPr>
              <w:t>Status</w:t>
            </w:r>
          </w:p>
        </w:tc>
        <w:tc>
          <w:tcPr>
            <w:tcW w:type="dxa" w:w="3173"/>
            <w:shd w:val="clear" w:color="auto" w:fill="003366"/>
          </w:tcPr>
          <w:p>
            <w:r/>
            <w:r>
              <w:rPr>
                <w:rFonts w:ascii="Calibri" w:hAnsi="Calibri"/>
                <w:b/>
                <w:color w:val="FFFFFF"/>
                <w:sz w:val="19"/>
              </w:rPr>
              <w:t>Herstel</w:t>
            </w:r>
          </w:p>
        </w:tc>
      </w:tr>
      <w:tr>
        <w:tc>
          <w:tcPr>
            <w:tcW w:type="dxa" w:w="3173"/>
          </w:tcPr>
          <w:p>
            <w:r/>
            <w:r>
              <w:rPr>
                <w:rFonts w:ascii="Calibri" w:hAnsi="Calibri"/>
                <w:b w:val="0"/>
                <w:color w:val="1F2937"/>
                <w:sz w:val="19"/>
              </w:rPr>
              <w:t>4.1/4.13 RI&amp;E</w:t>
            </w:r>
          </w:p>
        </w:tc>
        <w:tc>
          <w:tcPr>
            <w:tcW w:type="dxa" w:w="3173"/>
          </w:tcPr>
          <w:p>
            <w:r/>
            <w:r>
              <w:rPr>
                <w:rFonts w:ascii="Calibri" w:hAnsi="Calibri"/>
                <w:b w:val="0"/>
                <w:color w:val="1F2937"/>
                <w:sz w:val="19"/>
              </w:rPr>
              <w:t>Deels</w:t>
            </w:r>
          </w:p>
        </w:tc>
        <w:tc>
          <w:tcPr>
            <w:tcW w:type="dxa" w:w="3173"/>
          </w:tcPr>
          <w:p>
            <w:r/>
            <w:r>
              <w:rPr>
                <w:rFonts w:ascii="Calibri" w:hAnsi="Calibri"/>
                <w:b w:val="0"/>
                <w:color w:val="1F2937"/>
                <w:sz w:val="19"/>
              </w:rPr>
              <w:t>T-12 RI&amp;E-verankering</w:t>
            </w:r>
          </w:p>
        </w:tc>
      </w:tr>
      <w:tr>
        <w:tc>
          <w:tcPr>
            <w:tcW w:type="dxa" w:w="3173"/>
          </w:tcPr>
          <w:p>
            <w:r/>
            <w:r>
              <w:rPr>
                <w:rFonts w:ascii="Calibri" w:hAnsi="Calibri"/>
                <w:b w:val="0"/>
                <w:color w:val="1F2937"/>
                <w:sz w:val="19"/>
              </w:rPr>
              <w:t>4.2 hiërarchie</w:t>
            </w:r>
          </w:p>
        </w:tc>
        <w:tc>
          <w:tcPr>
            <w:tcW w:type="dxa" w:w="3173"/>
          </w:tcPr>
          <w:p>
            <w:r/>
            <w:r>
              <w:rPr>
                <w:rFonts w:ascii="Calibri" w:hAnsi="Calibri"/>
                <w:b w:val="0"/>
                <w:color w:val="1F2937"/>
                <w:sz w:val="19"/>
              </w:rPr>
              <w:t>Conform</w:t>
            </w:r>
          </w:p>
        </w:tc>
        <w:tc>
          <w:tcPr>
            <w:tcW w:type="dxa" w:w="3173"/>
          </w:tcPr>
          <w:p>
            <w:r/>
            <w:r>
              <w:rPr>
                <w:rFonts w:ascii="Calibri" w:hAnsi="Calibri"/>
                <w:b w:val="0"/>
                <w:color w:val="1F2937"/>
                <w:sz w:val="19"/>
              </w:rPr>
              <w:t>—</w:t>
            </w:r>
          </w:p>
        </w:tc>
      </w:tr>
      <w:tr>
        <w:tc>
          <w:tcPr>
            <w:tcW w:type="dxa" w:w="3173"/>
          </w:tcPr>
          <w:p>
            <w:r/>
            <w:r>
              <w:rPr>
                <w:rFonts w:ascii="Calibri" w:hAnsi="Calibri"/>
                <w:b w:val="0"/>
                <w:color w:val="1F2937"/>
                <w:sz w:val="19"/>
              </w:rPr>
              <w:t>4.3 instructie</w:t>
            </w:r>
          </w:p>
        </w:tc>
        <w:tc>
          <w:tcPr>
            <w:tcW w:type="dxa" w:w="3173"/>
          </w:tcPr>
          <w:p>
            <w:r/>
            <w:r>
              <w:rPr>
                <w:rFonts w:ascii="Calibri" w:hAnsi="Calibri"/>
                <w:b w:val="0"/>
                <w:color w:val="1F2937"/>
                <w:sz w:val="19"/>
              </w:rPr>
              <w:t>Deels</w:t>
            </w:r>
          </w:p>
        </w:tc>
        <w:tc>
          <w:tcPr>
            <w:tcW w:type="dxa" w:w="3173"/>
          </w:tcPr>
          <w:p>
            <w:r/>
            <w:r>
              <w:rPr>
                <w:rFonts w:ascii="Calibri" w:hAnsi="Calibri"/>
                <w:b w:val="0"/>
                <w:color w:val="1F2937"/>
                <w:sz w:val="19"/>
              </w:rPr>
              <w:t>T-14 trainingsprogramma</w:t>
            </w:r>
          </w:p>
        </w:tc>
      </w:tr>
      <w:tr>
        <w:tc>
          <w:tcPr>
            <w:tcW w:type="dxa" w:w="3173"/>
          </w:tcPr>
          <w:p>
            <w:r/>
            <w:r>
              <w:rPr>
                <w:rFonts w:ascii="Calibri" w:hAnsi="Calibri"/>
                <w:b w:val="0"/>
                <w:color w:val="1F2937"/>
                <w:sz w:val="19"/>
              </w:rPr>
              <w:t>4.5/AI-18 PBM</w:t>
            </w:r>
          </w:p>
        </w:tc>
        <w:tc>
          <w:tcPr>
            <w:tcW w:type="dxa" w:w="3173"/>
          </w:tcPr>
          <w:p>
            <w:r/>
            <w:r>
              <w:rPr>
                <w:rFonts w:ascii="Calibri" w:hAnsi="Calibri"/>
                <w:b w:val="0"/>
                <w:color w:val="1F2937"/>
                <w:sz w:val="19"/>
              </w:rPr>
              <w:t>Deels</w:t>
            </w:r>
          </w:p>
        </w:tc>
        <w:tc>
          <w:tcPr>
            <w:tcW w:type="dxa" w:w="3173"/>
          </w:tcPr>
          <w:p>
            <w:r/>
            <w:r>
              <w:rPr>
                <w:rFonts w:ascii="Calibri" w:hAnsi="Calibri"/>
                <w:b w:val="0"/>
                <w:color w:val="1F2937"/>
                <w:sz w:val="19"/>
              </w:rPr>
              <w:t>T-11 fit-test</w:t>
            </w:r>
          </w:p>
        </w:tc>
      </w:tr>
      <w:tr>
        <w:tc>
          <w:tcPr>
            <w:tcW w:type="dxa" w:w="3173"/>
          </w:tcPr>
          <w:p>
            <w:r/>
            <w:r>
              <w:rPr>
                <w:rFonts w:ascii="Calibri" w:hAnsi="Calibri"/>
                <w:b w:val="0"/>
                <w:color w:val="1F2937"/>
                <w:sz w:val="19"/>
              </w:rPr>
              <w:t>4.10 metingen</w:t>
            </w:r>
          </w:p>
        </w:tc>
        <w:tc>
          <w:tcPr>
            <w:tcW w:type="dxa" w:w="3173"/>
          </w:tcPr>
          <w:p>
            <w:r/>
            <w:r>
              <w:rPr>
                <w:rFonts w:ascii="Calibri" w:hAnsi="Calibri"/>
                <w:b w:val="0"/>
                <w:color w:val="1F2937"/>
                <w:sz w:val="19"/>
              </w:rPr>
              <w:t>Conform</w:t>
            </w:r>
          </w:p>
        </w:tc>
        <w:tc>
          <w:tcPr>
            <w:tcW w:type="dxa" w:w="3173"/>
          </w:tcPr>
          <w:p>
            <w:r/>
            <w:r>
              <w:rPr>
                <w:rFonts w:ascii="Calibri" w:hAnsi="Calibri"/>
                <w:b w:val="0"/>
                <w:color w:val="1F2937"/>
                <w:sz w:val="19"/>
              </w:rPr>
              <w:t>T-07 kalibratie aanbevolen</w:t>
            </w:r>
          </w:p>
        </w:tc>
      </w:tr>
      <w:tr>
        <w:tc>
          <w:tcPr>
            <w:tcW w:type="dxa" w:w="3173"/>
          </w:tcPr>
          <w:p>
            <w:r/>
            <w:r>
              <w:rPr>
                <w:rFonts w:ascii="Calibri" w:hAnsi="Calibri"/>
                <w:b w:val="0"/>
                <w:color w:val="1F2937"/>
                <w:sz w:val="19"/>
              </w:rPr>
              <w:t>4.21 abnormale blootstelling</w:t>
            </w:r>
          </w:p>
        </w:tc>
        <w:tc>
          <w:tcPr>
            <w:tcW w:type="dxa" w:w="3173"/>
          </w:tcPr>
          <w:p>
            <w:r/>
            <w:r>
              <w:rPr>
                <w:rFonts w:ascii="Calibri" w:hAnsi="Calibri"/>
                <w:b w:val="0"/>
                <w:color w:val="1F2937"/>
                <w:sz w:val="19"/>
              </w:rPr>
              <w:t>Deels</w:t>
            </w:r>
          </w:p>
        </w:tc>
        <w:tc>
          <w:tcPr>
            <w:tcW w:type="dxa" w:w="3173"/>
          </w:tcPr>
          <w:p>
            <w:r/>
            <w:r>
              <w:rPr>
                <w:rFonts w:ascii="Calibri" w:hAnsi="Calibri"/>
                <w:b w:val="0"/>
                <w:color w:val="1F2937"/>
                <w:sz w:val="19"/>
              </w:rPr>
              <w:t>T-13 EMVI-uitbreiding</w:t>
            </w:r>
          </w:p>
        </w:tc>
      </w:tr>
    </w:tbl>
    <w:p>
      <w:pPr>
        <w:spacing w:after="40"/>
      </w:pPr>
    </w:p>
    <w:p>
      <w:pPr>
        <w:pStyle w:val="Heading1"/>
      </w:pPr>
      <w:r>
        <w:t>10. Consistentietoets zusterprocedures</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CMR-element</w:t>
            </w:r>
          </w:p>
        </w:tc>
        <w:tc>
          <w:tcPr>
            <w:tcW w:type="dxa" w:w="2379"/>
            <w:shd w:val="clear" w:color="auto" w:fill="003366"/>
          </w:tcPr>
          <w:p>
            <w:r/>
            <w:r>
              <w:rPr>
                <w:rFonts w:ascii="Calibri" w:hAnsi="Calibri"/>
                <w:b/>
                <w:color w:val="FFFFFF"/>
                <w:sz w:val="19"/>
              </w:rPr>
              <w:t>003.059 Asbest</w:t>
            </w:r>
          </w:p>
        </w:tc>
        <w:tc>
          <w:tcPr>
            <w:tcW w:type="dxa" w:w="2379"/>
            <w:shd w:val="clear" w:color="auto" w:fill="003366"/>
          </w:tcPr>
          <w:p>
            <w:r/>
            <w:r>
              <w:rPr>
                <w:rFonts w:ascii="Calibri" w:hAnsi="Calibri"/>
                <w:b/>
                <w:color w:val="FFFFFF"/>
                <w:sz w:val="19"/>
              </w:rPr>
              <w:t>003.056 Cr(VI)</w:t>
            </w:r>
          </w:p>
        </w:tc>
        <w:tc>
          <w:tcPr>
            <w:tcW w:type="dxa" w:w="2379"/>
            <w:shd w:val="clear" w:color="auto" w:fill="003366"/>
          </w:tcPr>
          <w:p>
            <w:r/>
            <w:r>
              <w:rPr>
                <w:rFonts w:ascii="Calibri" w:hAnsi="Calibri"/>
                <w:b/>
                <w:color w:val="FFFFFF"/>
                <w:sz w:val="19"/>
              </w:rPr>
              <w:t>003.057 Kwik</w:t>
            </w:r>
          </w:p>
        </w:tc>
      </w:tr>
      <w:tr>
        <w:tc>
          <w:tcPr>
            <w:tcW w:type="dxa" w:w="2379"/>
          </w:tcPr>
          <w:p>
            <w:r/>
            <w:r>
              <w:rPr>
                <w:rFonts w:ascii="Calibri" w:hAnsi="Calibri"/>
                <w:b w:val="0"/>
                <w:color w:val="1F2937"/>
                <w:sz w:val="19"/>
              </w:rPr>
              <w:t>Medische surveillance</w:t>
            </w:r>
          </w:p>
        </w:tc>
        <w:tc>
          <w:tcPr>
            <w:tcW w:type="dxa" w:w="2379"/>
          </w:tcPr>
          <w:p>
            <w:r/>
            <w:r>
              <w:rPr>
                <w:rFonts w:ascii="Calibri" w:hAnsi="Calibri"/>
                <w:b w:val="0"/>
                <w:color w:val="1F2937"/>
                <w:sz w:val="19"/>
              </w:rPr>
              <w:t>Ontbreekt</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Ontbreekt (R-01)</w:t>
            </w:r>
          </w:p>
        </w:tc>
      </w:tr>
      <w:tr>
        <w:tc>
          <w:tcPr>
            <w:tcW w:type="dxa" w:w="2379"/>
          </w:tcPr>
          <w:p>
            <w:r/>
            <w:r>
              <w:rPr>
                <w:rFonts w:ascii="Calibri" w:hAnsi="Calibri"/>
                <w:b w:val="0"/>
                <w:color w:val="1F2937"/>
                <w:sz w:val="19"/>
              </w:rPr>
              <w:t>Blootstellingsregister</w:t>
            </w:r>
          </w:p>
        </w:tc>
        <w:tc>
          <w:tcPr>
            <w:tcW w:type="dxa" w:w="2379"/>
          </w:tcPr>
          <w:p>
            <w:r/>
            <w:r>
              <w:rPr>
                <w:rFonts w:ascii="Calibri" w:hAnsi="Calibri"/>
                <w:b w:val="0"/>
                <w:color w:val="1F2937"/>
                <w:sz w:val="19"/>
              </w:rPr>
              <w:t>Ontbreekt</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Ontbreekt (R-02)</w:t>
            </w:r>
          </w:p>
        </w:tc>
      </w:tr>
      <w:tr>
        <w:tc>
          <w:tcPr>
            <w:tcW w:type="dxa" w:w="2379"/>
          </w:tcPr>
          <w:p>
            <w:r/>
            <w:r>
              <w:rPr>
                <w:rFonts w:ascii="Calibri" w:hAnsi="Calibri"/>
                <w:b w:val="0"/>
                <w:color w:val="1F2937"/>
                <w:sz w:val="19"/>
              </w:rPr>
              <w:t>40-jaar bewaring</w:t>
            </w:r>
          </w:p>
        </w:tc>
        <w:tc>
          <w:tcPr>
            <w:tcW w:type="dxa" w:w="2379"/>
          </w:tcPr>
          <w:p>
            <w:r/>
            <w:r>
              <w:rPr>
                <w:rFonts w:ascii="Calibri" w:hAnsi="Calibri"/>
                <w:b w:val="0"/>
                <w:color w:val="1F2937"/>
                <w:sz w:val="19"/>
              </w:rPr>
              <w:t>Deels</w:t>
            </w:r>
          </w:p>
        </w:tc>
        <w:tc>
          <w:tcPr>
            <w:tcW w:type="dxa" w:w="2379"/>
          </w:tcPr>
          <w:p>
            <w:r/>
            <w:r>
              <w:rPr>
                <w:rFonts w:ascii="Calibri" w:hAnsi="Calibri"/>
                <w:b w:val="0"/>
                <w:color w:val="1F2937"/>
                <w:sz w:val="19"/>
              </w:rPr>
              <w:t>Ontbreekt</w:t>
            </w:r>
          </w:p>
        </w:tc>
        <w:tc>
          <w:tcPr>
            <w:tcW w:type="dxa" w:w="2379"/>
          </w:tcPr>
          <w:p>
            <w:r/>
            <w:r>
              <w:rPr>
                <w:rFonts w:ascii="Calibri" w:hAnsi="Calibri"/>
                <w:b w:val="0"/>
                <w:color w:val="1F2937"/>
                <w:sz w:val="19"/>
              </w:rPr>
              <w:t>Ontbreekt</w:t>
            </w:r>
          </w:p>
        </w:tc>
      </w:tr>
      <w:tr>
        <w:tc>
          <w:tcPr>
            <w:tcW w:type="dxa" w:w="2379"/>
          </w:tcPr>
          <w:p>
            <w:r/>
            <w:r>
              <w:rPr>
                <w:rFonts w:ascii="Calibri" w:hAnsi="Calibri"/>
                <w:b w:val="0"/>
                <w:color w:val="1F2937"/>
                <w:sz w:val="19"/>
              </w:rPr>
              <w:t>Grenswaarde correct vermeld</w:t>
            </w:r>
          </w:p>
        </w:tc>
        <w:tc>
          <w:tcPr>
            <w:tcW w:type="dxa" w:w="2379"/>
          </w:tcPr>
          <w:p>
            <w:r/>
            <w:r>
              <w:rPr>
                <w:rFonts w:ascii="Calibri" w:hAnsi="Calibri"/>
                <w:b w:val="0"/>
                <w:color w:val="1F2937"/>
                <w:sz w:val="19"/>
              </w:rPr>
              <w:t>Ontbreekt</w:t>
            </w:r>
          </w:p>
        </w:tc>
        <w:tc>
          <w:tcPr>
            <w:tcW w:type="dxa" w:w="2379"/>
          </w:tcPr>
          <w:p>
            <w:r/>
            <w:r>
              <w:rPr>
                <w:rFonts w:ascii="Calibri" w:hAnsi="Calibri"/>
                <w:b w:val="0"/>
                <w:color w:val="1F2937"/>
                <w:sz w:val="19"/>
              </w:rPr>
              <w:t>Conform</w:t>
            </w:r>
          </w:p>
        </w:tc>
        <w:tc>
          <w:tcPr>
            <w:tcW w:type="dxa" w:w="2379"/>
          </w:tcPr>
          <w:p>
            <w:r/>
            <w:r>
              <w:rPr>
                <w:rFonts w:ascii="Calibri" w:hAnsi="Calibri"/>
                <w:b w:val="0"/>
                <w:color w:val="1F2937"/>
                <w:sz w:val="19"/>
              </w:rPr>
              <w:t>Conform</w:t>
            </w:r>
          </w:p>
        </w:tc>
      </w:tr>
      <w:tr>
        <w:tc>
          <w:tcPr>
            <w:tcW w:type="dxa" w:w="2379"/>
          </w:tcPr>
          <w:p>
            <w:r/>
            <w:r>
              <w:rPr>
                <w:rFonts w:ascii="Calibri" w:hAnsi="Calibri"/>
                <w:b w:val="0"/>
                <w:color w:val="1F2937"/>
                <w:sz w:val="19"/>
              </w:rPr>
              <w:t>Meetstrategie</w:t>
            </w:r>
          </w:p>
        </w:tc>
        <w:tc>
          <w:tcPr>
            <w:tcW w:type="dxa" w:w="2379"/>
          </w:tcPr>
          <w:p>
            <w:r/>
            <w:r>
              <w:rPr>
                <w:rFonts w:ascii="Calibri" w:hAnsi="Calibri"/>
                <w:b w:val="0"/>
                <w:color w:val="1F2937"/>
                <w:sz w:val="19"/>
              </w:rPr>
              <w:t>Deels</w:t>
            </w:r>
          </w:p>
        </w:tc>
        <w:tc>
          <w:tcPr>
            <w:tcW w:type="dxa" w:w="2379"/>
          </w:tcPr>
          <w:p>
            <w:r/>
            <w:r>
              <w:rPr>
                <w:rFonts w:ascii="Calibri" w:hAnsi="Calibri"/>
                <w:b w:val="0"/>
                <w:color w:val="1F2937"/>
                <w:sz w:val="19"/>
              </w:rPr>
              <w:t>Ontbreekt (P1)</w:t>
            </w:r>
          </w:p>
        </w:tc>
        <w:tc>
          <w:tcPr>
            <w:tcW w:type="dxa" w:w="2379"/>
          </w:tcPr>
          <w:p>
            <w:r/>
            <w:r>
              <w:rPr>
                <w:rFonts w:ascii="Calibri" w:hAnsi="Calibri"/>
                <w:b w:val="0"/>
                <w:color w:val="1F2937"/>
                <w:sz w:val="19"/>
              </w:rPr>
              <w:t>Conform</w:t>
            </w:r>
          </w:p>
        </w:tc>
      </w:tr>
    </w:tbl>
    <w:p>
      <w:pPr>
        <w:spacing w:after="40"/>
      </w:pPr>
    </w:p>
    <w:p>
      <w:pPr>
        <w:spacing w:after="120"/>
      </w:pPr>
      <w:r>
        <w:rPr>
          <w:rFonts w:ascii="Calibri" w:hAnsi="Calibri"/>
          <w:b w:val="0"/>
          <w:i w:val="0"/>
          <w:sz w:val="22"/>
        </w:rPr>
        <w:t>Conclusie: de MSD 003-serie vertoont een systematisch CMR-tekortkoming. Aanbevolen wordt een horizontale herzieningsopdracht op serieniveau, waarbij de herstelteksten uit de Tekstueel Verbeteradviezen (asbest, Cr(VI), kwik) gelijktijdig worden geïmplementeerd.</w:t>
      </w:r>
    </w:p>
    <w:p>
      <w:pPr>
        <w:pStyle w:val="Heading1"/>
      </w:pPr>
      <w:r>
        <w:t>11. TierVerify Log (v3.0)</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Controle</w:t>
            </w:r>
          </w:p>
        </w:tc>
        <w:tc>
          <w:tcPr>
            <w:tcW w:type="dxa" w:w="4759"/>
            <w:shd w:val="clear" w:color="auto" w:fill="003366"/>
          </w:tcPr>
          <w:p>
            <w:r/>
            <w:r>
              <w:rPr>
                <w:rFonts w:ascii="Calibri" w:hAnsi="Calibri"/>
                <w:b/>
                <w:color w:val="FFFFFF"/>
                <w:sz w:val="19"/>
              </w:rPr>
              <w:t>Resultaat</w:t>
            </w:r>
          </w:p>
        </w:tc>
      </w:tr>
      <w:tr>
        <w:tc>
          <w:tcPr>
            <w:tcW w:type="dxa" w:w="4759"/>
          </w:tcPr>
          <w:p>
            <w:r/>
            <w:r>
              <w:rPr>
                <w:rFonts w:ascii="Calibri" w:hAnsi="Calibri"/>
                <w:b w:val="0"/>
                <w:color w:val="1F2937"/>
                <w:sz w:val="19"/>
              </w:rPr>
              <w:t>Kernfeiten gegenereerd tegen primaire bron</w:t>
            </w:r>
          </w:p>
        </w:tc>
        <w:tc>
          <w:tcPr>
            <w:tcW w:type="dxa" w:w="4759"/>
          </w:tcPr>
          <w:p>
            <w:r/>
            <w:r>
              <w:rPr>
                <w:rFonts w:ascii="Calibri" w:hAnsi="Calibri"/>
                <w:b w:val="0"/>
                <w:color w:val="1F2937"/>
                <w:sz w:val="19"/>
              </w:rPr>
              <w:t>5/5 geverifieerd (grenswaarde, CLP, ADR, Eural, revisiedata)</w:t>
            </w:r>
          </w:p>
        </w:tc>
      </w:tr>
      <w:tr>
        <w:tc>
          <w:tcPr>
            <w:tcW w:type="dxa" w:w="4759"/>
          </w:tcPr>
          <w:p>
            <w:r/>
            <w:r>
              <w:rPr>
                <w:rFonts w:ascii="Calibri" w:hAnsi="Calibri"/>
                <w:b w:val="0"/>
                <w:color w:val="1F2937"/>
                <w:sz w:val="19"/>
              </w:rPr>
              <w:t>Bevindingen herleidbaar naar wetsartikel</w:t>
            </w:r>
          </w:p>
        </w:tc>
        <w:tc>
          <w:tcPr>
            <w:tcW w:type="dxa" w:w="4759"/>
          </w:tcPr>
          <w:p>
            <w:r/>
            <w:r>
              <w:rPr>
                <w:rFonts w:ascii="Calibri" w:hAnsi="Calibri"/>
                <w:b w:val="0"/>
                <w:color w:val="1F2937"/>
                <w:sz w:val="19"/>
              </w:rPr>
              <w:t>12/12</w:t>
            </w:r>
          </w:p>
        </w:tc>
      </w:tr>
      <w:tr>
        <w:tc>
          <w:tcPr>
            <w:tcW w:type="dxa" w:w="4759"/>
          </w:tcPr>
          <w:p>
            <w:r/>
            <w:r>
              <w:rPr>
                <w:rFonts w:ascii="Calibri" w:hAnsi="Calibri"/>
                <w:b w:val="0"/>
                <w:color w:val="1F2937"/>
                <w:sz w:val="19"/>
              </w:rPr>
              <w:t>Consistentie met conformiteitsmatrix (34 regels)</w:t>
            </w:r>
          </w:p>
        </w:tc>
        <w:tc>
          <w:tcPr>
            <w:tcW w:type="dxa" w:w="4759"/>
          </w:tcPr>
          <w:p>
            <w:r/>
            <w:r>
              <w:rPr>
                <w:rFonts w:ascii="Calibri" w:hAnsi="Calibri"/>
                <w:b w:val="0"/>
                <w:color w:val="1F2937"/>
                <w:sz w:val="19"/>
              </w:rPr>
              <w:t>Consistent</w:t>
            </w:r>
          </w:p>
        </w:tc>
      </w:tr>
      <w:tr>
        <w:tc>
          <w:tcPr>
            <w:tcW w:type="dxa" w:w="4759"/>
          </w:tcPr>
          <w:p>
            <w:r/>
            <w:r>
              <w:rPr>
                <w:rFonts w:ascii="Calibri" w:hAnsi="Calibri"/>
                <w:b w:val="0"/>
                <w:color w:val="1F2937"/>
                <w:sz w:val="19"/>
              </w:rPr>
              <w:t>Vergelijkbaarheid Golden Standard-format 003.059</w:t>
            </w:r>
          </w:p>
        </w:tc>
        <w:tc>
          <w:tcPr>
            <w:tcW w:type="dxa" w:w="4759"/>
          </w:tcPr>
          <w:p>
            <w:r/>
            <w:r>
              <w:rPr>
                <w:rFonts w:ascii="Calibri" w:hAnsi="Calibri"/>
                <w:b w:val="0"/>
                <w:color w:val="1F2937"/>
                <w:sz w:val="19"/>
              </w:rPr>
              <w:t>Volledig (H1-H10 + TierVerify)</w:t>
            </w:r>
          </w:p>
        </w:tc>
      </w:tr>
      <w:tr>
        <w:tc>
          <w:tcPr>
            <w:tcW w:type="dxa" w:w="4759"/>
          </w:tcPr>
          <w:p>
            <w:r/>
            <w:r>
              <w:rPr>
                <w:rFonts w:ascii="Calibri" w:hAnsi="Calibri"/>
                <w:b w:val="0"/>
                <w:color w:val="1F2937"/>
                <w:sz w:val="19"/>
              </w:rPr>
              <w:t>Openstaande verificatiepunten</w:t>
            </w:r>
          </w:p>
        </w:tc>
        <w:tc>
          <w:tcPr>
            <w:tcW w:type="dxa" w:w="4759"/>
          </w:tcPr>
          <w:p>
            <w:r/>
            <w:r>
              <w:rPr>
                <w:rFonts w:ascii="Calibri" w:hAnsi="Calibri"/>
                <w:b w:val="0"/>
                <w:color w:val="1F2937"/>
                <w:sz w:val="19"/>
              </w:rPr>
              <w:t>V-1 t/m V-3 (veldinspectie vereist)</w:t>
            </w:r>
          </w:p>
        </w:tc>
      </w:tr>
    </w:tbl>
    <w:p>
      <w:pPr>
        <w:spacing w:after="40"/>
      </w:pPr>
    </w:p>
    <w:p>
      <w:pPr>
        <w:spacing w:after="80"/>
      </w:pPr>
      <w:r>
        <w:rPr>
          <w:rFonts w:ascii="Calibri" w:hAnsi="Calibri"/>
          <w:b w:val="0"/>
          <w:i/>
          <w:sz w:val="19"/>
        </w:rPr>
        <w:t>Compliance Audit Kwik 003.057 v3.0 — JvG Consultancy — 24-08-2026 — Vertrouwelijk.</w:t>
      </w:r>
    </w:p>
    <w:sectPr w:rsidR="00FC693F" w:rsidRPr="0006063C" w:rsidSect="00034616">
      <w:headerReference w:type="default" r:id="rId9"/>
      <w:footerReference w:type="default" r:id="rId10"/>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Compliance Audit Kwik 003.057 v3.0 — 24-08-2026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5231"/>
          <wp:docPr id="1" name="Picture 1"/>
          <wp:cNvGraphicFramePr>
            <a:graphicFrameLocks noChangeAspect="1"/>
          </wp:cNvGraphicFramePr>
          <a:graphic>
            <a:graphicData uri="http://schemas.openxmlformats.org/drawingml/2006/picture">
              <pic:pic>
                <pic:nvPicPr>
                  <pic:cNvPr id="0" name="jvg-logo-small-upgrade.png"/>
                  <pic:cNvPicPr/>
                </pic:nvPicPr>
                <pic:blipFill>
                  <a:blip r:embed="rId1"/>
                  <a:stretch>
                    <a:fillRect/>
                  </a:stretch>
                </pic:blipFill>
                <pic:spPr>
                  <a:xfrm>
                    <a:off x="0" y="0"/>
                    <a:ext cx="720000" cy="64523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