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spacing w:after="40"/>
        <w:jc w:val="center"/>
      </w:pPr>
      <w:r>
        <w:rPr>
          <w:rFonts w:ascii="Calibri" w:hAnsi="Calibri"/>
          <w:b/>
          <w:i w:val="0"/>
          <w:color w:val="003366"/>
          <w:sz w:val="28"/>
        </w:rPr>
        <w:t>JvG CONSULTANCY — HSEQ</w:t>
      </w:r>
    </w:p>
    <w:p>
      <w:pPr>
        <w:spacing w:after="40"/>
        <w:jc w:val="center"/>
      </w:pPr>
      <w:r>
        <w:rPr>
          <w:rFonts w:ascii="Calibri" w:hAnsi="Calibri"/>
          <w:b/>
          <w:i w:val="0"/>
          <w:color w:val="003366"/>
          <w:sz w:val="48"/>
        </w:rPr>
        <w:t>COMPLIANCE AUDIT</w:t>
      </w:r>
    </w:p>
    <w:p>
      <w:pPr>
        <w:spacing w:after="40"/>
        <w:jc w:val="center"/>
      </w:pPr>
      <w:r>
        <w:rPr>
          <w:rFonts w:ascii="Calibri" w:hAnsi="Calibri"/>
          <w:b/>
          <w:i w:val="0"/>
          <w:color w:val="003366"/>
          <w:sz w:val="32"/>
        </w:rPr>
        <w:t>Kwik — Koole 003.057</w:t>
      </w:r>
    </w:p>
    <w:p>
      <w:pPr>
        <w:spacing w:after="320"/>
        <w:jc w:val="center"/>
      </w:pPr>
      <w:r>
        <w:rPr>
          <w:rFonts w:ascii="Calibri" w:hAnsi="Calibri"/>
          <w:b w:val="0"/>
          <w:i w:val="0"/>
          <w:sz w:val="24"/>
        </w:rPr>
        <w:t>Document-based compliance audit — diepgaand</w:t>
      </w:r>
    </w:p>
    <w:p>
      <w:pPr>
        <w:spacing w:after="80"/>
        <w:jc w:val="center"/>
      </w:pPr>
      <w:r>
        <w:rPr>
          <w:rFonts w:ascii="Calibri" w:hAnsi="Calibri"/>
          <w:b w:val="0"/>
          <w:i w:val="0"/>
          <w:sz w:val="20"/>
        </w:rPr>
        <w:t>Brondocument: MSD 003.057 "Safe Handling of Mercury" Rev 1 (12-05-2026)</w:t>
      </w:r>
    </w:p>
    <w:p>
      <w:pPr>
        <w:spacing w:after="80"/>
        <w:jc w:val="center"/>
      </w:pPr>
      <w:r>
        <w:rPr>
          <w:rFonts w:ascii="Calibri" w:hAnsi="Calibri"/>
          <w:b w:val="0"/>
          <w:i w:val="0"/>
          <w:sz w:val="20"/>
        </w:rPr>
        <w:t>Iteratie v1.0 → v2.0 (integrale brontekst)</w:t>
      </w:r>
    </w:p>
    <w:p>
      <w:pPr>
        <w:spacing w:after="400"/>
        <w:jc w:val="center"/>
      </w:pPr>
      <w:r>
        <w:rPr>
          <w:rFonts w:ascii="Calibri" w:hAnsi="Calibri"/>
          <w:b w:val="0"/>
          <w:i/>
          <w:sz w:val="20"/>
        </w:rPr>
        <w:t>Status: Definitief — Vertrouwelijk</w:t>
      </w:r>
    </w:p>
    <w:p>
      <w:pPr>
        <w:pStyle w:val="Heading1"/>
      </w:pPr>
      <w:r>
        <w:t>1. Managementsamenvatting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Koole 003.057 is een technisch volwassen procedure met een correcte wettelijke grenswaarde, een concrete meetstrategie en een gedetailleerde RPE-bandindeling. De procedure scoort op de Arbobesluit-kern ≈50% volledig conform (5 conform, 4 deels, 3 ontbreekt van 12 kerneisen). Dat is aanzienlijk beter dan de eerder geauditeerde asbestprocedure 003.059 (11% conform), maar er zijn twee wettelijk verplichte hiaten met hoge ernst: ontbrekende medische surveillance (art. 4.10a/4.10b) en ontbrekend CMR-blootstellingsregister (art. 4.15). Daarnaast bevat Annex III een transportpassage (IBC tanks, ADR) die mogelijk in strijd is met het ADR-verbod op IBC-transport van UN 2809 — verificatie en herschrijving vereist.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Eindoordeel: MATIG-HOOG risico — herziening vereist vóór projectuitvoering op punten R-01 t/m R-03. Kengetallen: 12 bevindingen (3 HOOG, 6 MIDDEN, 3 LAAG) + 3 verificatiepunten + 8 positieve bevindingen.</w:t>
      </w:r>
    </w:p>
    <w:p>
      <w:pPr>
        <w:pStyle w:val="Heading1"/>
      </w:pPr>
      <w:r>
        <w:t>2. Toetsingskader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Arbowet (art. 3, 5, 8); Arbobesluit Hoofdstuk 4 incl. CMR-regime; Arboregeling afd. 4.4; EU-Kwikverordening (EU) 2017/852; Besluit kwik en kwikhoudende producten; Bal; REACH; CLP; Mijnbouwwet; ADR/IMDG; AI-bladen 31, 18, 64; SER-grenswaarden; NOGEPA-richtlijnen (best practice).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Parameter</w:t>
            </w:r>
          </w:p>
        </w:tc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Waarde</w:t>
            </w:r>
          </w:p>
        </w:tc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Bron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TGG-8u kwikdamp (NL)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0,02 mg/m³ (20 µg/m³)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Arboregeling/SER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STEL kwikdamp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Bestaat niet in NL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Arboregeling/SER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CLP (index 080-001-00-0, CAS 7439-97-6)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Repr. 1B H360D; STOT RE 1 H372; Aquatic Acute 1 H400; Aquatic Chronic 1 H410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ECHA Bijlage VI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ADR vloeibaar kwik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UN 2809, klasse 8, PG III, tunnel (E); IBC/bulk/large packaging VERBODEN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ADR tabel A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Eural kwikafval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&gt;3% massaconcentratie → 06 04 20*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Eural</w:t>
            </w:r>
          </w:p>
        </w:tc>
      </w:tr>
    </w:tbl>
    <w:p>
      <w:pPr>
        <w:spacing w:after="40"/>
      </w:pPr>
    </w:p>
    <w:p>
      <w:pPr>
        <w:pStyle w:val="Heading1"/>
      </w:pPr>
      <w:r>
        <w:t>3. Bevindingen per clausule</w:t>
      </w:r>
    </w:p>
    <w:p>
      <w:pPr>
        <w:pStyle w:val="Heading2"/>
      </w:pPr>
      <w:r>
        <w:t>3.1 Wettelijk en regulatoir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R-01 (HOOG — Arbobesluit art. 4.10a/4.10b i.c.m. CMR-regime): </w:t>
      </w:r>
      <w:r>
        <w:rPr>
          <w:rFonts w:ascii="Calibri" w:hAnsi="Calibri"/>
          <w:sz w:val="22"/>
        </w:rPr>
        <w:t>Medische surveillance/biologische monitoring ontbreekt volledig. Kwik is als Repr. 1B een reprotoxische stof: art. 4.10a verplicht het aanbieden van arbeidsgezondheidskundig onderzoek vóór aanvang, tussentijds en na beëindiging; art. 4.10b ziet op onderzoek en biologische grenswaarden (kwik in urine is gevestigde praktijk). Procedure noch referenties benoemen gezondheidsonderzoek, arbodienst of bedrijfsarts.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R-02 (HOOG — Arbobesluit art. 4.15 CMR): </w:t>
      </w:r>
      <w:r>
        <w:rPr>
          <w:rFonts w:ascii="Calibri" w:hAnsi="Calibri"/>
          <w:sz w:val="22"/>
        </w:rPr>
        <w:t>Geen blootstellingsregister. Voor reprotoxische stoffen verplicht art. 4.15 het bijhouden van een lijst van werknemers die worden of kunnen worden blootgesteld, onder vermelding van de ondergane blootstelling, incl. inzage- en afschriftrecht. Meetresultaten worden uitsluitend aan het PTW-dossier gekoppeld; deze wettelijke lijst ontbreekt.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R-03 (HOOG — ADR): </w:t>
      </w:r>
      <w:r>
        <w:rPr>
          <w:rFonts w:ascii="Calibri" w:hAnsi="Calibri"/>
          <w:sz w:val="22"/>
        </w:rPr>
        <w:t>Annex III-transportpassage mogelijk in strijd met ADR. Annex III adviseert ‘Offshore/IBC tanks (ADR)’ voor vloeistoffen. Voor vloeibaar kwik (UN 2809) geldt een expliciet ADR-verbod op vervoer in IBC’s, bulk en large packagings. Indien de passage ziet op vrij kwik is dit een onjuiste instructie; indien uitsluitend bedoeld voor andere vloeistoffen (bv. spoelwater) moet dit expliciet worden genuanceerd. Verificatiepunt V-1.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R-04 (MIDDEN — CLP): </w:t>
      </w:r>
      <w:r>
        <w:rPr>
          <w:rFonts w:ascii="Calibri" w:hAnsi="Calibri"/>
          <w:sz w:val="22"/>
        </w:rPr>
        <w:t>Geen CLP-hazardinformatie: geen classificatiegegevens (H360D/H372/H400/H410) en geen etiketteisen voor verpakkingen; labeling wordt één-op-één aan Logistics gedelegeerd.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R-06 (MIDDEN — Arbobesluit 4.1): </w:t>
      </w:r>
      <w:r>
        <w:rPr>
          <w:rFonts w:ascii="Calibri" w:hAnsi="Calibri"/>
          <w:sz w:val="22"/>
        </w:rPr>
        <w:t>RI&amp;E/TRA-koppeling ontbreekt: ‘risk-based approach’ is genoemd, maar de procedure verankert niet waar de risicobeoordeling (project-TRA/RI&amp;E-afsplitsing) ligt en hoe die de meetstrategie stuurt.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R-07 (LAAG — Wettelijk): </w:t>
      </w:r>
      <w:r>
        <w:rPr>
          <w:rFonts w:ascii="Calibri" w:hAnsi="Calibri"/>
          <w:sz w:val="22"/>
        </w:rPr>
        <w:t>Mijnbouwwet wél in de referentietabel, maar niet uitgewerkt. Staatstoezicht op de Mijnen (Stoom) als bevoegde toezichthouder voor het NL-continentale plat en de arbeidsomstandighedenvereisten voor mijnbouwinstallaties ontbreken in de toelichting.</w:t>
      </w:r>
    </w:p>
    <w:p>
      <w:pPr>
        <w:pStyle w:val="Heading2"/>
      </w:pPr>
      <w:r>
        <w:t>3.2 Technische veiligheid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R-05 (MIDDEN — Norm/AI-blad 18): </w:t>
      </w:r>
      <w:r>
        <w:rPr>
          <w:rFonts w:ascii="Calibri" w:hAnsi="Calibri"/>
          <w:sz w:val="22"/>
        </w:rPr>
        <w:t>Geen fit-test-eis voor tight-fitting RPE (half-/volgelaatsmasker), terwijl de RPE-bandindeling op deze maskers leunt. Filterbeperking (max. 2 werkdagen) en pauzeschema’s zijn wél goed geregeld.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R-09 (MIDDEN — Wettelijk+AI-31): </w:t>
      </w:r>
      <w:r>
        <w:rPr>
          <w:rFonts w:ascii="Calibri" w:hAnsi="Calibri"/>
          <w:sz w:val="22"/>
        </w:rPr>
        <w:t>EMVI beperkt tot spill-opschoning. Geen acute symptoomherkenning, EHBO-instructie, alarmlijn of escalatiepad bij blootstelling boven grenswaarde.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R-11 (LAAG — Norm): </w:t>
      </w:r>
      <w:r>
        <w:rPr>
          <w:rFonts w:ascii="Calibri" w:hAnsi="Calibri"/>
          <w:sz w:val="22"/>
        </w:rPr>
        <w:t>Jerome J405 niet Ex-rated. Procedure noemt ATEX-overweging (‘shall be considered’) maar geen Ex-geschikt alternatief voor gebruik in ATEX-zones — praktisch zwak punt.</w:t>
      </w:r>
    </w:p>
    <w:p>
      <w:pPr>
        <w:pStyle w:val="Heading2"/>
      </w:pPr>
      <w:r>
        <w:t>3.3 Milieu en omgevingswet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R-10 (LAAG — Wettelijk Bal/EU): </w:t>
      </w:r>
      <w:r>
        <w:rPr>
          <w:rFonts w:ascii="Calibri" w:hAnsi="Calibri"/>
          <w:sz w:val="22"/>
        </w:rPr>
        <w:t>Verwerkersverificatie ontbreekt. ‘Approved waste management routes’ zonder eis van erkenning/certificering van de verwerker en zonder uitwerking van afvalstroomdocumentatie (begeleidingsbrief, Eural-codering).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Positieve milieu-elementen: Eural 3%-drempel correct toegepast; OSPAR/MARPOL-verwijzingen aanwezig; verpakkingsstandaard (blindflensen i.p.v. tape, pondliner-skip) boven branchestandaard.</w:t>
      </w:r>
    </w:p>
    <w:p>
      <w:pPr>
        <w:pStyle w:val="Heading2"/>
      </w:pPr>
      <w:r>
        <w:t>3.4 Overig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R-08 (MIDDEN — Arbowet art. 8 i.c.m. CMR-afdeling): </w:t>
      </w:r>
      <w:r>
        <w:rPr>
          <w:rFonts w:ascii="Calibri" w:hAnsi="Calibri"/>
          <w:sz w:val="22"/>
        </w:rPr>
        <w:t>Training niet uitgewerkt (inhoud, frequentie, competentiebewijs).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R-12 (ingetrokken na review): </w:t>
      </w:r>
      <w:r>
        <w:rPr>
          <w:rFonts w:ascii="Calibri" w:hAnsi="Calibri"/>
          <w:sz w:val="22"/>
        </w:rPr>
        <w:t>NOGEPA Standard 86 is correct vermeld in de referentietabel; overweeg aanvullend verwijzing naar bredere NOGEPA HSEQ-richtlijnen (best practice).</w:t>
      </w:r>
    </w:p>
    <w:p>
      <w:pPr>
        <w:pStyle w:val="Heading1"/>
      </w:pPr>
      <w:r>
        <w:t>4. Compliance-matrix (samengevat)</w:t>
      </w:r>
    </w:p>
    <w:p>
      <w:pPr>
        <w:pStyle w:val="Heading2"/>
      </w:pPr>
      <w:r>
        <w:t>4.1 Bevindingenregister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904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ID</w:t>
            </w:r>
          </w:p>
        </w:tc>
        <w:tc>
          <w:tcPr>
            <w:tcW w:type="dxa" w:w="1904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Cluster</w:t>
            </w:r>
          </w:p>
        </w:tc>
        <w:tc>
          <w:tcPr>
            <w:tcW w:type="dxa" w:w="1904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Bevinding</w:t>
            </w:r>
          </w:p>
        </w:tc>
        <w:tc>
          <w:tcPr>
            <w:tcW w:type="dxa" w:w="1904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Ernst</w:t>
            </w:r>
          </w:p>
        </w:tc>
        <w:tc>
          <w:tcPr>
            <w:tcW w:type="dxa" w:w="1904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R-01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Wettelijk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Medische surveillance/biologische monitoring ontbreekt (art. 4.10a/b)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HOOG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ONTBREEKT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R-02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Wettelijk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Geen CMR-blootstellingsregister (art. 4.15)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HOOG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ONTBREEKT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R-03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Wettelijk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Annex III IBC-transport mogelijk in strijd met ADR UN 2809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HOOG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VERIFICATIE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R-04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Wettelijk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Geen CLP-hazardinformatie/etiketteisen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MIDDEN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ONTBREEKT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R-05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Technisch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Geen fit-test-eis tight-fitting RPE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MIDDEN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ONTBREEKT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R-06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Wettelijk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RI&amp;E/TRA-koppeling ontbreekt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MIDDEN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DEELS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R-07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Wettelijk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Mijnbouwwet niet uitgewerkt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LAAG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DEELS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R-08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Wettelijk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Training niet uitgewerkt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MIDDEN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DEELS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R-09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Technisch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EMVI beperkt tot spill-opschoning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MIDDEN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DEELS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R-10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Milieu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Verwerkersverificatie/afvaldocumentatie ontbreekt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LAAG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DEELS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R-11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Technisch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Jerome J405 niet Ex-rated in ATEX-zones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LAAG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DEELS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R-12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Overig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NOGEPA Standard 86 correct vermeld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—</w:t>
            </w:r>
          </w:p>
        </w:tc>
        <w:tc>
          <w:tcPr>
            <w:tcW w:type="dxa" w:w="1904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CONFORM (ingetrokken)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Cluster</w:t>
            </w:r>
          </w:p>
        </w:tc>
        <w:tc>
          <w:tcPr>
            <w:tcW w:type="dxa" w:w="2379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Conform</w:t>
            </w:r>
          </w:p>
        </w:tc>
        <w:tc>
          <w:tcPr>
            <w:tcW w:type="dxa" w:w="2379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Deels</w:t>
            </w:r>
          </w:p>
        </w:tc>
        <w:tc>
          <w:tcPr>
            <w:tcW w:type="dxa" w:w="2379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Ontbreekt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Arbobesluit H4-kern (12 eisen)</w:t>
            </w:r>
          </w:p>
        </w:tc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5</w:t>
            </w:r>
          </w:p>
        </w:tc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4</w:t>
            </w:r>
          </w:p>
        </w:tc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3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EU-Kwikverordening</w:t>
            </w:r>
          </w:p>
        </w:tc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2</w:t>
            </w:r>
          </w:p>
        </w:tc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1</w:t>
            </w:r>
          </w:p>
        </w:tc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1 (verificatie)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Bal/milieu</w:t>
            </w:r>
          </w:p>
        </w:tc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0</w:t>
            </w:r>
          </w:p>
        </w:tc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2</w:t>
            </w:r>
          </w:p>
        </w:tc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0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REACH/CLP</w:t>
            </w:r>
          </w:p>
        </w:tc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1</w:t>
            </w:r>
          </w:p>
        </w:tc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1</w:t>
            </w:r>
          </w:p>
        </w:tc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1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AI-bladen</w:t>
            </w:r>
          </w:p>
        </w:tc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1</w:t>
            </w:r>
          </w:p>
        </w:tc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1</w:t>
            </w:r>
          </w:p>
        </w:tc>
        <w:tc>
          <w:tcPr>
            <w:tcW w:type="dxa" w:w="2379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0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De volledige conformiteitsmatrix (34 regels) is opgenomen in Conformiteitsmatrix_Kwik_v1.0.xlsx.</w:t>
      </w:r>
    </w:p>
    <w:p>
      <w:pPr>
        <w:pStyle w:val="Heading1"/>
      </w:pPr>
      <w:r>
        <w:t>5. Positieve bevindingen</w:t>
      </w:r>
    </w:p>
    <w:p>
      <w:pPr>
        <w:pStyle w:val="ListNumber"/>
        <w:spacing w:after="60"/>
      </w:pPr>
      <w:r>
        <w:t>Grenswaarde 0,02 mg/m³ en afwezigheid STEL correct verwoord.</w:t>
      </w:r>
    </w:p>
    <w:p>
      <w:pPr>
        <w:pStyle w:val="ListNumber"/>
        <w:spacing w:after="60"/>
      </w:pPr>
      <w:r>
        <w:t>Meetstrategie met frequenties per activiteit, extra metingen bij +5°C/hot work/scopewijziging.</w:t>
      </w:r>
    </w:p>
    <w:p>
      <w:pPr>
        <w:pStyle w:val="ListNumber"/>
        <w:spacing w:after="60"/>
      </w:pPr>
      <w:r>
        <w:t>RPE-bandindeling Annex II inclusief filterbeperkingen en rotatieschema’s.</w:t>
      </w:r>
    </w:p>
    <w:p>
      <w:pPr>
        <w:pStyle w:val="ListNumber"/>
        <w:spacing w:after="60"/>
      </w:pPr>
      <w:r>
        <w:t>Volledige OH-hiërarchie (bron→collectief→individueel→PBM).</w:t>
      </w:r>
    </w:p>
    <w:p>
      <w:pPr>
        <w:pStyle w:val="ListNumber"/>
        <w:spacing w:after="60"/>
      </w:pPr>
      <w:r>
        <w:t>Herbesmettingsbewustzijn (corrosielagen, ‘schoon ≠ kwikvrij’).</w:t>
      </w:r>
    </w:p>
    <w:p>
      <w:pPr>
        <w:pStyle w:val="ListNumber"/>
        <w:spacing w:after="60"/>
      </w:pPr>
      <w:r>
        <w:t>Eural 3%-drempel correct.</w:t>
      </w:r>
    </w:p>
    <w:p>
      <w:pPr>
        <w:pStyle w:val="ListNumber"/>
        <w:spacing w:after="60"/>
      </w:pPr>
      <w:r>
        <w:t>Verpakkingsinstructies boven branchestandaard.</w:t>
      </w:r>
    </w:p>
    <w:p>
      <w:pPr>
        <w:pStyle w:val="ListNumber"/>
        <w:spacing w:after="60"/>
      </w:pPr>
      <w:r>
        <w:t>LSA/Mercury/Benzene Statement Card voor transport.</w:t>
      </w:r>
    </w:p>
    <w:p>
      <w:pPr>
        <w:pStyle w:val="Heading1"/>
      </w:pPr>
      <w:r>
        <w:t>6. Beperkingen en verificatiepunten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Deze audit is document-based: uitvoering, certificaten, kalibratie van meetapparatuur, registraties en locatiecondities zijn niet beoordeeld. Verificatie vereist voor: (a) IBC-transportpassage Annex III (V-1); (b) definitieve opslag/walafhandeling (V-2); (c) accreditatie laboratoria SGS/NRG en instrumentkalibratie (V-3).</w:t>
      </w:r>
    </w:p>
    <w:p>
      <w:pPr>
        <w:pStyle w:val="Heading1"/>
      </w:pPr>
      <w:r>
        <w:t>7. Conclusie en aanbeveling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De procedure is een goede basis; herziening vereist op R-01 t/m R-03 vóór inzet bij het Wintershall-decommissioningproject; R-04 t/m R-09 aanbevolen in dezelfde herzieningsronde. Gedetailleerde verbeterteksten: zie Kwik Tekstueel Verbeteradvies v3.0 en Herzieningsvoorstel 003.057 v2.1.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Prioriteit</w:t>
            </w:r>
          </w:p>
        </w:tc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Bevindingen</w:t>
            </w:r>
          </w:p>
        </w:tc>
        <w:tc>
          <w:tcPr>
            <w:tcW w:type="dxa" w:w="3173"/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Actie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HOOG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R-01, R-02, R-03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Herzien vóór projectuitvoering (spoedrevisie Rev 2)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MIDDEN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R-04, R-05, R-06, R-08, R-09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Opnemen in eerstvolgende herzieningsronde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LAAG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R-07, R-10, R-11</w:t>
            </w:r>
          </w:p>
        </w:tc>
        <w:tc>
          <w:tcPr>
            <w:tcW w:type="dxa" w:w="3173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Best practice-aanbevelingen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Calibri" w:hAnsi="Calibri"/>
          <w:b w:val="0"/>
          <w:i/>
          <w:sz w:val="19"/>
        </w:rPr>
        <w:t>Bronnen: Koole 003.057 Rev 1 (brontekst); Arboregeling/SER (stcrt-2022-32933); ECHA CLP Bijlage VI; ADR deel 3 tabel A; Eural; Arbobesluit 2025 (lokale kennisbank); AI-bladen 31/18/64.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003366"/>
        <w:sz w:val="16"/>
      </w:rPr>
      <w:t>JvG Consultancy — Compliance Audit Kwik 003.057 v2.0 — 24-08-2026 —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523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small-upgra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523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