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Herzieningsvoorstel 003.056 Chromium VI v4.0</w:t>
      </w:r>
    </w:p>
    <w:p>
      <w:pPr>
        <w:pStyle w:val="Author"/>
      </w:pPr>
      <w:r>
        <w:t xml:space="preserve">JvG Consultancy - HSEQ Divisie</w:t>
      </w:r>
    </w:p>
    <w:p>
      <w:pPr>
        <w:pStyle w:val="Date"/>
      </w:pPr>
      <w:r>
        <w:t xml:space="preserve">2026-08-25</w:t>
      </w:r>
    </w:p>
    <w:bookmarkStart w:id="42" w:name="X8cc33df3f017f4f7100b501a1abd003bbac15e2"/>
    <w:p>
      <w:pPr>
        <w:pStyle w:val="Heading1"/>
      </w:pPr>
      <w:r>
        <w:t xml:space="preserve">HERZIENINGSVOORSTEL — Procedure 003.056 Chromium VI Exposure Control</w:t>
      </w:r>
    </w:p>
    <w:bookmarkStart w:id="20" w:name="Xdbc216e578c1b9a9dc911eea91f31311438426c"/>
    <w:p>
      <w:pPr>
        <w:pStyle w:val="Heading2"/>
      </w:pPr>
      <w:r>
        <w:t xml:space="preserve">Voor de redacteur van de procedure (KOO B.V.)</w:t>
      </w:r>
    </w:p>
    <w:tbl>
      <w:tblPr>
        <w:tblStyle w:val="Table"/>
        <w:tblW w:type="pct" w:w="4917"/>
        <w:jc w:val="left"/>
        <w:tblLayout w:type="fixed"/>
        <w:tblLook w:firstRow="0" w:lastRow="0" w:firstColumn="0" w:lastColumn="0" w:noHBand="0" w:noVBand="0" w:val="0000"/>
      </w:tblPr>
      <w:tblGrid>
        <w:gridCol w:w="2376"/>
        <w:gridCol w:w="5412"/>
      </w:tblGrid>
      <w:tr>
        <w:tc>
          <w:tcPr/>
          <w:p>
            <w:pPr>
              <w:pStyle w:val="Compact"/>
              <w:jc w:val="left"/>
            </w:pPr>
            <w:r>
              <w:rPr>
                <w:b/>
                <w:bCs/>
              </w:rPr>
              <w:t xml:space="preserve">Datum</w:t>
            </w:r>
          </w:p>
        </w:tc>
        <w:tc>
          <w:tcPr/>
          <w:p>
            <w:pPr>
              <w:pStyle w:val="Compact"/>
              <w:jc w:val="left"/>
            </w:pPr>
            <w:r>
              <w:t xml:space="preserve">25 augustus 2026</w:t>
            </w:r>
          </w:p>
        </w:tc>
      </w:tr>
      <w:tr>
        <w:tc>
          <w:tcPr/>
          <w:p>
            <w:pPr>
              <w:pStyle w:val="Compact"/>
              <w:jc w:val="left"/>
            </w:pPr>
            <w:r>
              <w:rPr>
                <w:b/>
                <w:bCs/>
              </w:rPr>
              <w:t xml:space="preserve">Basis</w:t>
            </w:r>
          </w:p>
        </w:tc>
        <w:tc>
          <w:tcPr/>
          <w:p>
            <w:pPr>
              <w:pStyle w:val="Compact"/>
              <w:jc w:val="left"/>
            </w:pPr>
            <w:r>
              <w:t xml:space="preserve">Compliance audit d.d. 25-08-2026 (audit_rapport_2026-08-25_v1.0)</w:t>
            </w:r>
          </w:p>
        </w:tc>
      </w:tr>
      <w:tr>
        <w:tc>
          <w:tcPr/>
          <w:p>
            <w:pPr>
              <w:pStyle w:val="Compact"/>
              <w:jc w:val="left"/>
            </w:pPr>
            <w:r>
              <w:rPr>
                <w:b/>
                <w:bCs/>
              </w:rPr>
              <w:t xml:space="preserve">Doel</w:t>
            </w:r>
          </w:p>
        </w:tc>
        <w:tc>
          <w:tcPr/>
          <w:p>
            <w:pPr>
              <w:pStyle w:val="Compact"/>
              <w:jc w:val="left"/>
            </w:pPr>
            <w:r>
              <w:t xml:space="preserve">Concrete tekstaanpassingen om procedure conform NL wet- en regelgeving te maken</w:t>
            </w:r>
          </w:p>
        </w:tc>
      </w:tr>
      <w:tr>
        <w:tc>
          <w:tcPr/>
          <w:p>
            <w:pPr>
              <w:pStyle w:val="Compact"/>
              <w:jc w:val="left"/>
            </w:pPr>
            <w:r>
              <w:rPr>
                <w:b/>
                <w:bCs/>
              </w:rPr>
              <w:t xml:space="preserve">Projectcontext</w:t>
            </w:r>
          </w:p>
        </w:tc>
        <w:tc>
          <w:tcPr/>
          <w:p>
            <w:pPr>
              <w:pStyle w:val="Compact"/>
              <w:jc w:val="left"/>
            </w:pPr>
            <w:r>
              <w:t xml:space="preserve">Wintershall decommissioning, offshore, small piece removal</w:t>
            </w:r>
          </w:p>
        </w:tc>
      </w:tr>
      <w:tr>
        <w:tc>
          <w:tcPr/>
          <w:p>
            <w:pPr>
              <w:pStyle w:val="Compact"/>
              <w:jc w:val="left"/>
            </w:pPr>
            <w:r>
              <w:rPr>
                <w:b/>
                <w:bCs/>
              </w:rPr>
              <w:t xml:space="preserve">Taalvoorstel</w:t>
            </w:r>
          </w:p>
        </w:tc>
        <w:tc>
          <w:tcPr/>
          <w:p>
            <w:pPr>
              <w:pStyle w:val="Compact"/>
              <w:jc w:val="left"/>
            </w:pPr>
            <w:r>
              <w:t xml:space="preserve">Engels (conform documenttaal procedure)</w:t>
            </w:r>
          </w:p>
        </w:tc>
      </w:tr>
    </w:tbl>
    <w:p>
      <w:pPr>
        <w:pStyle w:val="BodyText"/>
      </w:pPr>
      <w:r>
        <w:rPr>
          <w:b/>
          <w:bCs/>
        </w:rPr>
        <w:t xml:space="preserve">Leeswijzer:</w:t>
      </w:r>
      <w:r>
        <w:t xml:space="preserve"> </w:t>
      </w:r>
      <w:r>
        <w:t xml:space="preserve">per bevinding: (1) huidige tekst, (2) eis waaraan niet voldaan, (3) voorgestelde herziene tekst — direct overneembaar. Voorstellen zijn gemarkeerd: [WET] wettelijke eis · [NORM] bindende norm/certificatieschema · [AI-03] praktijkinformatie · [BP] best practice · [VP] verificatiepunt.</w:t>
      </w:r>
    </w:p>
    <w:bookmarkEnd w:id="20"/>
    <w:bookmarkStart w:id="26" w:name="X71d1f6c41fe816683fe97f4f7c78a4083212409"/>
    <w:p>
      <w:pPr>
        <w:pStyle w:val="Heading2"/>
      </w:pPr>
      <w:r>
        <w:t xml:space="preserve">PRIORITEIT 1 — Wettelijk blootstellend (vóór implementatie herzien)</w:t>
      </w:r>
    </w:p>
    <w:bookmarkStart w:id="21" w:name="meetstrategie-nen-en-689482-h1-wet-norm"/>
    <w:p>
      <w:pPr>
        <w:pStyle w:val="Heading3"/>
      </w:pPr>
      <w:r>
        <w:t xml:space="preserve">1. Meetstrategie NEN-EN 689/482 (H1) [WET + NORM]</w:t>
      </w:r>
    </w:p>
    <w:p>
      <w:pPr>
        <w:pStyle w:val="FirstParagraph"/>
      </w:pPr>
      <w:r>
        <w:rPr>
          <w:b/>
          <w:bCs/>
        </w:rPr>
        <w:t xml:space="preserve">Huidige tekst:</w:t>
      </w:r>
      <w:r>
        <w:t xml:space="preserve"> </w:t>
      </w:r>
      <w:r>
        <w:t xml:space="preserve">Niet aanwezig in procedure.</w:t>
      </w:r>
    </w:p>
    <w:p>
      <w:pPr>
        <w:pStyle w:val="BodyText"/>
      </w:pPr>
      <w:r>
        <w:rPr>
          <w:b/>
          <w:bCs/>
        </w:rPr>
        <w:t xml:space="preserve">Eis:</w:t>
      </w:r>
      <w:r>
        <w:t xml:space="preserve"> </w:t>
      </w:r>
      <w:r>
        <w:t xml:space="preserve">Arbobesluit art. 4.13: bij blootstelling aan kankerverwekkende stoffen moet de werkgever metingen uitvoeren om te toetsen aan de wettelijke grenswaarde. NEN-EN 689 schrijft een meetstrategie voor: baseline-meting bij aanvang, taakmetingen bij risicovolle activiteiten, en toetsing van resultaten volgens statistische regels. NEN-EN 482 stelt eisen aan meetprocedures, bemonsteringsduur en laboratoriumaccreditatie.</w:t>
      </w:r>
    </w:p>
    <w:p>
      <w:pPr>
        <w:pStyle w:val="BodyText"/>
      </w:pPr>
      <w:r>
        <w:rPr>
          <w:b/>
          <w:bCs/>
        </w:rPr>
        <w:t xml:space="preserve">Voorgestelde herziene tekst (nieuwe paragraaf §4.2):</w:t>
      </w:r>
      <w:r>
        <w:t xml:space="preserve"> </w:t>
      </w:r>
      <w:r>
        <w:t xml:space="preserve">&gt;</w:t>
      </w:r>
      <w:r>
        <w:t xml:space="preserve"> </w:t>
      </w:r>
      <w:r>
        <w:t xml:space="preserve">“</w:t>
      </w:r>
      <w:r>
        <w:t xml:space="preserve">A measurement strategy shall be implemented for all chromium VI exposure control activities in accordance with NEN-EN 689 and NEN-EN 482. The strategy shall comprise: &gt; -</w:t>
      </w:r>
      <w:r>
        <w:t xml:space="preserve"> </w:t>
      </w:r>
      <w:r>
        <w:rPr>
          <w:b/>
          <w:bCs/>
        </w:rPr>
        <w:t xml:space="preserve">Baseline measurement:</w:t>
      </w:r>
      <w:r>
        <w:t xml:space="preserve"> </w:t>
      </w:r>
      <w:r>
        <w:t xml:space="preserve">personal exposure measurement prior to commencement of work to establish initial exposure levels; &gt; -</w:t>
      </w:r>
      <w:r>
        <w:t xml:space="preserve"> </w:t>
      </w:r>
      <w:r>
        <w:rPr>
          <w:b/>
          <w:bCs/>
        </w:rPr>
        <w:t xml:space="preserve">Task-based measurements:</w:t>
      </w:r>
      <w:r>
        <w:t xml:space="preserve"> </w:t>
      </w:r>
      <w:r>
        <w:t xml:space="preserve">for each high-risk activity (e.g., cutting, grinding, sanding, removal of coatings), personal exposure measurement shall be performed; &gt; -</w:t>
      </w:r>
      <w:r>
        <w:t xml:space="preserve"> </w:t>
      </w:r>
      <w:r>
        <w:rPr>
          <w:b/>
          <w:bCs/>
        </w:rPr>
        <w:t xml:space="preserve">Measurement frequency:</w:t>
      </w:r>
      <w:r>
        <w:t xml:space="preserve"> </w:t>
      </w:r>
      <w:r>
        <w:t xml:space="preserve">baseline at start, task measurements per activity, and repeat measurements when working conditions change significantly; &gt; -</w:t>
      </w:r>
      <w:r>
        <w:t xml:space="preserve"> </w:t>
      </w:r>
      <w:r>
        <w:rPr>
          <w:b/>
          <w:bCs/>
        </w:rPr>
        <w:t xml:space="preserve">Sampling duration:</w:t>
      </w:r>
      <w:r>
        <w:t xml:space="preserve"> </w:t>
      </w:r>
      <w:r>
        <w:t xml:space="preserve">personal sampling for short-duration tasks of 15 minutes (NEN-EN 482) and area sampling for 4–8 hours; &gt; -</w:t>
      </w:r>
      <w:r>
        <w:t xml:space="preserve"> </w:t>
      </w:r>
      <w:r>
        <w:rPr>
          <w:b/>
          <w:bCs/>
        </w:rPr>
        <w:t xml:space="preserve">Test framework:</w:t>
      </w:r>
      <w:r>
        <w:t xml:space="preserve"> </w:t>
      </w:r>
      <w:r>
        <w:t xml:space="preserve">all measurement results shall be tested against the statutory limit value for chromium VI of 1 µg/m³ (8-hour TWA) in accordance with the statistical testing methodology of NEN-EN 689; &gt; -</w:t>
      </w:r>
      <w:r>
        <w:t xml:space="preserve"> </w:t>
      </w:r>
      <w:r>
        <w:rPr>
          <w:b/>
          <w:bCs/>
        </w:rPr>
        <w:t xml:space="preserve">Responsibility:</w:t>
      </w:r>
      <w:r>
        <w:t xml:space="preserve"> </w:t>
      </w:r>
      <w:r>
        <w:t xml:space="preserve">QHSE Koole shall arrange for measurements to be performed; analysis shall be conducted by an ISO 17025-accredited external laboratory; &gt; -</w:t>
      </w:r>
      <w:r>
        <w:t xml:space="preserve"> </w:t>
      </w:r>
      <w:r>
        <w:rPr>
          <w:b/>
          <w:bCs/>
        </w:rPr>
        <w:t xml:space="preserve">Limit value linkage:</w:t>
      </w:r>
      <w:r>
        <w:t xml:space="preserve"> </w:t>
      </w:r>
      <w:r>
        <w:t xml:space="preserve">each measurement result shall be tested against and reported against the statutory limit value for chromium VI of 1 µg/m³. &gt; All measurement results, including sampling data, laboratory certificates and limit value assessments, shall be retained in the project execution documentation.</w:t>
      </w:r>
      <w:r>
        <w:t xml:space="preserve">”</w:t>
      </w:r>
    </w:p>
    <w:bookmarkEnd w:id="21"/>
    <w:bookmarkStart w:id="22" w:name="Xa1eca2e79a75d1e9a7fdf620e3eaed82e792c24"/>
    <w:p>
      <w:pPr>
        <w:pStyle w:val="Heading3"/>
      </w:pPr>
      <w:r>
        <w:t xml:space="preserve">2. Arbeidsgezondheidskundig Onderzoek (AGO) (H2) [WET]</w:t>
      </w:r>
    </w:p>
    <w:p>
      <w:pPr>
        <w:pStyle w:val="FirstParagraph"/>
      </w:pPr>
      <w:r>
        <w:rPr>
          <w:b/>
          <w:bCs/>
        </w:rPr>
        <w:t xml:space="preserve">Huidige tekst:</w:t>
      </w:r>
      <w:r>
        <w:t xml:space="preserve"> </w:t>
      </w:r>
      <w:r>
        <w:t xml:space="preserve">Niet aanwezig in procedure.</w:t>
      </w:r>
    </w:p>
    <w:p>
      <w:pPr>
        <w:pStyle w:val="BodyText"/>
      </w:pPr>
      <w:r>
        <w:rPr>
          <w:b/>
          <w:bCs/>
        </w:rPr>
        <w:t xml:space="preserve">Eis:</w:t>
      </w:r>
      <w:r>
        <w:t xml:space="preserve"> </w:t>
      </w:r>
      <w:r>
        <w:t xml:space="preserve">Arbobesluit art. 4.10: bij blootstelling aan kankerverwekkende stoffen (CMR-stoffen) moet de werkgever medezeggenschap vragen en een arbeidsgezondheidskundig onderzoek aanbieden. De bedrijfsarts heeft een formele rol in screening, geschiktheidsbeoordeling, periodieke evaluatie en medisch advies.</w:t>
      </w:r>
    </w:p>
    <w:p>
      <w:pPr>
        <w:pStyle w:val="BodyText"/>
      </w:pPr>
      <w:r>
        <w:rPr>
          <w:b/>
          <w:bCs/>
        </w:rPr>
        <w:t xml:space="preserve">Voorgestelde herziene tekst (nieuwe paragraaf §5.5):</w:t>
      </w:r>
      <w:r>
        <w:t xml:space="preserve"> </w:t>
      </w:r>
      <w:r>
        <w:t xml:space="preserve">&gt;</w:t>
      </w:r>
      <w:r>
        <w:t xml:space="preserve"> </w:t>
      </w:r>
      <w:r>
        <w:t xml:space="preserve">“</w:t>
      </w:r>
      <w:r>
        <w:t xml:space="preserve">For all workers with exposure risk to chromium VI, an occupational health examination shall be offered prior to or at commencement of activities. The examination shall be conducted by a certified occupational physician and include: &gt; - Pre-employment screening to assess medical fitness for chromium VI exposure; &gt; - Health surveillance in accordance with the exposure profile; &gt; - Periodic reassessment at least once every three years, with repeat examination when measurement results exceed 10% of the limit value; &gt; - Medical advice and fitness assessment for continued work. &gt; The occupational physician shall review measurement results and provide recommendations for protective measures. Examination records shall be retained in accordance with the statutory retention period and made available to the Labour Inspectorate on request. Workers shall be informed of their right to decline participation and of the consequences for continued work activities.</w:t>
      </w:r>
      <w:r>
        <w:t xml:space="preserve">”</w:t>
      </w:r>
    </w:p>
    <w:bookmarkEnd w:id="22"/>
    <w:bookmarkStart w:id="23" w:name="X86c734f94bf60e714dfd51dceeac99dabb2f401"/>
    <w:p>
      <w:pPr>
        <w:pStyle w:val="Heading3"/>
      </w:pPr>
      <w:r>
        <w:t xml:space="preserve">3. Bewaring blootstellingsgegevens (40 jaar) (H3) [WET]</w:t>
      </w:r>
    </w:p>
    <w:p>
      <w:pPr>
        <w:pStyle w:val="FirstParagraph"/>
      </w:pPr>
      <w:r>
        <w:rPr>
          <w:b/>
          <w:bCs/>
        </w:rPr>
        <w:t xml:space="preserve">Huidige tekst:</w:t>
      </w:r>
      <w:r>
        <w:t xml:space="preserve"> </w:t>
      </w:r>
      <w:r>
        <w:t xml:space="preserve">Niet aanwezig in procedure.</w:t>
      </w:r>
    </w:p>
    <w:p>
      <w:pPr>
        <w:pStyle w:val="BodyText"/>
      </w:pPr>
      <w:r>
        <w:rPr>
          <w:b/>
          <w:bCs/>
        </w:rPr>
        <w:t xml:space="preserve">Eis:</w:t>
      </w:r>
      <w:r>
        <w:t xml:space="preserve"> </w:t>
      </w:r>
      <w:r>
        <w:t xml:space="preserve">Arbobesluit art. 4.15: gegevens over blootstelling aan kankerverwekkende stoffen moeten 40 jaar worden bewaard na beëindiging van de blootstelling. Dit omvat registratie van aard, mate en duur van de blootstelling per werknemer.</w:t>
      </w:r>
    </w:p>
    <w:p>
      <w:pPr>
        <w:pStyle w:val="BodyText"/>
      </w:pPr>
      <w:r>
        <w:rPr>
          <w:b/>
          <w:bCs/>
        </w:rPr>
        <w:t xml:space="preserve">Voorgestelde herziene tekst (nieuwe paragraaf §6.3):</w:t>
      </w:r>
      <w:r>
        <w:t xml:space="preserve"> </w:t>
      </w:r>
      <w:r>
        <w:t xml:space="preserve">&gt;</w:t>
      </w:r>
      <w:r>
        <w:t xml:space="preserve"> </w:t>
      </w:r>
      <w:r>
        <w:t xml:space="preserve">“</w:t>
      </w:r>
      <w:r>
        <w:t xml:space="preserve">Exposure data for all personnel exposed to chromium VI shall be registered and retained for 40 years after termination of exposure, in accordance with Arbobesluit art. 4.15. The exposure register shall contain: &gt; - Employee name and function; &gt; - Date and duration of exposure; &gt; - Nature of activities performed; &gt; - Measurement methods applied; &gt; - Measured concentration levels; &gt; - Personal protective equipment used. &gt; The exposure register shall be maintained throughout the project lifecycle and archived upon project completion. Transfer arrangements shall be documented when scaling down the project or terminating the contract, with notification to the client and archiving by the contractor. Workers shall have access to their own exposure data and shall receive a copy on request.</w:t>
      </w:r>
      <w:r>
        <w:t xml:space="preserve">”</w:t>
      </w:r>
    </w:p>
    <w:bookmarkEnd w:id="23"/>
    <w:bookmarkStart w:id="24" w:name="X45947b4e2177156038cf600ea2688e1ede7ca0a"/>
    <w:p>
      <w:pPr>
        <w:pStyle w:val="Heading3"/>
      </w:pPr>
      <w:r>
        <w:t xml:space="preserve">4. RI&amp;E Tox-elementen + vervangingsonderbouwing (H4) [WET]</w:t>
      </w:r>
    </w:p>
    <w:p>
      <w:pPr>
        <w:pStyle w:val="FirstParagraph"/>
      </w:pPr>
      <w:r>
        <w:rPr>
          <w:b/>
          <w:bCs/>
        </w:rPr>
        <w:t xml:space="preserve">Huidige tekst §2.1:</w:t>
      </w:r>
      <w:r>
        <w:t xml:space="preserve"> </w:t>
      </w:r>
      <w:r>
        <w:t xml:space="preserve">Verwijst naar RI&amp;E, maar bevat geen specifieke elementen voor toxische stoffen of kankerverwekkende stoffen. Geen documentatie van vervangingsplicht of substitutieafweging.</w:t>
      </w:r>
    </w:p>
    <w:p>
      <w:pPr>
        <w:pStyle w:val="BodyText"/>
      </w:pPr>
      <w:r>
        <w:rPr>
          <w:b/>
          <w:bCs/>
        </w:rPr>
        <w:t xml:space="preserve">Eis:</w:t>
      </w:r>
      <w:r>
        <w:t xml:space="preserve"> </w:t>
      </w:r>
      <w:r>
        <w:t xml:space="preserve">Arbobesluit art. 4.2: voor gevaarlijke stoffen moet de RI&amp;E registratie bevatten van aard, mate en duur van de blootstelling. Arbobesluit art. 4.13 verplicht tot overweging van vervanging van kankerverwekkende stoffen door minder gevaarlijke alternatieven en bronmaatregelen vóór collectieve en individuele bescherming.</w:t>
      </w:r>
    </w:p>
    <w:p>
      <w:pPr>
        <w:pStyle w:val="BodyText"/>
      </w:pPr>
      <w:r>
        <w:rPr>
          <w:b/>
          <w:bCs/>
        </w:rPr>
        <w:t xml:space="preserve">Voorgestelde herziene tekst §2.1:</w:t>
      </w:r>
      <w:r>
        <w:t xml:space="preserve"> </w:t>
      </w:r>
      <w:r>
        <w:t xml:space="preserve">&gt;</w:t>
      </w:r>
      <w:r>
        <w:t xml:space="preserve"> </w:t>
      </w:r>
      <w:r>
        <w:t xml:space="preserve">“</w:t>
      </w:r>
      <w:r>
        <w:t xml:space="preserve">The Risk Inventory and Evaluation (RI&amp;E) shall contain specific elements for toxic and carcinogenic substances. For chromium VI exposure, the RI&amp;E shall include: &gt; - Registration of the nature, extent and duration of exposure per task and function; &gt; - Identification of all chromium VI-containing materials and coatings; &gt; - Assessment of exposure routes (inhalation, dermal, ingestion); &gt; - Explicit consideration of substitution and source control measures before resorting to collective and personal protection; &gt; - Substitution analysis: cold cutting versus hot cutting, with risk assessment and justification of the chosen method using the 5M method (Man, Means, Method, Environment, Material); &gt; - Evaluation of alternative methods to eliminate or reduce chromium VI exposure. &gt; The substitution analysis shall be documented in the project execution plan and reviewed prior to commencement of work.</w:t>
      </w:r>
      <w:r>
        <w:t xml:space="preserve">”</w:t>
      </w:r>
    </w:p>
    <w:bookmarkEnd w:id="24"/>
    <w:bookmarkStart w:id="25" w:name="lijst-blootgestelde-werknemers-h5-wet"/>
    <w:p>
      <w:pPr>
        <w:pStyle w:val="Heading3"/>
      </w:pPr>
      <w:r>
        <w:t xml:space="preserve">5. Lijst blootgestelde werknemers (H5) [WET]</w:t>
      </w:r>
    </w:p>
    <w:p>
      <w:pPr>
        <w:pStyle w:val="FirstParagraph"/>
      </w:pPr>
      <w:r>
        <w:rPr>
          <w:b/>
          <w:bCs/>
        </w:rPr>
        <w:t xml:space="preserve">Huidige tekst:</w:t>
      </w:r>
      <w:r>
        <w:t xml:space="preserve"> </w:t>
      </w:r>
      <w:r>
        <w:t xml:space="preserve">Niet aanwezig in procedure.</w:t>
      </w:r>
    </w:p>
    <w:p>
      <w:pPr>
        <w:pStyle w:val="BodyText"/>
      </w:pPr>
      <w:r>
        <w:rPr>
          <w:b/>
          <w:bCs/>
        </w:rPr>
        <w:t xml:space="preserve">Eis:</w:t>
      </w:r>
      <w:r>
        <w:t xml:space="preserve"> </w:t>
      </w:r>
      <w:r>
        <w:t xml:space="preserve">Arbobesluit art. 4.13: werknemers met blootstelling aan kankerverwekkende stoffen hebben recht op registratie en inzage in hun blootstellingsdossier.</w:t>
      </w:r>
    </w:p>
    <w:p>
      <w:pPr>
        <w:pStyle w:val="BodyText"/>
      </w:pPr>
      <w:r>
        <w:rPr>
          <w:b/>
          <w:bCs/>
        </w:rPr>
        <w:t xml:space="preserve">Voorgestelde herziene tekst (nieuwe paragraaf §6.4):</w:t>
      </w:r>
      <w:r>
        <w:t xml:space="preserve"> </w:t>
      </w:r>
      <w:r>
        <w:t xml:space="preserve">&gt;</w:t>
      </w:r>
      <w:r>
        <w:t xml:space="preserve"> </w:t>
      </w:r>
      <w:r>
        <w:t xml:space="preserve">“</w:t>
      </w:r>
      <w:r>
        <w:t xml:space="preserve">A list of exposed workers shall be maintained for all personnel with potential exposure to chromium VI. The register shall contain: &gt; - Employee name and function; &gt; - Period of exposure activities; &gt; - Nature and duration of work activities; &gt; - Exposure levels measured; &gt; - Personal protective equipment used. &gt; Workers shall have the right to access their own exposure file and shall receive a copy on request. The register shall be updated throughout the project and retained in accordance with the statutory retention period of 40 years. The register shall be available to the Labour Inspectorate on request.</w:t>
      </w:r>
      <w:r>
        <w:t xml:space="preserve">”</w:t>
      </w:r>
    </w:p>
    <w:bookmarkEnd w:id="25"/>
    <w:bookmarkEnd w:id="26"/>
    <w:bookmarkStart w:id="34" w:name="prioriteit-2-wettelijk-verplicht"/>
    <w:p>
      <w:pPr>
        <w:pStyle w:val="Heading2"/>
      </w:pPr>
      <w:r>
        <w:t xml:space="preserve">PRIORITEIT 2 — Wettelijk verplicht</w:t>
      </w:r>
    </w:p>
    <w:bookmarkStart w:id="27" w:name="X7c58174ba3995703a2844a8fc29839657b316a0"/>
    <w:p>
      <w:pPr>
        <w:pStyle w:val="Heading3"/>
      </w:pPr>
      <w:r>
        <w:t xml:space="preserve">6. Abnormale blootstelling + OR/PVT-melding (H6) [WET]</w:t>
      </w:r>
    </w:p>
    <w:p>
      <w:pPr>
        <w:pStyle w:val="FirstParagraph"/>
      </w:pPr>
      <w:r>
        <w:rPr>
          <w:b/>
          <w:bCs/>
        </w:rPr>
        <w:t xml:space="preserve">Huidige tekst:</w:t>
      </w:r>
      <w:r>
        <w:t xml:space="preserve"> </w:t>
      </w:r>
      <w:r>
        <w:t xml:space="preserve">Geen formele meldingsprocedure voor abnormale blootstelling (calamiteit, overschrijding grenswaarde, afgifte uit installaties).</w:t>
      </w:r>
    </w:p>
    <w:p>
      <w:pPr>
        <w:pStyle w:val="BodyText"/>
      </w:pPr>
      <w:r>
        <w:rPr>
          <w:b/>
          <w:bCs/>
        </w:rPr>
        <w:t xml:space="preserve">Eis:</w:t>
      </w:r>
      <w:r>
        <w:t xml:space="preserve"> </w:t>
      </w:r>
      <w:r>
        <w:t xml:space="preserve">Arbobesluit art. 4.13: bij abnormale blootstelling moet de ondernemer de werknemers en hun vertegenwoordigers (ondernemingsraad of personeelsvertegenwoordiging) informeren en maatregelen evalueren.</w:t>
      </w:r>
    </w:p>
    <w:p>
      <w:pPr>
        <w:pStyle w:val="BodyText"/>
      </w:pPr>
      <w:r>
        <w:rPr>
          <w:b/>
          <w:bCs/>
        </w:rPr>
        <w:t xml:space="preserve">Voorgestelde herziene tekst (nieuwe paragraaf §7.2):</w:t>
      </w:r>
      <w:r>
        <w:t xml:space="preserve"> </w:t>
      </w:r>
      <w:r>
        <w:t xml:space="preserve">&gt;</w:t>
      </w:r>
      <w:r>
        <w:t xml:space="preserve"> </w:t>
      </w:r>
      <w:r>
        <w:t xml:space="preserve">“</w:t>
      </w:r>
      <w:r>
        <w:t xml:space="preserve">In case of abnormal exposure (calamity, exceeding the limit value, release from installations), a formal reporting procedure shall be followed: &gt; - Immediate notification to all exposed workers; &gt; - Formal notification to the works council or personnel representative within 48 hours, specifying the nature of the incident, exposure levels, and measures taken; &gt; - Evaluation of the measures taken and implementation of additional measures as necessary; &gt; - Documentation of the incident in the exposure register and site log; &gt; - Review of the risk assessment and work plan where the incident indicates systemic issues. &gt; The works council or personnel representative shall have the right to receive all relevant information and to be involved in the evaluation of measures.</w:t>
      </w:r>
      <w:r>
        <w:t xml:space="preserve">”</w:t>
      </w:r>
    </w:p>
    <w:bookmarkEnd w:id="27"/>
    <w:bookmarkStart w:id="28" w:name="X2068363b3c393382605bf8c6c3f58d6c11f6cea"/>
    <w:p>
      <w:pPr>
        <w:pStyle w:val="Heading3"/>
      </w:pPr>
      <w:r>
        <w:t xml:space="preserve">7. REACH Bijlage XIV — autorisatiecheck (H7) [WET]</w:t>
      </w:r>
    </w:p>
    <w:p>
      <w:pPr>
        <w:pStyle w:val="FirstParagraph"/>
      </w:pPr>
      <w:r>
        <w:rPr>
          <w:b/>
          <w:bCs/>
        </w:rPr>
        <w:t xml:space="preserve">Huidige tekst:</w:t>
      </w:r>
      <w:r>
        <w:t xml:space="preserve"> </w:t>
      </w:r>
      <w:r>
        <w:t xml:space="preserve">Geen verificatiepunt voor REACH-autorisatie bij gebruik van chroom(VI)-verbindingen.</w:t>
      </w:r>
    </w:p>
    <w:p>
      <w:pPr>
        <w:pStyle w:val="BodyText"/>
      </w:pPr>
      <w:r>
        <w:rPr>
          <w:b/>
          <w:bCs/>
        </w:rPr>
        <w:t xml:space="preserve">Eis:</w:t>
      </w:r>
      <w:r>
        <w:t xml:space="preserve"> </w:t>
      </w:r>
      <w:r>
        <w:t xml:space="preserve">REACH Verordening Bijlage XIV: chroom(VI)-verbindingen staan op de autorisatielijst. Gebruik is alleen toegestaan binnen goedgekeurde toepassingskaders en met geldige autorisatie. Voor bijkomend gebruik moet een autorisatiecheck worden uitgevoerd.</w:t>
      </w:r>
    </w:p>
    <w:p>
      <w:pPr>
        <w:pStyle w:val="BodyText"/>
      </w:pPr>
      <w:r>
        <w:rPr>
          <w:b/>
          <w:bCs/>
        </w:rPr>
        <w:t xml:space="preserve">Voorgestelde herziene tekst (nieuwe paragraaf §4.3):</w:t>
      </w:r>
      <w:r>
        <w:t xml:space="preserve"> </w:t>
      </w:r>
      <w:r>
        <w:t xml:space="preserve">&gt;</w:t>
      </w:r>
      <w:r>
        <w:t xml:space="preserve"> </w:t>
      </w:r>
      <w:r>
        <w:t xml:space="preserve">“</w:t>
      </w:r>
      <w:r>
        <w:t xml:space="preserve">For chromium VI compounds listed in REACH Annex XIV (authorisation list), an authorisation check shall be performed prior to procurement and use. This applies to: &gt; - Chromium VI-containing coatings and paints; &gt; - Chromium VI-containing chemicals used in surface treatment; &gt; - Products containing chromium VI outside the approved application framework. &gt; The check shall confirm: &gt; - Valid REACH authorisation for the specific use; &gt; - Compliance with the authorised application conditions; &gt; - Availability of suitable alternatives and consideration of substitution where feasible. &gt; Products without valid authorisation shall not be procured or used. Authorisation documentation shall be retained in the project execution records.</w:t>
      </w:r>
      <w:r>
        <w:t xml:space="preserve">”</w:t>
      </w:r>
    </w:p>
    <w:bookmarkEnd w:id="28"/>
    <w:bookmarkStart w:id="29" w:name="afvalstroomklassering-h8-wet-norm"/>
    <w:p>
      <w:pPr>
        <w:pStyle w:val="Heading3"/>
      </w:pPr>
      <w:r>
        <w:t xml:space="preserve">8. Afvalstroomklassering (H8) [WET + NORM]</w:t>
      </w:r>
    </w:p>
    <w:p>
      <w:pPr>
        <w:pStyle w:val="FirstParagraph"/>
      </w:pPr>
      <w:r>
        <w:rPr>
          <w:b/>
          <w:bCs/>
        </w:rPr>
        <w:t xml:space="preserve">Huidige tekst §8.2:</w:t>
      </w:r>
      <w:r>
        <w:t xml:space="preserve"> </w:t>
      </w:r>
      <w:r>
        <w:t xml:space="preserve">Generieke verwijzing naar afvalverwijdering, zonder specifieke classificatie voor chroom(VI)-houdende afvalstromen.</w:t>
      </w:r>
    </w:p>
    <w:p>
      <w:pPr>
        <w:pStyle w:val="BodyText"/>
      </w:pPr>
      <w:r>
        <w:rPr>
          <w:b/>
          <w:bCs/>
        </w:rPr>
        <w:t xml:space="preserve">Eis:</w:t>
      </w:r>
      <w:r>
        <w:t xml:space="preserve"> </w:t>
      </w:r>
      <w:r>
        <w:t xml:space="preserve">Wet milieubeheer / Landelijk Afvalbeheerplan: chroom(VI)-houdende afvalstromen zijn gevaarlijk afval en vereisen correcte herkenning, classificatie en begeleiding. PGS-15 stelt eisen aan opslag, verpakking en transport van gevaarlijke chemische afvalstoffen.</w:t>
      </w:r>
    </w:p>
    <w:p>
      <w:pPr>
        <w:pStyle w:val="BodyText"/>
      </w:pPr>
      <w:r>
        <w:rPr>
          <w:b/>
          <w:bCs/>
        </w:rPr>
        <w:t xml:space="preserve">Voorgestelde herziene tekst §8.2:</w:t>
      </w:r>
      <w:r>
        <w:t xml:space="preserve"> </w:t>
      </w:r>
      <w:r>
        <w:t xml:space="preserve">&gt;</w:t>
      </w:r>
      <w:r>
        <w:t xml:space="preserve"> </w:t>
      </w:r>
      <w:r>
        <w:t xml:space="preserve">“</w:t>
      </w:r>
      <w:r>
        <w:t xml:space="preserve">Chromium VI-containing waste streams shall be identified, classified and managed as hazardous waste in accordance with the Environmental Management Act and the National Waste Management Plan. Waste shall be: &gt; - Clearly identified and labelled as chromium VI-containing hazardous waste; &gt; - Classified according to the European Waste Catalogue (EWC) code; &gt; - Packaged in leak-proof, labelled containers compatible with chromium VI; &gt; - Accompanied by a waste manifest document containing: waste description, quantity, EWC code, origin, and destination facility; &gt; - Transported only to authorised disposal facilities licensed for chromium VI waste; &gt; - Stored temporarily in a designated, locked area with secondary containment. &gt; Disposal shall be coordinated with the licensed disposal facility. All waste documentation shall be retained for the statutory retention period.</w:t>
      </w:r>
      <w:r>
        <w:t xml:space="preserve">”</w:t>
      </w:r>
    </w:p>
    <w:bookmarkEnd w:id="29"/>
    <w:bookmarkStart w:id="30" w:name="X9624213c52b66194e27577e1b2943e1e7738417"/>
    <w:p>
      <w:pPr>
        <w:pStyle w:val="Heading3"/>
      </w:pPr>
      <w:r>
        <w:t xml:space="preserve">9. Arbo-informatiebladen 67, 31, 18 en 77 (H9) [WET + AI-03]</w:t>
      </w:r>
    </w:p>
    <w:p>
      <w:pPr>
        <w:pStyle w:val="FirstParagraph"/>
      </w:pPr>
      <w:r>
        <w:rPr>
          <w:b/>
          <w:bCs/>
        </w:rPr>
        <w:t xml:space="preserve">Huidige tekst §6:</w:t>
      </w:r>
      <w:r>
        <w:t xml:space="preserve"> </w:t>
      </w:r>
      <w:r>
        <w:t xml:space="preserve">Referentielijst bevat de relevante arbo-informatiebladen niet.</w:t>
      </w:r>
    </w:p>
    <w:p>
      <w:pPr>
        <w:pStyle w:val="BodyText"/>
      </w:pPr>
      <w:r>
        <w:rPr>
          <w:b/>
          <w:bCs/>
        </w:rPr>
        <w:t xml:space="preserve">Eis:</w:t>
      </w:r>
      <w:r>
        <w:t xml:space="preserve"> </w:t>
      </w:r>
      <w:r>
        <w:t xml:space="preserve">Arbo-informatiebladen van het Ministerie van Sociale Zaken en Werkgelegenheid vormen de officiële interpretatie van het Arbobesluit. Voor chroom(VI) zijn relevant: AI-blad 67 (kankerverwekkende stoffen), AI-blad 31 (gevaarlijke stoffen), AI-blad 18 (persoonlijke beschermingsmiddelen) en AI-blad 77 (chroom-6).</w:t>
      </w:r>
    </w:p>
    <w:p>
      <w:pPr>
        <w:pStyle w:val="BodyText"/>
      </w:pPr>
      <w:r>
        <w:rPr>
          <w:b/>
          <w:bCs/>
        </w:rPr>
        <w:t xml:space="preserve">Voorgestelde herziene tekst §6 (aanvulling referentielijst):</w:t>
      </w:r>
      <w:r>
        <w:t xml:space="preserve"> </w:t>
      </w:r>
      <w:r>
        <w:t xml:space="preserve">&gt;</w:t>
      </w:r>
      <w:r>
        <w:t xml:space="preserve"> </w:t>
      </w:r>
      <w:r>
        <w:t xml:space="preserve">“</w:t>
      </w:r>
      <w:r>
        <w:t xml:space="preserve">- Arbo-informatieblad 67: Kankerverwekkende stoffen &gt; - Arbo-informatieblad 31: Gevaarlijke stoffen &gt; - Arbo-informatieblad 18: Persoonlijke beschermingsmiddelen &gt; - Arbo-informatieblad 77: Chroom-6</w:t>
      </w:r>
      <w:r>
        <w:t xml:space="preserve">”</w:t>
      </w:r>
    </w:p>
    <w:bookmarkEnd w:id="30"/>
    <w:bookmarkStart w:id="31" w:name="beheersregime-chroom-6-h10-ai-03-bp"/>
    <w:p>
      <w:pPr>
        <w:pStyle w:val="Heading3"/>
      </w:pPr>
      <w:r>
        <w:t xml:space="preserve">10. Beheersregime chroom-6 (H10) [AI-03 + BP]</w:t>
      </w:r>
    </w:p>
    <w:p>
      <w:pPr>
        <w:pStyle w:val="FirstParagraph"/>
      </w:pPr>
      <w:r>
        <w:rPr>
          <w:b/>
          <w:bCs/>
        </w:rPr>
        <w:t xml:space="preserve">Huidige tekst §3.2:</w:t>
      </w:r>
      <w:r>
        <w:t xml:space="preserve"> </w:t>
      </w:r>
      <w:r>
        <w:t xml:space="preserve">Geen operationele verwijzing naar het beheersregime chroom-6 van de rijksoverheid (Rijkswaterstaat, Defensie, ProRail, Rijksvastgoedbedrijf).</w:t>
      </w:r>
    </w:p>
    <w:p>
      <w:pPr>
        <w:pStyle w:val="BodyText"/>
      </w:pPr>
      <w:r>
        <w:rPr>
          <w:b/>
          <w:bCs/>
        </w:rPr>
        <w:t xml:space="preserve">Eis:</w:t>
      </w:r>
      <w:r>
        <w:t xml:space="preserve"> </w:t>
      </w:r>
      <w:r>
        <w:t xml:space="preserve">Het beheersregime chroom-6 van de rijksoverheid is de operationele referentie voor omgang met chroom(VI)-houdende coatinglagen, inclusief herkenning, werkprotocollen en registratie van beheersmaatregelen.</w:t>
      </w:r>
    </w:p>
    <w:p>
      <w:pPr>
        <w:pStyle w:val="BodyText"/>
      </w:pPr>
      <w:r>
        <w:rPr>
          <w:b/>
          <w:bCs/>
        </w:rPr>
        <w:t xml:space="preserve">Voorgestelde herziene tekst §3.2:</w:t>
      </w:r>
      <w:r>
        <w:t xml:space="preserve"> </w:t>
      </w:r>
      <w:r>
        <w:t xml:space="preserve">&gt;</w:t>
      </w:r>
      <w:r>
        <w:t xml:space="preserve"> </w:t>
      </w:r>
      <w:r>
        <w:t xml:space="preserve">“</w:t>
      </w:r>
      <w:r>
        <w:t xml:space="preserve">The national chromium VI management regime (Rijkswaterstaat, Ministry of Defence, ProRail, Rijksvastgoedbedrijf) shall be used as operational reference for chromium VI-containing coatings. The procedure shall include: &gt; - Identification of chromium VI-containing layers using colour tables, documentation and, where necessary, analytical testing; &gt; - Work protocol for disturbed material: containment, wet methods, dust suppression, and personal protection; &gt; - Registration of control measures and work activities; &gt; - Distinction between undisturbed and disturbed materials, with corresponding control levels; &gt; - Use of the Stoffenmanager or similar exposure assessment tools for work planning. &gt; Reference to the national management regime shall be included in the project execution plan.</w:t>
      </w:r>
      <w:r>
        <w:t xml:space="preserve">”</w:t>
      </w:r>
    </w:p>
    <w:bookmarkEnd w:id="31"/>
    <w:bookmarkStart w:id="32" w:name="m-methode-substitutie-h11-bp-ai-03"/>
    <w:p>
      <w:pPr>
        <w:pStyle w:val="Heading3"/>
      </w:pPr>
      <w:r>
        <w:t xml:space="preserve">11. 5M-methode + substitutie (H11) [BP + AI-03]</w:t>
      </w:r>
    </w:p>
    <w:p>
      <w:pPr>
        <w:pStyle w:val="FirstParagraph"/>
      </w:pPr>
      <w:r>
        <w:rPr>
          <w:b/>
          <w:bCs/>
        </w:rPr>
        <w:t xml:space="preserve">Huidige tekst §2.2:</w:t>
      </w:r>
      <w:r>
        <w:t xml:space="preserve"> </w:t>
      </w:r>
      <w:r>
        <w:t xml:space="preserve">Geen toepassing van de 5M-methode (Mens, Middel, Methode, Milieu, Materiaal) uit de arbocatalogi voor substitutie- en bronmaatregeloverwegingen.</w:t>
      </w:r>
    </w:p>
    <w:p>
      <w:pPr>
        <w:pStyle w:val="BodyText"/>
      </w:pPr>
      <w:r>
        <w:rPr>
          <w:b/>
          <w:bCs/>
        </w:rPr>
        <w:t xml:space="preserve">Eis:</w:t>
      </w:r>
      <w:r>
        <w:t xml:space="preserve"> </w:t>
      </w:r>
      <w:r>
        <w:t xml:space="preserve">Arbocatalogi en AI-blad 67 adviseren gebruik van de 5M-methode voor gestructureerde afweging van substitutie- en bronmaatregelen bij werken met kankerverwekkende stoffen.</w:t>
      </w:r>
    </w:p>
    <w:p>
      <w:pPr>
        <w:pStyle w:val="BodyText"/>
      </w:pPr>
      <w:r>
        <w:rPr>
          <w:b/>
          <w:bCs/>
        </w:rPr>
        <w:t xml:space="preserve">Voorgestelde herziene tekst §2.2:</w:t>
      </w:r>
      <w:r>
        <w:t xml:space="preserve"> </w:t>
      </w:r>
      <w:r>
        <w:t xml:space="preserve">&gt;</w:t>
      </w:r>
      <w:r>
        <w:t xml:space="preserve"> </w:t>
      </w:r>
      <w:r>
        <w:t xml:space="preserve">“</w:t>
      </w:r>
      <w:r>
        <w:t xml:space="preserve">Substitution and source control measures shall be evaluated using the 5M method (Man, Means, Method, Environment, Material) from the occupational health catalogues: &gt; -</w:t>
      </w:r>
      <w:r>
        <w:t xml:space="preserve"> </w:t>
      </w:r>
      <w:r>
        <w:rPr>
          <w:b/>
          <w:bCs/>
        </w:rPr>
        <w:t xml:space="preserve">Man:</w:t>
      </w:r>
      <w:r>
        <w:t xml:space="preserve"> </w:t>
      </w:r>
      <w:r>
        <w:t xml:space="preserve">training, supervision, work procedures; &gt; -</w:t>
      </w:r>
      <w:r>
        <w:t xml:space="preserve"> </w:t>
      </w:r>
      <w:r>
        <w:rPr>
          <w:b/>
          <w:bCs/>
        </w:rPr>
        <w:t xml:space="preserve">Means:</w:t>
      </w:r>
      <w:r>
        <w:t xml:space="preserve"> </w:t>
      </w:r>
      <w:r>
        <w:t xml:space="preserve">tools, equipment, personal protection; &gt; -</w:t>
      </w:r>
      <w:r>
        <w:t xml:space="preserve"> </w:t>
      </w:r>
      <w:r>
        <w:rPr>
          <w:b/>
          <w:bCs/>
        </w:rPr>
        <w:t xml:space="preserve">Method:</w:t>
      </w:r>
      <w:r>
        <w:t xml:space="preserve"> </w:t>
      </w:r>
      <w:r>
        <w:t xml:space="preserve">work method, sequence, organisation; &gt; -</w:t>
      </w:r>
      <w:r>
        <w:t xml:space="preserve"> </w:t>
      </w:r>
      <w:r>
        <w:rPr>
          <w:b/>
          <w:bCs/>
        </w:rPr>
        <w:t xml:space="preserve">Environment:</w:t>
      </w:r>
      <w:r>
        <w:t xml:space="preserve"> </w:t>
      </w:r>
      <w:r>
        <w:t xml:space="preserve">work area, ventilation, containment; &gt; -</w:t>
      </w:r>
      <w:r>
        <w:t xml:space="preserve"> </w:t>
      </w:r>
      <w:r>
        <w:rPr>
          <w:b/>
          <w:bCs/>
        </w:rPr>
        <w:t xml:space="preserve">Material:</w:t>
      </w:r>
      <w:r>
        <w:t xml:space="preserve"> </w:t>
      </w:r>
      <w:r>
        <w:t xml:space="preserve">substitution of materials, coating systems, chemicals. &gt; For chromium VI work, the following shall be explicitly documented: &gt; - Substitution analysis of cold cutting techniques as alternative to thermal cutting; &gt; - Risk assessment and justification of the chosen method; &gt; - Evaluation of alternatives for coating removal (e.g., chemical stripping vs mechanical removal); &gt; - Priority given to methods that eliminate or reduce chromium VI exposure. &gt; The 5M analysis shall be documented in the project execution plan and reviewed prior to commencement of work.</w:t>
      </w:r>
      <w:r>
        <w:t xml:space="preserve">”</w:t>
      </w:r>
    </w:p>
    <w:bookmarkEnd w:id="32"/>
    <w:bookmarkStart w:id="33" w:name="documentbeheer-rev-a-vs-rev-1-h12-vp"/>
    <w:p>
      <w:pPr>
        <w:pStyle w:val="Heading3"/>
      </w:pPr>
      <w:r>
        <w:t xml:space="preserve">12. Documentbeheer Rev A vs Rev 1 (H12) [VP]</w:t>
      </w:r>
    </w:p>
    <w:p>
      <w:pPr>
        <w:pStyle w:val="FirstParagraph"/>
      </w:pPr>
      <w:r>
        <w:rPr>
          <w:b/>
          <w:bCs/>
        </w:rPr>
        <w:t xml:space="preserve">Huidige tekst §1.0:</w:t>
      </w:r>
      <w:r>
        <w:t xml:space="preserve"> </w:t>
      </w:r>
      <w:r>
        <w:t xml:space="preserve">Het document vermeldt zowel Rev A (02-03-2026) als Rev 1 (15-04-2026) zonder statusverklaring of revisiehistorie.</w:t>
      </w:r>
    </w:p>
    <w:p>
      <w:pPr>
        <w:pStyle w:val="BodyText"/>
      </w:pPr>
      <w:r>
        <w:rPr>
          <w:b/>
          <w:bCs/>
        </w:rPr>
        <w:t xml:space="preserve">Eis:</w:t>
      </w:r>
      <w:r>
        <w:t xml:space="preserve"> </w:t>
      </w:r>
      <w:r>
        <w:t xml:space="preserve">Documentbeheer vereist een eenduidige revisiestatus, volledige revisiehistorie en intrekking van achterhaalde versies.</w:t>
      </w:r>
    </w:p>
    <w:tbl>
      <w:tblPr>
        <w:tblStyle w:val="Table"/>
        <w:tblW w:type="pct" w:w="5000"/>
        <w:jc w:val="left"/>
        <w:tblLayout w:type="fixed"/>
        <w:tblLook w:firstRow="1" w:lastRow="0" w:firstColumn="0" w:lastColumn="0" w:noHBand="0" w:noVBand="0" w:val="0020"/>
      </w:tblPr>
      <w:tblGrid>
        <w:gridCol w:w="1760"/>
        <w:gridCol w:w="1056"/>
        <w:gridCol w:w="2288"/>
        <w:gridCol w:w="1408"/>
        <w:gridCol w:w="1408"/>
      </w:tblGrid>
      <w:tr>
        <w:trPr>
          <w:tblHeader w:val="on"/>
        </w:trPr>
        <w:tc>
          <w:tcPr/>
          <w:p>
            <w:pPr>
              <w:pStyle w:val="Compact"/>
              <w:jc w:val="left"/>
            </w:pPr>
            <w:r>
              <w:rPr>
                <w:b/>
                <w:bCs/>
              </w:rPr>
              <w:t xml:space="preserve">Voorgestelde herziene tekst §1.0:</w:t>
            </w:r>
            <w:r>
              <w:t xml:space="preserve"> </w:t>
            </w:r>
            <w:r>
              <w:t xml:space="preserve">&gt; “Document Revision Control: &gt;</w:t>
            </w:r>
          </w:p>
        </w:tc>
        <w:tc>
          <w:tcPr/>
          <w:p>
            <w:pPr>
              <w:pStyle w:val="Compact"/>
              <w:jc w:val="left"/>
            </w:pPr>
            <w:r>
              <w:t xml:space="preserve">Revision</w:t>
            </w:r>
          </w:p>
        </w:tc>
        <w:tc>
          <w:tcPr/>
          <w:p>
            <w:pPr>
              <w:pStyle w:val="Compact"/>
              <w:jc w:val="left"/>
            </w:pPr>
            <w:r>
              <w:t xml:space="preserve">Date</w:t>
            </w:r>
          </w:p>
        </w:tc>
        <w:tc>
          <w:tcPr/>
          <w:p>
            <w:pPr>
              <w:pStyle w:val="Compact"/>
              <w:jc w:val="left"/>
            </w:pPr>
            <w:r>
              <w:t xml:space="preserve">Description</w:t>
            </w:r>
          </w:p>
        </w:tc>
        <w:tc>
          <w:tcPr/>
          <w:p>
            <w:pPr>
              <w:pStyle w:val="Compact"/>
              <w:jc w:val="left"/>
            </w:pPr>
            <w:r>
              <w:t xml:space="preserve">Author</w:t>
            </w:r>
          </w:p>
        </w:tc>
      </w:tr>
      <w:tr>
        <w:tc>
          <w:tcPr/>
          <w:p>
            <w:pPr>
              <w:pStyle w:val="Compact"/>
              <w:jc w:val="left"/>
            </w:pPr>
            <w:r>
              <w:t xml:space="preserve">Rev A</w:t>
            </w:r>
          </w:p>
        </w:tc>
        <w:tc>
          <w:tcPr/>
          <w:p>
            <w:pPr>
              <w:pStyle w:val="Compact"/>
              <w:jc w:val="left"/>
            </w:pPr>
            <w:r>
              <w:t xml:space="preserve">02-03-2026</w:t>
            </w:r>
          </w:p>
        </w:tc>
        <w:tc>
          <w:tcPr/>
          <w:p>
            <w:pPr>
              <w:pStyle w:val="Compact"/>
              <w:jc w:val="left"/>
            </w:pPr>
            <w:r>
              <w:t xml:space="preserve">Initial procedure</w:t>
            </w:r>
          </w:p>
        </w:tc>
        <w:tc>
          <w:tcPr/>
          <w:p>
            <w:pPr>
              <w:pStyle w:val="Compact"/>
              <w:jc w:val="left"/>
            </w:pPr>
            <w:r>
              <w:t xml:space="preserve">KOO B.V.</w:t>
            </w:r>
          </w:p>
        </w:tc>
        <w:tc>
          <w:tcPr/>
          <w:p>
            <w:pPr>
              <w:pStyle w:val="Compact"/>
              <w:jc w:val="left"/>
            </w:pPr>
            <w:r>
              <w:t xml:space="preserve">Superseded</w:t>
            </w:r>
          </w:p>
        </w:tc>
      </w:tr>
      <w:tr>
        <w:tc>
          <w:tcPr/>
          <w:p>
            <w:pPr>
              <w:pStyle w:val="Compact"/>
              <w:jc w:val="left"/>
            </w:pPr>
            <w:r>
              <w:t xml:space="preserve">Rev 1</w:t>
            </w:r>
          </w:p>
        </w:tc>
        <w:tc>
          <w:tcPr/>
          <w:p>
            <w:pPr>
              <w:pStyle w:val="Compact"/>
              <w:jc w:val="left"/>
            </w:pPr>
            <w:r>
              <w:t xml:space="preserve">15-04-2026</w:t>
            </w:r>
          </w:p>
        </w:tc>
        <w:tc>
          <w:tcPr/>
          <w:p>
            <w:pPr>
              <w:pStyle w:val="Compact"/>
              <w:jc w:val="left"/>
            </w:pPr>
            <w:r>
              <w:t xml:space="preserve">First revision</w:t>
            </w:r>
          </w:p>
        </w:tc>
        <w:tc>
          <w:tcPr/>
          <w:p>
            <w:pPr>
              <w:pStyle w:val="Compact"/>
              <w:jc w:val="left"/>
            </w:pPr>
            <w:r>
              <w:t xml:space="preserve">KOO B.V.</w:t>
            </w:r>
          </w:p>
        </w:tc>
        <w:tc>
          <w:tcPr/>
          <w:p>
            <w:pPr>
              <w:pStyle w:val="Compact"/>
              <w:jc w:val="left"/>
            </w:pPr>
            <w:r>
              <w:t xml:space="preserve">Current</w:t>
            </w:r>
          </w:p>
        </w:tc>
      </w:tr>
      <w:tr>
        <w:tc>
          <w:tcPr/>
          <w:p>
            <w:pPr>
              <w:pStyle w:val="Compact"/>
              <w:jc w:val="left"/>
            </w:pPr>
            <w:r>
              <w:t xml:space="preserve">Rev 2</w:t>
            </w:r>
          </w:p>
        </w:tc>
        <w:tc>
          <w:tcPr/>
          <w:p>
            <w:pPr>
              <w:pStyle w:val="Compact"/>
              <w:jc w:val="left"/>
            </w:pPr>
            <w:r>
              <w:t xml:space="preserve">[date]</w:t>
            </w:r>
          </w:p>
        </w:tc>
        <w:tc>
          <w:tcPr/>
          <w:p>
            <w:pPr>
              <w:pStyle w:val="Compact"/>
              <w:jc w:val="left"/>
            </w:pPr>
            <w:r>
              <w:t xml:space="preserve">P1 implementation (H1–H5)</w:t>
            </w:r>
          </w:p>
        </w:tc>
        <w:tc>
          <w:tcPr/>
          <w:p>
            <w:pPr>
              <w:pStyle w:val="Compact"/>
              <w:jc w:val="left"/>
            </w:pPr>
            <w:r>
              <w:t xml:space="preserve">KOO B.V.</w:t>
            </w:r>
          </w:p>
        </w:tc>
        <w:tc>
          <w:tcPr/>
          <w:p>
            <w:pPr>
              <w:pStyle w:val="Compact"/>
              <w:jc w:val="left"/>
            </w:pPr>
            <w:r>
              <w:t xml:space="preserve">Planned</w:t>
            </w:r>
          </w:p>
        </w:tc>
      </w:tr>
      <w:tr>
        <w:tc>
          <w:tcPr/>
          <w:p>
            <w:pPr>
              <w:pStyle w:val="Compact"/>
              <w:jc w:val="left"/>
            </w:pPr>
            <w:r>
              <w:t xml:space="preserve">Rev 3</w:t>
            </w:r>
          </w:p>
        </w:tc>
        <w:tc>
          <w:tcPr/>
          <w:p>
            <w:pPr>
              <w:pStyle w:val="Compact"/>
              <w:jc w:val="left"/>
            </w:pPr>
            <w:r>
              <w:t xml:space="preserve">[date]</w:t>
            </w:r>
          </w:p>
        </w:tc>
        <w:tc>
          <w:tcPr/>
          <w:p>
            <w:pPr>
              <w:pStyle w:val="Compact"/>
              <w:jc w:val="left"/>
            </w:pPr>
            <w:r>
              <w:t xml:space="preserve">P2 implementation (H6–H12)</w:t>
            </w:r>
          </w:p>
        </w:tc>
        <w:tc>
          <w:tcPr/>
          <w:p>
            <w:pPr>
              <w:pStyle w:val="Compact"/>
              <w:jc w:val="left"/>
            </w:pPr>
            <w:r>
              <w:t xml:space="preserve">KOO B.V.</w:t>
            </w:r>
          </w:p>
        </w:tc>
        <w:tc>
          <w:tcPr/>
          <w:p>
            <w:pPr>
              <w:pStyle w:val="Compact"/>
              <w:jc w:val="left"/>
            </w:pPr>
            <w:r>
              <w:t xml:space="preserve">Planned</w:t>
            </w:r>
          </w:p>
        </w:tc>
      </w:tr>
      <w:tr>
        <w:tc>
          <w:tcPr/>
          <w:p>
            <w:pPr>
              <w:pStyle w:val="Compact"/>
              <w:jc w:val="left"/>
            </w:pPr>
            <w:r>
              <w:t xml:space="preserve">Rev 3+</w:t>
            </w:r>
          </w:p>
        </w:tc>
        <w:tc>
          <w:tcPr/>
          <w:p>
            <w:pPr>
              <w:pStyle w:val="Compact"/>
              <w:jc w:val="left"/>
            </w:pPr>
            <w:r>
              <w:t xml:space="preserve">[date]</w:t>
            </w:r>
          </w:p>
        </w:tc>
        <w:tc>
          <w:tcPr/>
          <w:p>
            <w:pPr>
              <w:pStyle w:val="Compact"/>
              <w:jc w:val="left"/>
            </w:pPr>
            <w:r>
              <w:t xml:space="preserve">P3 implementation (H13–H15)</w:t>
            </w:r>
          </w:p>
        </w:tc>
        <w:tc>
          <w:tcPr/>
          <w:p>
            <w:pPr>
              <w:pStyle w:val="Compact"/>
              <w:jc w:val="left"/>
            </w:pPr>
            <w:r>
              <w:t xml:space="preserve">KOO B.V.</w:t>
            </w:r>
          </w:p>
        </w:tc>
        <w:tc>
          <w:tcPr/>
          <w:p>
            <w:pPr>
              <w:pStyle w:val="Compact"/>
              <w:jc w:val="left"/>
            </w:pPr>
            <w:r>
              <w:t xml:space="preserve">Planned</w:t>
            </w:r>
          </w:p>
        </w:tc>
      </w:tr>
    </w:tbl>
    <w:p>
      <w:pPr>
        <w:pStyle w:val="BodyText"/>
      </w:pPr>
      <w:r>
        <w:t xml:space="preserve">All superseded revisions shall be withdrawn and retained in the document control system. The current revision shall be clearly indicated on each page of the procedure.”</w:t>
      </w:r>
    </w:p>
    <w:bookmarkEnd w:id="33"/>
    <w:bookmarkEnd w:id="34"/>
    <w:bookmarkStart w:id="38" w:name="X61a9c8c40707fa6307328a23225147d53fbaf72"/>
    <w:p>
      <w:pPr>
        <w:pStyle w:val="Heading2"/>
      </w:pPr>
      <w:r>
        <w:t xml:space="preserve">PRIORITEIT 3 — Verifieerbaarheid en robuustheid</w:t>
      </w:r>
    </w:p>
    <w:bookmarkStart w:id="35" w:name="trainingsprogramma-h13-bp-ai-03"/>
    <w:p>
      <w:pPr>
        <w:pStyle w:val="Heading3"/>
      </w:pPr>
      <w:r>
        <w:t xml:space="preserve">13. Trainingsprogramma (H13) [BP + AI-03]</w:t>
      </w:r>
    </w:p>
    <w:p>
      <w:pPr>
        <w:pStyle w:val="FirstParagraph"/>
      </w:pPr>
      <w:r>
        <w:rPr>
          <w:b/>
          <w:bCs/>
        </w:rPr>
        <w:t xml:space="preserve">Huidige tekst:</w:t>
      </w:r>
      <w:r>
        <w:t xml:space="preserve"> </w:t>
      </w:r>
      <w:r>
        <w:t xml:space="preserve">Geen gestructureerd trainingsprogramma specifiek voor chroom-6-werkzaamheden.</w:t>
      </w:r>
    </w:p>
    <w:p>
      <w:pPr>
        <w:pStyle w:val="BodyText"/>
      </w:pPr>
      <w:r>
        <w:rPr>
          <w:b/>
          <w:bCs/>
        </w:rPr>
        <w:t xml:space="preserve">Eis:</w:t>
      </w:r>
      <w:r>
        <w:t xml:space="preserve"> </w:t>
      </w:r>
      <w:r>
        <w:t xml:space="preserve">AI-blad 67 en 77 adviseren gestructureerde training voor werken met kankerverwekkende stoffen, inclusief bewustwording, techniekspecifieke training en jaarlijke herhaling.</w:t>
      </w:r>
    </w:p>
    <w:p>
      <w:pPr>
        <w:pStyle w:val="BodyText"/>
      </w:pPr>
      <w:r>
        <w:rPr>
          <w:b/>
          <w:bCs/>
        </w:rPr>
        <w:t xml:space="preserve">Voorgestelde herziene tekst (nieuwe paragraaf §5.6):</w:t>
      </w:r>
      <w:r>
        <w:t xml:space="preserve"> </w:t>
      </w:r>
      <w:r>
        <w:t xml:space="preserve">&gt;</w:t>
      </w:r>
      <w:r>
        <w:t xml:space="preserve"> </w:t>
      </w:r>
      <w:r>
        <w:t xml:space="preserve">“</w:t>
      </w:r>
      <w:r>
        <w:t xml:space="preserve">A structured training programme shall be implemented for all personnel involved in chromium VI work: &gt; -</w:t>
      </w:r>
      <w:r>
        <w:t xml:space="preserve"> </w:t>
      </w:r>
      <w:r>
        <w:rPr>
          <w:b/>
          <w:bCs/>
        </w:rPr>
        <w:t xml:space="preserve">Basic chromium VI awareness training</w:t>
      </w:r>
      <w:r>
        <w:t xml:space="preserve"> </w:t>
      </w:r>
      <w:r>
        <w:t xml:space="preserve">for all involved workers, covering health hazards, exposure routes, recognition of chromium VI-containing materials, and control measures; &gt; -</w:t>
      </w:r>
      <w:r>
        <w:t xml:space="preserve"> </w:t>
      </w:r>
      <w:r>
        <w:rPr>
          <w:b/>
          <w:bCs/>
        </w:rPr>
        <w:t xml:space="preserve">Specific cold cutting technique training</w:t>
      </w:r>
      <w:r>
        <w:t xml:space="preserve"> </w:t>
      </w:r>
      <w:r>
        <w:t xml:space="preserve">for executing personnel, including tool operation, dust control measures, and work sequence; &gt; -</w:t>
      </w:r>
      <w:r>
        <w:t xml:space="preserve"> </w:t>
      </w:r>
      <w:r>
        <w:rPr>
          <w:b/>
          <w:bCs/>
        </w:rPr>
        <w:t xml:space="preserve">Fit-test and user training</w:t>
      </w:r>
      <w:r>
        <w:t xml:space="preserve"> </w:t>
      </w:r>
      <w:r>
        <w:t xml:space="preserve">for personal protective equipment, including respirator selection, fitting, seal testing, and maintenance; &gt; -</w:t>
      </w:r>
      <w:r>
        <w:t xml:space="preserve"> </w:t>
      </w:r>
      <w:r>
        <w:rPr>
          <w:b/>
          <w:bCs/>
        </w:rPr>
        <w:t xml:space="preserve">Spill response training</w:t>
      </w:r>
      <w:r>
        <w:t xml:space="preserve"> </w:t>
      </w:r>
      <w:r>
        <w:t xml:space="preserve">with annual repetition, covering containment, decontamination, and emergency procedures; &gt; -</w:t>
      </w:r>
      <w:r>
        <w:t xml:space="preserve"> </w:t>
      </w:r>
      <w:r>
        <w:rPr>
          <w:b/>
          <w:bCs/>
        </w:rPr>
        <w:t xml:space="preserve">Toolbox meetings</w:t>
      </w:r>
      <w:r>
        <w:t xml:space="preserve"> </w:t>
      </w:r>
      <w:r>
        <w:t xml:space="preserve">prior to high-risk activities with specific focus on chromium VI controls. &gt; Training records shall be maintained, including course content, date, trainer, and participant list. Refresher training shall be provided annually or when procedures change significantly.</w:t>
      </w:r>
      <w:r>
        <w:t xml:space="preserve">”</w:t>
      </w:r>
    </w:p>
    <w:bookmarkEnd w:id="35"/>
    <w:bookmarkStart w:id="36" w:name="kwaliteitsborging-metingen-h14-bp-vp"/>
    <w:p>
      <w:pPr>
        <w:pStyle w:val="Heading3"/>
      </w:pPr>
      <w:r>
        <w:t xml:space="preserve">14. Kwaliteitsborging metingen (H14) [BP + VP]</w:t>
      </w:r>
    </w:p>
    <w:p>
      <w:pPr>
        <w:pStyle w:val="FirstParagraph"/>
      </w:pPr>
      <w:r>
        <w:rPr>
          <w:b/>
          <w:bCs/>
        </w:rPr>
        <w:t xml:space="preserve">Huidige tekst §4.2 (nieuw):</w:t>
      </w:r>
      <w:r>
        <w:t xml:space="preserve"> </w:t>
      </w:r>
      <w:r>
        <w:t xml:space="preserve">Geen specifieke eisen voor laboratoriumaccreditatie, kalibratie en validatie van meetdata.</w:t>
      </w:r>
    </w:p>
    <w:p>
      <w:pPr>
        <w:pStyle w:val="BodyText"/>
      </w:pPr>
      <w:r>
        <w:rPr>
          <w:b/>
          <w:bCs/>
        </w:rPr>
        <w:t xml:space="preserve">Eis:</w:t>
      </w:r>
      <w:r>
        <w:t xml:space="preserve"> </w:t>
      </w:r>
      <w:r>
        <w:t xml:space="preserve">NEN-EN 482 vereist aantoonbare laboratoriumaccreditatie conform ISO 17025, kalibratie van bemonsteringsapparatuur en validatie van meetdata vóór opname in het blootstellingsregister.</w:t>
      </w:r>
    </w:p>
    <w:p>
      <w:pPr>
        <w:pStyle w:val="BodyText"/>
      </w:pPr>
      <w:r>
        <w:rPr>
          <w:b/>
          <w:bCs/>
        </w:rPr>
        <w:t xml:space="preserve">Voorgestelde herziene tekst (aanvulling §4.2):</w:t>
      </w:r>
      <w:r>
        <w:t xml:space="preserve"> </w:t>
      </w:r>
      <w:r>
        <w:t xml:space="preserve">&gt;</w:t>
      </w:r>
      <w:r>
        <w:t xml:space="preserve"> </w:t>
      </w:r>
      <w:r>
        <w:t xml:space="preserve">“</w:t>
      </w:r>
      <w:r>
        <w:t xml:space="preserve">Quality assurance for measurements shall include: &gt; -</w:t>
      </w:r>
      <w:r>
        <w:t xml:space="preserve"> </w:t>
      </w:r>
      <w:r>
        <w:rPr>
          <w:b/>
          <w:bCs/>
        </w:rPr>
        <w:t xml:space="preserve">Laboratory accreditation:</w:t>
      </w:r>
      <w:r>
        <w:t xml:space="preserve"> </w:t>
      </w:r>
      <w:r>
        <w:t xml:space="preserve">all analytical work shall be performed by a laboratory accredited to ISO 17025 for chromium VI analysis, with accreditation scope covering the relevant analytical methods; &gt; -</w:t>
      </w:r>
      <w:r>
        <w:t xml:space="preserve"> </w:t>
      </w:r>
      <w:r>
        <w:rPr>
          <w:b/>
          <w:bCs/>
        </w:rPr>
        <w:t xml:space="preserve">Calibration:</w:t>
      </w:r>
      <w:r>
        <w:t xml:space="preserve"> </w:t>
      </w:r>
      <w:r>
        <w:t xml:space="preserve">sampling pumps and flow meters shall be calibrated before each use in accordance with manufacturer specifications, with calibration records retained; &gt; -</w:t>
      </w:r>
      <w:r>
        <w:t xml:space="preserve"> </w:t>
      </w:r>
      <w:r>
        <w:rPr>
          <w:b/>
          <w:bCs/>
        </w:rPr>
        <w:t xml:space="preserve">Validation protocol:</w:t>
      </w:r>
      <w:r>
        <w:t xml:space="preserve"> </w:t>
      </w:r>
      <w:r>
        <w:t xml:space="preserve">measurement data shall be validated prior to inclusion in the exposure register, including check of sampling completeness, flow rate consistency, and laboratory quality control results; &gt; -</w:t>
      </w:r>
      <w:r>
        <w:t xml:space="preserve"> </w:t>
      </w:r>
      <w:r>
        <w:rPr>
          <w:b/>
          <w:bCs/>
        </w:rPr>
        <w:t xml:space="preserve">Chain of custody:</w:t>
      </w:r>
      <w:r>
        <w:t xml:space="preserve"> </w:t>
      </w:r>
      <w:r>
        <w:t xml:space="preserve">documentation of sample collection, transport, and receipt to ensure sample integrity; &gt; -</w:t>
      </w:r>
      <w:r>
        <w:t xml:space="preserve"> </w:t>
      </w:r>
      <w:r>
        <w:rPr>
          <w:b/>
          <w:bCs/>
        </w:rPr>
        <w:t xml:space="preserve">Independent verification:</w:t>
      </w:r>
      <w:r>
        <w:t xml:space="preserve"> </w:t>
      </w:r>
      <w:r>
        <w:t xml:space="preserve">periodic independent verification of measurement procedures and laboratory performance. &gt; All quality assurance records shall be retained with the measurement data.</w:t>
      </w:r>
      <w:r>
        <w:t xml:space="preserve">”</w:t>
      </w:r>
    </w:p>
    <w:bookmarkEnd w:id="36"/>
    <w:bookmarkStart w:id="37" w:name="continue-verbetering-h15-bp-vp"/>
    <w:p>
      <w:pPr>
        <w:pStyle w:val="Heading3"/>
      </w:pPr>
      <w:r>
        <w:t xml:space="preserve">15. Continue verbetering (H15) [BP + VP]</w:t>
      </w:r>
    </w:p>
    <w:p>
      <w:pPr>
        <w:pStyle w:val="FirstParagraph"/>
      </w:pPr>
      <w:r>
        <w:rPr>
          <w:b/>
          <w:bCs/>
        </w:rPr>
        <w:t xml:space="preserve">Huidige tekst:</w:t>
      </w:r>
      <w:r>
        <w:t xml:space="preserve"> </w:t>
      </w:r>
      <w:r>
        <w:t xml:space="preserve">Geen structurele verbetercyclus gericht op meetdata-evaluatie en lessons learned.</w:t>
      </w:r>
    </w:p>
    <w:p>
      <w:pPr>
        <w:pStyle w:val="BodyText"/>
      </w:pPr>
      <w:r>
        <w:rPr>
          <w:b/>
          <w:bCs/>
        </w:rPr>
        <w:t xml:space="preserve">Eis:</w:t>
      </w:r>
      <w:r>
        <w:t xml:space="preserve"> </w:t>
      </w:r>
      <w:r>
        <w:t xml:space="preserve">Arbobesluit art. 4.2 en best practice adviseren periodieke evaluatie van beheersmaatregelen op basis van meetresultaten en incidentanalyse.</w:t>
      </w:r>
    </w:p>
    <w:p>
      <w:pPr>
        <w:pStyle w:val="BodyText"/>
      </w:pPr>
      <w:r>
        <w:rPr>
          <w:b/>
          <w:bCs/>
        </w:rPr>
        <w:t xml:space="preserve">Voorgestelde herziene tekst (nieuwe paragraaf §9.0):</w:t>
      </w:r>
      <w:r>
        <w:t xml:space="preserve"> </w:t>
      </w:r>
      <w:r>
        <w:t xml:space="preserve">&gt;</w:t>
      </w:r>
      <w:r>
        <w:t xml:space="preserve"> </w:t>
      </w:r>
      <w:r>
        <w:t xml:space="preserve">“</w:t>
      </w:r>
      <w:r>
        <w:t xml:space="preserve">A continuous improvement cycle shall be established for the chromium VI exposure control procedure: &gt; -</w:t>
      </w:r>
      <w:r>
        <w:t xml:space="preserve"> </w:t>
      </w:r>
      <w:r>
        <w:rPr>
          <w:b/>
          <w:bCs/>
        </w:rPr>
        <w:t xml:space="preserve">Annual periodical review</w:t>
      </w:r>
      <w:r>
        <w:t xml:space="preserve"> </w:t>
      </w:r>
      <w:r>
        <w:t xml:space="preserve">of the procedure with evaluation of measurement data, control effectiveness, and regulatory updates; &gt; -</w:t>
      </w:r>
      <w:r>
        <w:t xml:space="preserve"> </w:t>
      </w:r>
      <w:r>
        <w:rPr>
          <w:b/>
          <w:bCs/>
        </w:rPr>
        <w:t xml:space="preserve">Incident analysis</w:t>
      </w:r>
      <w:r>
        <w:t xml:space="preserve"> </w:t>
      </w:r>
      <w:r>
        <w:t xml:space="preserve">for any abnormal exposure events, with root cause analysis and implementation of corrective actions; &gt; -</w:t>
      </w:r>
      <w:r>
        <w:t xml:space="preserve"> </w:t>
      </w:r>
      <w:r>
        <w:rPr>
          <w:b/>
          <w:bCs/>
        </w:rPr>
        <w:t xml:space="preserve">Lessons learned</w:t>
      </w:r>
      <w:r>
        <w:t xml:space="preserve"> </w:t>
      </w:r>
      <w:r>
        <w:t xml:space="preserve">shall be documented and incorporated into the procedure and work practices; &gt; -</w:t>
      </w:r>
      <w:r>
        <w:t xml:space="preserve"> </w:t>
      </w:r>
      <w:r>
        <w:rPr>
          <w:b/>
          <w:bCs/>
        </w:rPr>
        <w:t xml:space="preserve">Structural feedback loop</w:t>
      </w:r>
      <w:r>
        <w:t xml:space="preserve"> </w:t>
      </w:r>
      <w:r>
        <w:t xml:space="preserve">with the workforce via toolbox meetings, workfloor consultations, and near-miss reporting; &gt; -</w:t>
      </w:r>
      <w:r>
        <w:t xml:space="preserve"> </w:t>
      </w:r>
      <w:r>
        <w:rPr>
          <w:b/>
          <w:bCs/>
        </w:rPr>
        <w:t xml:space="preserve">Management review</w:t>
      </w:r>
      <w:r>
        <w:t xml:space="preserve"> </w:t>
      </w:r>
      <w:r>
        <w:t xml:space="preserve">of review findings and approval of improvements. &gt; Review reports and improvement actions shall be documented and retained. The review frequency may be increased based on significant incidents, regulatory changes, or performance issues.</w:t>
      </w:r>
      <w:r>
        <w:t xml:space="preserve">”</w:t>
      </w:r>
    </w:p>
    <w:bookmarkEnd w:id="37"/>
    <w:bookmarkEnd w:id="38"/>
    <w:bookmarkStart w:id="39" w:name="groene-bevindingen-geen-wijziging"/>
    <w:p>
      <w:pPr>
        <w:pStyle w:val="Heading2"/>
      </w:pPr>
      <w:r>
        <w:t xml:space="preserve">GROENE BEVINDINGEN — geen wijziging</w:t>
      </w:r>
    </w:p>
    <w:p>
      <w:pPr>
        <w:pStyle w:val="FirstParagraph"/>
      </w:pPr>
      <w:r>
        <w:t xml:space="preserve">Stop-work autoriteit (§3), persoonlijke beschermingsmiddelen (§4.8), bronbeheersing (§4.6), afvalstroom naar erkende verwerkers (§8.2 basis), PPE/RPE inspectie vóór gebruik, confined spaces/SIMOPS/EX-zone awareness (§4.4), en algemene RI&amp;E-verwijzing (§2.1 basis) zijn conform het toetsingskader — behouden.</w:t>
      </w:r>
    </w:p>
    <w:bookmarkEnd w:id="39"/>
    <w:bookmarkStart w:id="40" w:name="beperkingen-verificatiepunten"/>
    <w:p>
      <w:pPr>
        <w:pStyle w:val="Heading2"/>
      </w:pPr>
      <w:r>
        <w:t xml:space="preserve">BEPERKINGEN &amp; VERIFICATIEPUNTEN</w:t>
      </w:r>
    </w:p>
    <w:p>
      <w:pPr>
        <w:pStyle w:val="Compact"/>
        <w:numPr>
          <w:ilvl w:val="0"/>
          <w:numId w:val="1001"/>
        </w:numPr>
      </w:pPr>
      <w:r>
        <w:t xml:space="preserve">Dit voorstel is gebaseerd op documentanalyse; uitvoering, meetresultaten, certificaten, laboratoriumaccreditatie en locatiecondities zijn niet beoordeeld — vóór projectaanvang verifiëren.</w:t>
      </w:r>
    </w:p>
    <w:p>
      <w:pPr>
        <w:pStyle w:val="Compact"/>
        <w:numPr>
          <w:ilvl w:val="0"/>
          <w:numId w:val="1001"/>
        </w:numPr>
      </w:pPr>
      <w:r>
        <w:t xml:space="preserve">Arbo-informatiebladen 67, 31, 18 en 77 (Sdu HSE) zijn als kennisbankbronnen gebruikt; wetsstand is daarin verwerkt tot juli 2023 — bij formele herziening een actualiteitscheck 2026 aanbevolen.</w:t>
      </w:r>
    </w:p>
    <w:p>
      <w:pPr>
        <w:pStyle w:val="Compact"/>
        <w:numPr>
          <w:ilvl w:val="0"/>
          <w:numId w:val="1001"/>
        </w:numPr>
      </w:pPr>
      <w:r>
        <w:t xml:space="preserve">Een ontbrekende procedurepassage is geen bewezen overtreding; uitvoerende projectdocumentatie kan elementen dekken.</w:t>
      </w:r>
    </w:p>
    <w:p>
      <w:pPr>
        <w:pStyle w:val="Compact"/>
        <w:numPr>
          <w:ilvl w:val="0"/>
          <w:numId w:val="1001"/>
        </w:numPr>
      </w:pPr>
      <w:r>
        <w:t xml:space="preserve">Offshore-locaties vallen onder het Arbobesluit via de Mijnbouwwet; eventuele aanvullende mijnbouw-wetgeving is niet in detail beoordeeld — per project verifiëren.</w:t>
      </w:r>
    </w:p>
    <w:bookmarkEnd w:id="40"/>
    <w:bookmarkStart w:id="41" w:name="tier-verify-status"/>
    <w:p>
      <w:pPr>
        <w:pStyle w:val="Heading2"/>
      </w:pPr>
      <w:r>
        <w:t xml:space="preserve">TIER-VERIFY STATUS</w:t>
      </w:r>
    </w:p>
    <w:p>
      <w:pPr>
        <w:pStyle w:val="Compact"/>
        <w:numPr>
          <w:ilvl w:val="0"/>
          <w:numId w:val="1002"/>
        </w:numPr>
      </w:pPr>
      <w:r>
        <w:t xml:space="preserve">Tier 1 (procedure + annexen, volledig gelezen): ✅</w:t>
      </w:r>
    </w:p>
    <w:p>
      <w:pPr>
        <w:pStyle w:val="Compact"/>
        <w:numPr>
          <w:ilvl w:val="0"/>
          <w:numId w:val="1002"/>
        </w:numPr>
      </w:pPr>
      <w:r>
        <w:t xml:space="preserve">Tier 2 (Arbobesluit/Bgl/Productenbesluit/Mijnbouwwet via AI-bladen 67/31/18/77): ✅</w:t>
      </w:r>
    </w:p>
    <w:p>
      <w:pPr>
        <w:pStyle w:val="Compact"/>
        <w:numPr>
          <w:ilvl w:val="0"/>
          <w:numId w:val="1002"/>
        </w:numPr>
      </w:pPr>
      <w:r>
        <w:t xml:space="preserve">Tier 3 (AI-bladen 67/31/18/77 kennisbank): ✅, actualiteit na jul-2023 als verificatiepunt</w:t>
      </w:r>
    </w:p>
    <w:p>
      <w:pPr>
        <w:pStyle w:val="Compact"/>
        <w:numPr>
          <w:ilvl w:val="0"/>
          <w:numId w:val="1002"/>
        </w:numPr>
      </w:pPr>
      <w:r>
        <w:t xml:space="preserve">Completeness: ✅ — alle H-hiaten voorzien van herziene tekst; groen conform</w:t>
      </w:r>
    </w:p>
    <w:p>
      <w:pPr>
        <w:pStyle w:val="Compact"/>
        <w:numPr>
          <w:ilvl w:val="0"/>
          <w:numId w:val="1002"/>
        </w:numPr>
      </w:pPr>
      <w:r>
        <w:t xml:space="preserve">Consistency: ✅ — koppeling audit ↔ voorstel via bevinding-ID’s (H1–H15)</w:t>
      </w:r>
    </w:p>
    <w:p>
      <w:pPr>
        <w:pStyle w:val="Compact"/>
        <w:numPr>
          <w:ilvl w:val="0"/>
          <w:numId w:val="1002"/>
        </w:numPr>
      </w:pPr>
      <w:r>
        <w:t xml:space="preserve">Source: ⚠️ — live wetscheck 2026 niet uitgevoerd</w:t>
      </w:r>
    </w:p>
    <w:p>
      <w:pPr>
        <w:pStyle w:val="Compact"/>
        <w:numPr>
          <w:ilvl w:val="0"/>
          <w:numId w:val="1002"/>
        </w:numPr>
      </w:pPr>
      <w:r>
        <w:rPr>
          <w:b/>
          <w:bCs/>
        </w:rPr>
        <w:t xml:space="preserve">Status: WARNING — oplevering toegestaan met waarschuwing actualiteitscheck.</w:t>
      </w:r>
    </w:p>
    <w:p>
      <w:pPr>
        <w:pStyle w:val="FirstParagraph"/>
      </w:pPr>
      <w:r>
        <w:rPr>
          <w:i/>
          <w:iCs/>
        </w:rPr>
        <w:t xml:space="preserve">Einde herzieningsvoorstel.</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Herzieningsvoorstel 003.056 Chromium VI v4.0</dc:title>
  <dc:creator>JvG Consultancy - HSEQ Divisie</dc:creator>
  <cp:keywords/>
  <dcterms:created xsi:type="dcterms:W3CDTF">2026-08-25T13:41:38Z</dcterms:created>
  <dcterms:modified xsi:type="dcterms:W3CDTF">2026-08-25T13:41:38Z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2026-08-25</vt:lpwstr>
  </property>
</Properties>
</file>