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 w:after="80"/>
        <w:jc w:val="center"/>
      </w:pPr>
      <w:r>
        <w:drawing>
          <wp:inline xmlns:a="http://schemas.openxmlformats.org/drawingml/2006/main" xmlns:pic="http://schemas.openxmlformats.org/drawingml/2006/picture">
            <wp:extent cx="1440000" cy="129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consultancy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28"/>
        </w:rPr>
        <w:t>JvG CONSULTANCY</w:t>
      </w:r>
    </w:p>
    <w:p>
      <w:pPr>
        <w:spacing w:after="480"/>
        <w:jc w:val="center"/>
      </w:pPr>
      <w:r>
        <w:rPr>
          <w:rFonts w:ascii="Calibri" w:hAnsi="Calibri"/>
          <w:color w:val="374151"/>
          <w:sz w:val="20"/>
        </w:rPr>
        <w:t>Safety • Governance • Advisory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003366"/>
            <w:tcMar>
              <w:top w:w="300" w:type="dxa"/>
              <w:start w:w="300" w:type="dxa"/>
              <w:bottom w:w="300" w:type="dxa"/>
              <w:end w:w="30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6"/>
              </w:rPr>
              <w:t>HERZIENINGSVOORSTEL — v3.0</w:t>
            </w:r>
          </w:p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8"/>
              </w:rPr>
              <w:t>Chromium VI Exposure Control Procedure 003.056</w:t>
            </w:r>
          </w:p>
          <w:p>
            <w:pPr>
              <w:jc w:val="center"/>
            </w:pPr>
            <w:r>
              <w:rPr>
                <w:rFonts w:ascii="Calibri" w:hAnsi="Calibri"/>
                <w:color w:val="D1D5DB"/>
                <w:sz w:val="22"/>
              </w:rPr>
              <w:t>Volledige herzieningsuitwerking: 5 P1-hiaten, 7 P2-hiaten en 3 P3-aanvullingen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Gegeven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Project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2026-audit-koole-chromium-vi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Opdrachtgever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Wintershall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Aannemer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Koole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Brondocument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003.056 Chromium VI Exposure Control Procedure (Rev A / Rev 1)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Activiteit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Decommissioning offshore platform — small piece removal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Versie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v3.0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Datum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2026-08-25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Auteur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JvG Consultancy — HSEQ Divisie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Status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Definitief — GO voor implementatie Rev. 2, Rev. 3 en Rev. 3+</w:t>
            </w:r>
          </w:p>
        </w:tc>
      </w:tr>
    </w:tbl>
    <w:p/>
    <w:p>
      <w:pPr>
        <w:jc w:val="center"/>
      </w:pPr>
      <w:r>
        <w:rPr>
          <w:rFonts w:ascii="Calibri" w:hAnsi="Calibri"/>
          <w:i/>
          <w:color w:val="374151"/>
          <w:sz w:val="17"/>
        </w:rPr>
        <w:t>Vertrouwelijk — uitsluitend bestemd voor opdrachtgever en projectorganisatie</w:t>
      </w:r>
    </w:p>
    <w:p>
      <w:r>
        <w:br w:type="page"/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1. Doel en Context</w:t>
      </w:r>
    </w:p>
    <w:p>
      <w:r>
        <w:rPr>
          <w:rFonts w:ascii="Calibri" w:hAnsi="Calibri"/>
          <w:i w:val="0"/>
          <w:color w:val="1F2937"/>
          <w:sz w:val="22"/>
        </w:rPr>
        <w:t>Dit herzieningsvoorstel bundelt de volledige uitwerking van alle bevindingen uit de compliance audit van de 003.056 Chromium VI Exposure Control Procedure (KOO B.V.) tegen het Nederlandse arbo-juridisch kader. Versie 1.0 benoemde twaalf hiaten; versie 3.0 werkt elk hiaat uit tot concreet implementeerbaar maatwerk en voegt drie aanvullende verbeterpunten toe (P3).</w:t>
      </w:r>
    </w:p>
    <w:p>
      <w:r>
        <w:rPr>
          <w:rFonts w:ascii="Calibri" w:hAnsi="Calibri"/>
          <w:i w:val="0"/>
          <w:color w:val="1F2937"/>
          <w:sz w:val="22"/>
        </w:rPr>
        <w:t>De audit is uitgevoerd op het brondocument met de vastgestelde versie-inconsistentie (Rev A van 02-03-2026 versus Rev 1 van 15-04-2026). Deze inconsistentie is opgenomen als afzonderlijk hiaat (H12) en wordt in de revisie opgelost [8].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BEB"/>
            <w:tcMar>
              <w:top w:w="140" w:type="dxa"/>
              <w:start w:w="200" w:type="dxa"/>
              <w:bottom w:w="140" w:type="dxa"/>
              <w:end w:w="200" w:type="dxa"/>
            </w:tcMar>
            <w:tcBorders>
              <w:top w:val="single" w:sz="4" w:color="F59E0B"/>
              <w:left w:val="single" w:sz="18" w:color="F59E0B"/>
              <w:bottom w:val="single" w:sz="4" w:color="F59E0B"/>
              <w:right w:val="single" w:sz="4" w:color="F59E0B"/>
            </w:tcBorders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Bevindingen: 5 x P1 (kritiek) — spoedrevisie Rev. 2 vereist  |  7 x P2 (verbetering) — Rev. 3  |  3 x P3 (nieuw in v3.0) — Rev. 3+  |  6 onderdelen conform — behoud zonder wijziging</w:t>
            </w:r>
          </w:p>
        </w:tc>
      </w:tr>
    </w:tbl>
    <w:p>
      <w:pPr>
        <w:spacing w:after="40"/>
      </w:pP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2. Prioriteitsmatrix v3.0</w:t>
      </w:r>
    </w:p>
    <w:p>
      <w:r>
        <w:rPr>
          <w:rFonts w:ascii="Calibri" w:hAnsi="Calibri"/>
          <w:i w:val="0"/>
          <w:color w:val="1F2937"/>
          <w:sz w:val="22"/>
        </w:rPr>
        <w:t>De prioriteitsmatrix bepaalt de volgorde van implementatie. P1-hiaten raken wettelijke kernverplichtingen (Arbobesluit hoofdstuk 4, afdeling 3) en blokkeren de rechtsgeldigheid van de procedure [1]; P2-hiaten versterken de werkwijze; P3-aanvullingen borgen de kwaliteitscyclus.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47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7"/>
              </w:rPr>
              <w:t>Prioriteit</w:t>
            </w:r>
          </w:p>
        </w:tc>
        <w:tc>
          <w:tcPr>
            <w:tcW w:type="dxa" w:w="328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7"/>
              </w:rPr>
              <w:t>Criterium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7"/>
              </w:rPr>
              <w:t>Hiaten</w:t>
            </w:r>
          </w:p>
        </w:tc>
        <w:tc>
          <w:tcPr>
            <w:tcW w:type="dxa" w:w="124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7"/>
              </w:rPr>
              <w:t>Actiehorizon</w:t>
            </w:r>
          </w:p>
        </w:tc>
        <w:tc>
          <w:tcPr>
            <w:tcW w:type="dxa" w:w="1020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7"/>
              </w:rPr>
              <w:t>Revisie</w:t>
            </w:r>
          </w:p>
        </w:tc>
        <w:tc>
          <w:tcPr>
            <w:tcW w:type="dxa" w:w="147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7"/>
              </w:rPr>
              <w:t>Status v3.0</w:t>
            </w:r>
          </w:p>
        </w:tc>
      </w:tr>
      <w:tr>
        <w:tc>
          <w:tcPr>
            <w:tcW w:type="dxa" w:w="147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7"/>
              </w:rPr>
              <w:t>P1 — Kritiek</w:t>
            </w:r>
          </w:p>
        </w:tc>
        <w:tc>
          <w:tcPr>
            <w:tcW w:type="dxa" w:w="328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Wettelijke verplichting ontbreekt; blootstellingsrisico niet beheerst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H1–H5 (5)</w:t>
            </w:r>
          </w:p>
        </w:tc>
        <w:tc>
          <w:tcPr>
            <w:tcW w:type="dxa" w:w="124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3 werkdagen</w:t>
            </w:r>
          </w:p>
        </w:tc>
        <w:tc>
          <w:tcPr>
            <w:tcW w:type="dxa" w:w="1020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Rev. 2</w:t>
            </w:r>
          </w:p>
        </w:tc>
        <w:tc>
          <w:tcPr>
            <w:tcW w:type="dxa" w:w="147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00A859"/>
                <w:sz w:val="17"/>
              </w:rPr>
              <w:t>Uitgewerkt</w:t>
            </w:r>
          </w:p>
        </w:tc>
      </w:tr>
      <w:tr>
        <w:tc>
          <w:tcPr>
            <w:tcW w:type="dxa" w:w="147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7"/>
              </w:rPr>
              <w:t>P2 — Verbetering</w:t>
            </w:r>
          </w:p>
        </w:tc>
        <w:tc>
          <w:tcPr>
            <w:tcW w:type="dxa" w:w="328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Verplichting aanwezig maar onvolledig uitgewerkt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H6–H12 (7)</w:t>
            </w:r>
          </w:p>
        </w:tc>
        <w:tc>
          <w:tcPr>
            <w:tcW w:type="dxa" w:w="124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2 weken</w:t>
            </w:r>
          </w:p>
        </w:tc>
        <w:tc>
          <w:tcPr>
            <w:tcW w:type="dxa" w:w="1020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Rev. 3</w:t>
            </w:r>
          </w:p>
        </w:tc>
        <w:tc>
          <w:tcPr>
            <w:tcW w:type="dxa" w:w="147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00A859"/>
                <w:sz w:val="17"/>
              </w:rPr>
              <w:t>Uitgewerkt</w:t>
            </w:r>
          </w:p>
        </w:tc>
      </w:tr>
      <w:tr>
        <w:tc>
          <w:tcPr>
            <w:tcW w:type="dxa" w:w="147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3B82F6"/>
                <w:sz w:val="17"/>
              </w:rPr>
              <w:t>P3 — Aanvulling</w:t>
            </w:r>
          </w:p>
        </w:tc>
        <w:tc>
          <w:tcPr>
            <w:tcW w:type="dxa" w:w="328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Nieuw in v3.0; borging en kwaliteitscyclus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H13–H15 (3)</w:t>
            </w:r>
          </w:p>
        </w:tc>
        <w:tc>
          <w:tcPr>
            <w:tcW w:type="dxa" w:w="124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4–6 weken</w:t>
            </w:r>
          </w:p>
        </w:tc>
        <w:tc>
          <w:tcPr>
            <w:tcW w:type="dxa" w:w="1020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Rev. 3+</w:t>
            </w:r>
          </w:p>
        </w:tc>
        <w:tc>
          <w:tcPr>
            <w:tcW w:type="dxa" w:w="147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Nieuw</w:t>
            </w:r>
          </w:p>
        </w:tc>
      </w:tr>
      <w:tr>
        <w:tc>
          <w:tcPr>
            <w:tcW w:type="dxa" w:w="147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00A859"/>
                <w:sz w:val="17"/>
              </w:rPr>
              <w:t>Conform</w:t>
            </w:r>
          </w:p>
        </w:tc>
        <w:tc>
          <w:tcPr>
            <w:tcW w:type="dxa" w:w="328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Voldoet aan het juridisch kader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6 onderdelen</w:t>
            </w:r>
          </w:p>
        </w:tc>
        <w:tc>
          <w:tcPr>
            <w:tcW w:type="dxa" w:w="124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n.v.t.</w:t>
            </w:r>
          </w:p>
        </w:tc>
        <w:tc>
          <w:tcPr>
            <w:tcW w:type="dxa" w:w="1020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Behoud</w:t>
            </w:r>
          </w:p>
        </w:tc>
        <w:tc>
          <w:tcPr>
            <w:tcW w:type="dxa" w:w="147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00A859"/>
                <w:sz w:val="17"/>
              </w:rPr>
              <w:t>Conform</w:t>
            </w:r>
          </w:p>
        </w:tc>
      </w:tr>
    </w:tbl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3. P1-Hiaten — Spoedrevisie Rev. 2 (uitwerking v3.0)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H1 — Meetstrategie NEN-EN 689/482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P1 (Kritiek)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De procedure bevat geen meetstrategie; zonder metingen is de koppeling aan de wettelijke grenswaarde niet controleerbaar [1][5]. Rev. 2 voegt een volledige meetstrategie toe met:</w:t>
      </w:r>
    </w:p>
    <w:p>
      <w:pPr>
        <w:pStyle w:val="ListBullet"/>
      </w:pPr>
      <w:r>
        <w:rPr>
          <w:rFonts w:ascii="Calibri" w:hAnsi="Calibri"/>
          <w:b/>
          <w:color w:val="1F2937"/>
        </w:rPr>
        <w:t xml:space="preserve">Meetopzet: </w:t>
      </w:r>
      <w:r>
        <w:rPr>
          <w:rFonts w:ascii="Calibri" w:hAnsi="Calibri"/>
          <w:color w:val="1F2937"/>
        </w:rPr>
        <w:t>baseline-meting bij aanvang en taakmetingen bij elke risicovolle activiteit;</w:t>
      </w:r>
    </w:p>
    <w:p>
      <w:pPr>
        <w:pStyle w:val="ListBullet"/>
      </w:pPr>
      <w:r>
        <w:rPr>
          <w:rFonts w:ascii="Calibri" w:hAnsi="Calibri"/>
          <w:b/>
          <w:color w:val="1F2937"/>
        </w:rPr>
        <w:t xml:space="preserve">Meetfrequentie: </w:t>
      </w:r>
      <w:r>
        <w:rPr>
          <w:rFonts w:ascii="Calibri" w:hAnsi="Calibri"/>
          <w:color w:val="1F2937"/>
        </w:rPr>
        <w:t>baseline bij aanvang, taakmetingen per activiteit, herhaling na wijziging van de werkomstandigheden;</w:t>
      </w:r>
    </w:p>
    <w:p>
      <w:pPr>
        <w:pStyle w:val="ListBullet"/>
      </w:pPr>
      <w:r>
        <w:rPr>
          <w:rFonts w:ascii="Calibri" w:hAnsi="Calibri"/>
          <w:b/>
          <w:color w:val="1F2937"/>
        </w:rPr>
        <w:t xml:space="preserve">Bemonsteringsduur: </w:t>
      </w:r>
      <w:r>
        <w:rPr>
          <w:rFonts w:ascii="Calibri" w:hAnsi="Calibri"/>
          <w:color w:val="1F2937"/>
        </w:rPr>
        <w:t>persoonlijke bemonstering 15 minuten (kortdurende taken, NEN-EN 482) en omgevingsbemonstering 4–8 uur;</w:t>
      </w:r>
    </w:p>
    <w:p>
      <w:pPr>
        <w:pStyle w:val="ListBullet"/>
      </w:pPr>
      <w:r>
        <w:rPr>
          <w:rFonts w:ascii="Calibri" w:hAnsi="Calibri"/>
          <w:b/>
          <w:color w:val="1F2937"/>
        </w:rPr>
        <w:t xml:space="preserve">Toetskader: </w:t>
      </w:r>
      <w:r>
        <w:rPr>
          <w:rFonts w:ascii="Calibri" w:hAnsi="Calibri"/>
          <w:color w:val="1F2937"/>
        </w:rPr>
        <w:t>toetsing van meetresultaten conform NEN-EN 689 (statistische toets tegen de grenswaarde);</w:t>
      </w:r>
    </w:p>
    <w:p>
      <w:pPr>
        <w:pStyle w:val="ListBullet"/>
      </w:pPr>
      <w:r>
        <w:rPr>
          <w:rFonts w:ascii="Calibri" w:hAnsi="Calibri"/>
          <w:b/>
          <w:color w:val="1F2937"/>
        </w:rPr>
        <w:t xml:space="preserve">Verantwoordelijke: </w:t>
      </w:r>
      <w:r>
        <w:rPr>
          <w:rFonts w:ascii="Calibri" w:hAnsi="Calibri"/>
          <w:color w:val="1F2937"/>
        </w:rPr>
        <w:t>QHSE Koole laat de metingen uitvoeren; analyse door een extern ISO 17025-geaccrediteerd laboratorium;</w:t>
      </w:r>
    </w:p>
    <w:p>
      <w:pPr>
        <w:pStyle w:val="ListBullet"/>
      </w:pPr>
      <w:r>
        <w:rPr>
          <w:rFonts w:ascii="Calibri" w:hAnsi="Calibri"/>
          <w:b/>
          <w:color w:val="1F2937"/>
        </w:rPr>
        <w:t xml:space="preserve">Grenswaardekoppeling: </w:t>
      </w:r>
      <w:r>
        <w:rPr>
          <w:rFonts w:ascii="Calibri" w:hAnsi="Calibri"/>
          <w:color w:val="1F2937"/>
        </w:rPr>
        <w:t>elke meetuitslag wordt getoetst aan en gerapporteerd tegen de wettelijke grenswaarde voor chroom(VI) van 1 µg/m³ [2].</w:t>
      </w:r>
    </w:p>
    <w:p>
      <w:r>
        <w:rPr>
          <w:rFonts w:ascii="Calibri" w:hAnsi="Calibri"/>
          <w:i/>
          <w:color w:val="1F2937"/>
          <w:sz w:val="19"/>
        </w:rPr>
        <w:t>Uitwerking wordt opgenomen in procedureparagraaf 4.2.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H2 — Arbeidsgezondheidskundig Onderzoek (AGO)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P1 (Kritiek)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Voor CMR-stoffen zoals chroom(VI) is het aanbieden van een arbeidsgezondheidskundig onderzoek verplicht [1]. Rev. 2 voegt toe:</w:t>
      </w:r>
    </w:p>
    <w:p>
      <w:pPr>
        <w:pStyle w:val="ListBullet"/>
      </w:pPr>
      <w:r>
        <w:rPr>
          <w:rFonts w:ascii="Calibri" w:hAnsi="Calibri"/>
          <w:color w:val="1F2937"/>
        </w:rPr>
        <w:t>(P)AGO wordt aangeboden vóór aanvang van de werkzaamheden aan alle medewerkers met blootstellingsrisico;</w:t>
      </w:r>
    </w:p>
    <w:p>
      <w:pPr>
        <w:pStyle w:val="ListBullet"/>
      </w:pPr>
      <w:r>
        <w:rPr>
          <w:rFonts w:ascii="Calibri" w:hAnsi="Calibri"/>
          <w:color w:val="1F2937"/>
        </w:rPr>
        <w:t>de bedrijfsarts heeft een formele rol: intake en screening, beoordeling van de geschiktheid, periodieke evaluatie en medisch advies;</w:t>
      </w:r>
    </w:p>
    <w:p>
      <w:pPr>
        <w:pStyle w:val="ListBullet"/>
      </w:pPr>
      <w:r>
        <w:rPr>
          <w:rFonts w:ascii="Calibri" w:hAnsi="Calibri"/>
          <w:color w:val="1F2937"/>
        </w:rPr>
        <w:t>periodieke gezondheidssurveillance conform het blootstellingsprofiel, met herbeoordeling bij meetresultaten boven 10% van de grenswaarde.</w:t>
      </w:r>
    </w:p>
    <w:p>
      <w:r>
        <w:rPr>
          <w:rFonts w:ascii="Calibri" w:hAnsi="Calibri"/>
          <w:i/>
          <w:color w:val="1F2937"/>
          <w:sz w:val="19"/>
        </w:rPr>
        <w:t>Uitwerking wordt opgenomen in procedureparagraaf 5.5.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H3 — Bewaring blootstellingsgegevens (40 jaar)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P1 (Kritiek)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Gegevens over blootstelling aan kankerverwekkende stoffen zijn 40 jaar bewaarplichtig [3]. Rev. 2 voegt toe:</w:t>
      </w:r>
    </w:p>
    <w:p>
      <w:pPr>
        <w:pStyle w:val="ListBullet"/>
      </w:pPr>
      <w:r>
        <w:rPr>
          <w:rFonts w:ascii="Calibri" w:hAnsi="Calibri"/>
          <w:color w:val="1F2937"/>
        </w:rPr>
        <w:t>registratieplicht van blootstellingsgegevens: naam medewerker, datum, activiteit, methode, concentratie en duur;</w:t>
      </w:r>
    </w:p>
    <w:p>
      <w:pPr>
        <w:pStyle w:val="ListBullet"/>
      </w:pPr>
      <w:r>
        <w:rPr>
          <w:rFonts w:ascii="Calibri" w:hAnsi="Calibri"/>
          <w:color w:val="1F2937"/>
        </w:rPr>
        <w:t>bewaartermijn van 40 jaar na beëindiging van de blootstelling (Arbobesluit art. 4.15);</w:t>
      </w:r>
    </w:p>
    <w:p>
      <w:pPr>
        <w:pStyle w:val="ListBullet"/>
      </w:pPr>
      <w:r>
        <w:rPr>
          <w:rFonts w:ascii="Calibri" w:hAnsi="Calibri"/>
          <w:color w:val="1F2937"/>
        </w:rPr>
        <w:t>overdrachtsregeling bij projectafschaling en contractbeëindiging: archivering bij de opdrachtnemer, met notificatie aan de opdrachtgever.</w:t>
      </w:r>
    </w:p>
    <w:p>
      <w:r>
        <w:rPr>
          <w:rFonts w:ascii="Calibri" w:hAnsi="Calibri"/>
          <w:i/>
          <w:color w:val="1F2937"/>
          <w:sz w:val="19"/>
        </w:rPr>
        <w:t>Uitwerking wordt opgenomen in procedureparagraaf 6.3.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H4 — RI&amp;E Tox-elementen + vervangingsonderbouwing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P1 (Kritiek)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De RI&amp;E-verwijzing dekt de verplichte vastlegging van aard, mate en duur van de blootstelling niet af en de vervangingsplicht is niet gedocumenteerd [1]. Rev. 2 voegt toe:</w:t>
      </w:r>
    </w:p>
    <w:p>
      <w:pPr>
        <w:pStyle w:val="ListBullet"/>
      </w:pPr>
      <w:r>
        <w:rPr>
          <w:rFonts w:ascii="Calibri" w:hAnsi="Calibri"/>
          <w:color w:val="1F2937"/>
        </w:rPr>
        <w:t>RI&amp;E-registratie met aard, mate en duur van de blootstelling per taak en functie;</w:t>
      </w:r>
    </w:p>
    <w:p>
      <w:pPr>
        <w:pStyle w:val="ListBullet"/>
      </w:pPr>
      <w:r>
        <w:rPr>
          <w:rFonts w:ascii="Calibri" w:hAnsi="Calibri"/>
          <w:color w:val="1F2937"/>
        </w:rPr>
        <w:t>expliciete overweging van vervanging en bronmaatregelen vóór afweging van collectieve en individuele bescherming;</w:t>
      </w:r>
    </w:p>
    <w:p>
      <w:pPr>
        <w:pStyle w:val="ListBullet"/>
      </w:pPr>
      <w:r>
        <w:rPr>
          <w:rFonts w:ascii="Calibri" w:hAnsi="Calibri"/>
          <w:color w:val="1F2937"/>
        </w:rPr>
        <w:t>substitutieafweging cold cutting versus hot cutting, met risicoanalyse en onderbouwing van de gekozen methode (5M-methode [6]).</w:t>
      </w:r>
    </w:p>
    <w:p>
      <w:r>
        <w:rPr>
          <w:rFonts w:ascii="Calibri" w:hAnsi="Calibri"/>
          <w:i/>
          <w:color w:val="1F2937"/>
          <w:sz w:val="19"/>
        </w:rPr>
        <w:t>Uitwerking wordt opgenomen in procedureparagrafen 2.1 en 3.1.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H5 — Lijst blootgestelde werknemers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P1 (Kritiek)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Werknemers met blootstelling aan kankerverwekkende stoffen hebben recht op registratie en inzage [3]. Rev. 2 voegt toe:</w:t>
      </w:r>
    </w:p>
    <w:p>
      <w:pPr>
        <w:pStyle w:val="ListBullet"/>
      </w:pPr>
      <w:r>
        <w:rPr>
          <w:rFonts w:ascii="Calibri" w:hAnsi="Calibri"/>
          <w:color w:val="1F2937"/>
        </w:rPr>
        <w:t>registratieplicht van blootgesteld personeel: naam, functie, periode en aard van de werkzaamheden;</w:t>
      </w:r>
    </w:p>
    <w:p>
      <w:pPr>
        <w:pStyle w:val="ListBullet"/>
      </w:pPr>
      <w:r>
        <w:rPr>
          <w:rFonts w:ascii="Calibri" w:hAnsi="Calibri"/>
          <w:color w:val="1F2937"/>
        </w:rPr>
        <w:t>inzagerecht voor werknemers in het eigen blootstellingsdossier;</w:t>
      </w:r>
    </w:p>
    <w:p>
      <w:pPr>
        <w:pStyle w:val="ListBullet"/>
      </w:pPr>
      <w:r>
        <w:rPr>
          <w:rFonts w:ascii="Calibri" w:hAnsi="Calibri"/>
          <w:color w:val="1F2937"/>
        </w:rPr>
        <w:t>afschriftrecht: de werknemer ontvangt op verzoek een afschrift van de eigen blootstellingsgegevens.</w:t>
      </w:r>
    </w:p>
    <w:p>
      <w:r>
        <w:rPr>
          <w:rFonts w:ascii="Calibri" w:hAnsi="Calibri"/>
          <w:i/>
          <w:color w:val="1F2937"/>
          <w:sz w:val="19"/>
        </w:rPr>
        <w:t>Uitwerking wordt opgenomen in procedureparagraaf 6.4.</w:t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4. P2-Hiaten — Verbeteringstraject Rev. 3 (uitwerking v3.0)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H6 — Abnormale blootstelling + OR/PVT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P2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Bij abnormale blootstelling (calamiteit, overschrijding van de grenswaarde, afgifte uit installaties) ontbreekt een formeel meldkanaal. Rev. 3 voegt een formele meldingsprocedure richting ondernemingsraad of personeelsvertegenwoordiging toe, met een meldingstermijn van 48 uur en evaluatie van de genomen maatregelen (procedureparagraaf 7.2).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H7 — REACH Bijlage XIV — autorisatiecheck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P2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Chroom(VI)-verbindingen staan op de autorisatielijst van REACH Bijlage XIV [4]. Rev. 3 voegt een autorisatiecheck toe voor bijkomend gebruik — waaronder oppervlaktebehandeling en inzet van producten met chroom(VI) buiten het goedgekeurde toepassingskader — vóór inkoop en inzet (procedureparagraaf 4.3).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H8 — Afvalstroomklassering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P2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Chroom(VI)-houdende afvalstromen zijn gevaarlijk afval en vereisen correcte herkenning en classificatie (Wet milieubeheer / Landelijk Afvalbeheerplan). Rev. 3 voegt afvalstroomherkenning, classificatie en een begeleidingsstroomregeling toe (procedureparagraaf 8.2).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H9 — Arbo-informatiebladen 67, 31, 18 en 77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P2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De referentielijst bevat de relevante arbo-informatiebladen niet. Rev. 3 voegt toe aan de referentielijst (procedureparagraaf 6): AI-blad 67 (kankerverwekkende stoffen), AI-blad 31 (gevaarlijke stoffen), AI-blad 18 (persoonlijke beschermingsmiddelen) en AI-blad 77 (chroom-6) [7].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H10 — Beheersregime chroom-6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P2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Het beheersregime chroom-6 van de rijksoverheid (Rijkswaterstaat, Defensie, ProRail, Rijksvastgoedbedrijf) vormt de operationele referentie voor de omgang met chroom(VI)-houdende coatinglagen. Rev. 3 voegt een operationele uitwerking toe: herkenning van chroom-6-houdende lagen, werkprotocol bij verstoord materiaal en registratie van beheersmaatregelen (procedureparagraaf 3.2).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H11 — 5M-methode + substitutie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P2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De 5M-methode (Mens, Middel, Methode, Milieu, Materiaal) uit de arbocatalogi wordt niet toegepast [6]. Rev. 3 documenteert substitutie- en bronmaatregeloverwegingen per 5M-dimensie, met expliciete afweging van koude snijtechnieken als alternatief voor thermisch snijden (procedureparagraaf 2.2).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H12 — Documentbeheer Rev A vs Rev 1</w:t>
      </w:r>
    </w:p>
    <w:p>
      <w:pPr>
        <w:spacing w:after="80"/>
      </w:pPr>
      <w:r>
        <w:rPr>
          <w:rFonts w:ascii="Calibri" w:hAnsi="Calibri"/>
          <w:b/>
          <w:color w:val="00A859"/>
          <w:sz w:val="19"/>
        </w:rPr>
        <w:t>Prioriteit: P2   |   Status v3.0: Uitgewerkt in v3.0</w:t>
      </w:r>
    </w:p>
    <w:p>
      <w:r>
        <w:rPr>
          <w:rFonts w:ascii="Calibri" w:hAnsi="Calibri"/>
          <w:i w:val="0"/>
          <w:color w:val="1F2937"/>
          <w:sz w:val="22"/>
        </w:rPr>
        <w:t>Het brondocument vermeldt zowel Rev A (02-03-2026) als Rev 1 (15-04-2026) zonder statusverklaring [8]. Rev. 3 lost de inconsistentie op: één geldige revisiestatus, volledige revisiehistorie in het documentbeheerblok en intrekking van de achterhaalde versie (procedureparagraaf 1.0).</w:t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5. Nieuw in v3.0 — P3-Aanvullingen (Rev. 3+)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H13 — Trainingsprogramma</w:t>
      </w:r>
    </w:p>
    <w:p>
      <w:pPr>
        <w:spacing w:after="80"/>
      </w:pPr>
      <w:r>
        <w:rPr>
          <w:rFonts w:ascii="Calibri" w:hAnsi="Calibri"/>
          <w:b/>
          <w:color w:val="3B82F6"/>
          <w:sz w:val="19"/>
        </w:rPr>
        <w:t>Prioriteit: P3 (Nieuw)   |   Status v3.0: Nieuw in v3.0</w:t>
      </w:r>
    </w:p>
    <w:p>
      <w:r>
        <w:rPr>
          <w:rFonts w:ascii="Calibri" w:hAnsi="Calibri"/>
          <w:i w:val="0"/>
          <w:color w:val="1F2937"/>
          <w:sz w:val="22"/>
        </w:rPr>
        <w:t>Rev. 3+ voegt een gestructureerd trainingsprogramma toe:</w:t>
      </w:r>
    </w:p>
    <w:p>
      <w:pPr>
        <w:pStyle w:val="ListBullet"/>
      </w:pPr>
      <w:r>
        <w:rPr>
          <w:rFonts w:ascii="Calibri" w:hAnsi="Calibri"/>
          <w:color w:val="1F2937"/>
        </w:rPr>
        <w:t>basistraining chroom-6 bewustzijn voor alle betrokken medewerkers;</w:t>
      </w:r>
    </w:p>
    <w:p>
      <w:pPr>
        <w:pStyle w:val="ListBullet"/>
      </w:pPr>
      <w:r>
        <w:rPr>
          <w:rFonts w:ascii="Calibri" w:hAnsi="Calibri"/>
          <w:color w:val="1F2937"/>
        </w:rPr>
        <w:t>specifieke training cold cutting-technieken voor uitvoerend personeel;</w:t>
      </w:r>
    </w:p>
    <w:p>
      <w:pPr>
        <w:pStyle w:val="ListBullet"/>
      </w:pPr>
      <w:r>
        <w:rPr>
          <w:rFonts w:ascii="Calibri" w:hAnsi="Calibri"/>
          <w:color w:val="1F2937"/>
        </w:rPr>
        <w:t>fit-test en gebruikerstraining persoonlijke beschermingsmiddelen;</w:t>
      </w:r>
    </w:p>
    <w:p>
      <w:pPr>
        <w:pStyle w:val="ListBullet"/>
      </w:pPr>
      <w:r>
        <w:rPr>
          <w:rFonts w:ascii="Calibri" w:hAnsi="Calibri"/>
          <w:color w:val="1F2937"/>
        </w:rPr>
        <w:t>spillresponstraining met jaarlijke herhaling.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H14 — Kwaliteitsborging metingen</w:t>
      </w:r>
    </w:p>
    <w:p>
      <w:pPr>
        <w:spacing w:after="80"/>
      </w:pPr>
      <w:r>
        <w:rPr>
          <w:rFonts w:ascii="Calibri" w:hAnsi="Calibri"/>
          <w:b/>
          <w:color w:val="3B82F6"/>
          <w:sz w:val="19"/>
        </w:rPr>
        <w:t>Prioriteit: P3 (Nieuw)   |   Status v3.0: Nieuw in v3.0</w:t>
      </w:r>
    </w:p>
    <w:p>
      <w:r>
        <w:rPr>
          <w:rFonts w:ascii="Calibri" w:hAnsi="Calibri"/>
          <w:i w:val="0"/>
          <w:color w:val="1F2937"/>
          <w:sz w:val="22"/>
        </w:rPr>
        <w:t>Rev. 3+ borgt de betrouwbaarheid van de meetstrategie (H1):</w:t>
      </w:r>
    </w:p>
    <w:p>
      <w:pPr>
        <w:pStyle w:val="ListBullet"/>
      </w:pPr>
      <w:r>
        <w:rPr>
          <w:rFonts w:ascii="Calibri" w:hAnsi="Calibri"/>
          <w:color w:val="1F2937"/>
        </w:rPr>
        <w:t>aantoonbare laboratoriumaccreditatie conform ISO 17025 voor alle analyseopdrachten;</w:t>
      </w:r>
    </w:p>
    <w:p>
      <w:pPr>
        <w:pStyle w:val="ListBullet"/>
      </w:pPr>
      <w:r>
        <w:rPr>
          <w:rFonts w:ascii="Calibri" w:hAnsi="Calibri"/>
          <w:color w:val="1F2937"/>
        </w:rPr>
        <w:t>kalibratieprocedure en kalibratie-interval voor bemonsteringsapparatuur;</w:t>
      </w:r>
    </w:p>
    <w:p>
      <w:pPr>
        <w:pStyle w:val="ListBullet"/>
      </w:pPr>
      <w:r>
        <w:rPr>
          <w:rFonts w:ascii="Calibri" w:hAnsi="Calibri"/>
          <w:color w:val="1F2937"/>
        </w:rPr>
        <w:t>validatieprotocol voor meetdata vóór opname in het blootstellingsregister.</w:t>
      </w:r>
    </w:p>
    <w:p>
      <w:pPr>
        <w:spacing w:before="240" w:after="60"/>
      </w:pPr>
      <w:r>
        <w:rPr>
          <w:rFonts w:ascii="Calibri" w:hAnsi="Calibri"/>
          <w:b/>
          <w:color w:val="003366"/>
          <w:sz w:val="24"/>
        </w:rPr>
        <w:t>H15 — Continue verbetering</w:t>
      </w:r>
    </w:p>
    <w:p>
      <w:pPr>
        <w:spacing w:after="80"/>
      </w:pPr>
      <w:r>
        <w:rPr>
          <w:rFonts w:ascii="Calibri" w:hAnsi="Calibri"/>
          <w:b/>
          <w:color w:val="3B82F6"/>
          <w:sz w:val="19"/>
        </w:rPr>
        <w:t>Prioriteit: P3 (Nieuw)   |   Status v3.0: Nieuw in v3.0</w:t>
      </w:r>
    </w:p>
    <w:p>
      <w:r>
        <w:rPr>
          <w:rFonts w:ascii="Calibri" w:hAnsi="Calibri"/>
          <w:i w:val="0"/>
          <w:color w:val="1F2937"/>
          <w:sz w:val="22"/>
        </w:rPr>
        <w:t>Rev. 3+ institutionaliseert de verbetercyclus:</w:t>
      </w:r>
    </w:p>
    <w:p>
      <w:pPr>
        <w:pStyle w:val="ListBullet"/>
      </w:pPr>
      <w:r>
        <w:rPr>
          <w:rFonts w:ascii="Calibri" w:hAnsi="Calibri"/>
          <w:color w:val="1F2937"/>
        </w:rPr>
        <w:t>jaarlijkse periodieke review van de procedure met evaluatie van meetdata;</w:t>
      </w:r>
    </w:p>
    <w:p>
      <w:pPr>
        <w:pStyle w:val="ListBullet"/>
      </w:pPr>
      <w:r>
        <w:rPr>
          <w:rFonts w:ascii="Calibri" w:hAnsi="Calibri"/>
          <w:color w:val="1F2937"/>
        </w:rPr>
        <w:t>incidentanalyse en vastlegging van lessons learned;</w:t>
      </w:r>
    </w:p>
    <w:p>
      <w:pPr>
        <w:pStyle w:val="ListBullet"/>
      </w:pPr>
      <w:r>
        <w:rPr>
          <w:rFonts w:ascii="Calibri" w:hAnsi="Calibri"/>
          <w:color w:val="1F2937"/>
        </w:rPr>
        <w:t>structurele feedbackloop met de werkvloer via toolboxmeetings.</w:t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6. Actieplan — verantwoordelijken en deadlines</w:t>
      </w:r>
    </w:p>
    <w:p>
      <w:r>
        <w:rPr>
          <w:rFonts w:ascii="Calibri" w:hAnsi="Calibri"/>
          <w:i w:val="0"/>
          <w:color w:val="1F2937"/>
          <w:sz w:val="22"/>
        </w:rPr>
        <w:t>Elk hiaat kent één verantwoordelijke en een concrete deadline. De datums sluiten aan bij de implementatieroadmap in hoofdstuk 7.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6"/>
              </w:rPr>
              <w:t>Hiaat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6"/>
              </w:rPr>
              <w:t>Actie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6"/>
              </w:rPr>
              <w:t>Verantwoordelijke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6"/>
              </w:rPr>
              <w:t>Deadline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6"/>
              </w:rPr>
              <w:t>H1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Meetstrategie (NEN-EN 689/482) opstellen en in procedure opnemen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QHSE Manager Koole + Extern laboratorium (ISO 17025)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2026-08-28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6"/>
              </w:rPr>
              <w:t>H2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(P)AGO-regeling en rol bedrijfsarts vastleggen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QHSE Manager Koole + Bedrijfsarts (extern)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2026-08-28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6"/>
              </w:rPr>
              <w:t>H3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Bewaar- en overdrachtsregeling blootstellingsgegevens (40 jr)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QHSE Manager Koole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2026-08-28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6"/>
              </w:rPr>
              <w:t>H4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RI&amp;E-toxregistratie en vervangingsonderbouwing opstellen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HSEQ-adviseur JvG + Uitvoeringscoördinator Koole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2026-08-28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6"/>
              </w:rPr>
              <w:t>H5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Lijst blootgestelde werknemers + inzage-/afschriftregeling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Documentbeheerder KOO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2026-08-28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6"/>
              </w:rPr>
              <w:t>H6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Formeel meldkanaal abnormale blootstelling naar OR/PVT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QHSE Manager Koole + OR/PVT Koole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2026-09-08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6"/>
              </w:rPr>
              <w:t>H7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REACH Bijlage XIV-autorisatiecheck bij bijkomend gebruik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HSEQ-adviseur JvG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2026-09-08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6"/>
              </w:rPr>
              <w:t>H8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Afvalstroomherkenning en -classificatie toevoegen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QHSE Manager Koole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2026-09-08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6"/>
              </w:rPr>
              <w:t>H9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AI-bladen 67, 31, 18, 77 opnemen in referentielijst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Documentbeheerder KOO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2026-09-08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6"/>
              </w:rPr>
              <w:t>H10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Operationele uitwerking beheersregime chroom-6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HSEQ-adviseur JvG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2026-09-08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6"/>
              </w:rPr>
              <w:t>H11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5M-substitutiedocumentatie uitwerken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HSEQ-adviseur JvG + Uitvoeringscoördinator Koole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2026-09-08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6"/>
              </w:rPr>
              <w:t>H12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Rev A/Rev 1-inconsistentie oplossen; revisiehistorie vastleggen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Documentbeheerder KOO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2026-09-08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00A859"/>
                <w:sz w:val="16"/>
              </w:rPr>
              <w:t>Uitgewerkt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3B82F6"/>
                <w:sz w:val="16"/>
              </w:rPr>
              <w:t>H13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Trainingsprogramma chroom-6 samenstellen en inplannen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QHSE Manager Koole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2026-10-06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3B82F6"/>
                <w:sz w:val="16"/>
              </w:rPr>
              <w:t>Nieuw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3B82F6"/>
                <w:sz w:val="16"/>
              </w:rPr>
              <w:t>H14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Kwaliteitsborging metingen (ISO 17025, kalibratie, validatie)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QHSE Manager Koole + Extern laboratorium (ISO 17025)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2026-10-06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3B82F6"/>
                <w:sz w:val="16"/>
              </w:rPr>
              <w:t>Nieuw in v3.0</w:t>
            </w:r>
          </w:p>
        </w:tc>
      </w:tr>
      <w:tr>
        <w:tc>
          <w:tcPr>
            <w:tcW w:type="dxa" w:w="7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3B82F6"/>
                <w:sz w:val="16"/>
              </w:rPr>
              <w:t>H15</w:t>
            </w:r>
          </w:p>
        </w:tc>
        <w:tc>
          <w:tcPr>
            <w:tcW w:type="dxa" w:w="374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Continue verbetercyclus (review, incidentanalyse, feedback)</w:t>
            </w:r>
          </w:p>
        </w:tc>
        <w:tc>
          <w:tcPr>
            <w:tcW w:type="dxa" w:w="238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QHSE Manager Koole</w:t>
            </w:r>
          </w:p>
        </w:tc>
        <w:tc>
          <w:tcPr>
            <w:tcW w:type="dxa" w:w="113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2026-10-06</w:t>
            </w:r>
          </w:p>
        </w:tc>
        <w:tc>
          <w:tcPr>
            <w:tcW w:type="dxa" w:w="158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 w:val="0"/>
                <w:color w:val="3B82F6"/>
                <w:sz w:val="16"/>
              </w:rPr>
              <w:t>Nieuw in v3.0</w:t>
            </w:r>
          </w:p>
        </w:tc>
      </w:tr>
    </w:tbl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7. Implementation Roadmap</w:t>
      </w:r>
    </w:p>
    <w:p>
      <w:r>
        <w:rPr>
          <w:rFonts w:ascii="Calibri" w:hAnsi="Calibri"/>
          <w:i w:val="0"/>
          <w:color w:val="1F2937"/>
          <w:sz w:val="22"/>
        </w:rPr>
        <w:t>De roadmap doorloopt vier fasen van 25 augustus tot en met 6 oktober 2026. Elke fase wordt afgesloten met een goedkeuringsmoment (mijlpaal); de volgende fase start pas na formele vaststelling van de voorgaande.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6"/>
              </w:rPr>
              <w:t>Fase</w:t>
            </w:r>
          </w:p>
        </w:tc>
        <w:tc>
          <w:tcPr>
            <w:tcW w:type="dxa" w:w="181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6"/>
              </w:rPr>
              <w:t>Periode</w:t>
            </w:r>
          </w:p>
        </w:tc>
        <w:tc>
          <w:tcPr>
            <w:tcW w:type="dxa" w:w="408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6"/>
              </w:rPr>
              <w:t>Onderwerpen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6"/>
              </w:rPr>
              <w:t>Mijlpaal / oplevering</w:t>
            </w:r>
          </w:p>
        </w:tc>
      </w:tr>
      <w:tr>
        <w:tc>
          <w:tcPr>
            <w:tcW w:type="dxa" w:w="170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Fase 1 — Spoedrevisie</w:t>
            </w:r>
          </w:p>
        </w:tc>
        <w:tc>
          <w:tcPr>
            <w:tcW w:type="dxa" w:w="181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25-08 t/m 28-08-2026</w:t>
            </w:r>
          </w:p>
        </w:tc>
        <w:tc>
          <w:tcPr>
            <w:tcW w:type="dxa" w:w="408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H1–H5 (P1): meetstrategie, AGO, 40-jaar bewaring, RI&amp;E-tox, lijst blootgestelden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Rev. 2 vastgesteld en verspreid (28-08-2026)</w:t>
            </w:r>
          </w:p>
        </w:tc>
      </w:tr>
      <w:tr>
        <w:tc>
          <w:tcPr>
            <w:tcW w:type="dxa" w:w="170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Fase 2 — Verbetering</w:t>
            </w:r>
          </w:p>
        </w:tc>
        <w:tc>
          <w:tcPr>
            <w:tcW w:type="dxa" w:w="181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28-08 t/m 08-09-2026</w:t>
            </w:r>
          </w:p>
        </w:tc>
        <w:tc>
          <w:tcPr>
            <w:tcW w:type="dxa" w:w="408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H6–H12 (P2): OR/PVT-kanaal, REACH-check, afvalklassering, AI-bladen, beheersregime, 5M, documentbeheer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Rev. 3 vastgesteld en verspreid (08-09-2026)</w:t>
            </w:r>
          </w:p>
        </w:tc>
      </w:tr>
      <w:tr>
        <w:tc>
          <w:tcPr>
            <w:tcW w:type="dxa" w:w="170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Fase 3 — Aanvulling</w:t>
            </w:r>
          </w:p>
        </w:tc>
        <w:tc>
          <w:tcPr>
            <w:tcW w:type="dxa" w:w="181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08-09 t/m 06-10-2026</w:t>
            </w:r>
          </w:p>
        </w:tc>
        <w:tc>
          <w:tcPr>
            <w:tcW w:type="dxa" w:w="408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H13–H15 (P3): trainingsprogramma, kwaliteitsborging metingen, verbetercyclus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Rev. 3+ vastgesteld; trainingen gepland (06-10-2026)</w:t>
            </w:r>
          </w:p>
        </w:tc>
      </w:tr>
      <w:tr>
        <w:tc>
          <w:tcPr>
            <w:tcW w:type="dxa" w:w="170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Fase 4 — Inbedding</w:t>
            </w:r>
          </w:p>
        </w:tc>
        <w:tc>
          <w:tcPr>
            <w:tcW w:type="dxa" w:w="181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vanaf 06-10-2026</w:t>
            </w:r>
          </w:p>
        </w:tc>
        <w:tc>
          <w:tcPr>
            <w:tcW w:type="dxa" w:w="408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Uitrol trainingen, eerste periodieke review, evaluatie meetdata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6"/>
              </w:rPr>
              <w:t>Jaarlijkse reviewcyclus operationeel</w:t>
            </w:r>
          </w:p>
        </w:tc>
      </w:tr>
    </w:tbl>
    <w:p>
      <w:r>
        <w:rPr>
          <w:rFonts w:ascii="Calibri" w:hAnsi="Calibri"/>
          <w:i w:val="0"/>
          <w:color w:val="1F2937"/>
          <w:sz w:val="22"/>
        </w:rPr>
        <w:t>Tussentijds reviewmoment: 01-09-2026 — de HSEQ-adviseur van JvG Consultancy toetst de ingevoerde wijzigingen tegen dit voorstel en rapporteert de status aan de opdrachtgever.</w:t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8. Besluit en vervolgstappen</w:t>
      </w:r>
    </w:p>
    <w:p>
      <w:r>
        <w:rPr>
          <w:rFonts w:ascii="Calibri" w:hAnsi="Calibri"/>
          <w:i w:val="0"/>
          <w:color w:val="1F2937"/>
          <w:sz w:val="22"/>
        </w:rPr>
        <w:t>Alle twaalf hiaten uit versie 1.0 zijn in dit voorstel uitgewerkt tot implementeerbare maatregelen; de drie P3-aanvullingen borgen de kwaliteitscyclus. De vereiste vervolgstappen:</w:t>
      </w:r>
    </w:p>
    <w:p>
      <w:pPr>
        <w:pStyle w:val="ListBullet"/>
      </w:pPr>
      <w:r>
        <w:rPr>
          <w:rFonts w:ascii="Calibri" w:hAnsi="Calibri"/>
          <w:b/>
          <w:color w:val="1F2937"/>
        </w:rPr>
        <w:t xml:space="preserve">1. </w:t>
      </w:r>
      <w:r>
        <w:rPr>
          <w:rFonts w:ascii="Calibri" w:hAnsi="Calibri"/>
          <w:color w:val="1F2937"/>
        </w:rPr>
        <w:t>direct: spoedimplementatie Rev. 2 (H1–H5) vóór 28-08-2026;</w:t>
      </w:r>
    </w:p>
    <w:p>
      <w:pPr>
        <w:pStyle w:val="ListBullet"/>
      </w:pPr>
      <w:r>
        <w:rPr>
          <w:rFonts w:ascii="Calibri" w:hAnsi="Calibri"/>
          <w:b/>
          <w:color w:val="1F2937"/>
        </w:rPr>
        <w:t xml:space="preserve">2. </w:t>
      </w:r>
      <w:r>
        <w:rPr>
          <w:rFonts w:ascii="Calibri" w:hAnsi="Calibri"/>
          <w:color w:val="1F2937"/>
        </w:rPr>
        <w:t>korte termijn: implementatie Rev. 3 (H6–H12) vóór 08-09-2026;</w:t>
      </w:r>
    </w:p>
    <w:p>
      <w:pPr>
        <w:pStyle w:val="ListBullet"/>
      </w:pPr>
      <w:r>
        <w:rPr>
          <w:rFonts w:ascii="Calibri" w:hAnsi="Calibri"/>
          <w:b/>
          <w:color w:val="1F2937"/>
        </w:rPr>
        <w:t xml:space="preserve">3. </w:t>
      </w:r>
      <w:r>
        <w:rPr>
          <w:rFonts w:ascii="Calibri" w:hAnsi="Calibri"/>
          <w:color w:val="1F2937"/>
        </w:rPr>
        <w:t>lange termijn: implementatie Rev. 3+ (H13–H15) vóór 06-10-2026;</w:t>
      </w:r>
    </w:p>
    <w:p>
      <w:r>
        <w:rPr>
          <w:rFonts w:ascii="Calibri" w:hAnsi="Calibri"/>
          <w:i w:val="0"/>
          <w:color w:val="1F2937"/>
          <w:sz w:val="22"/>
        </w:rPr>
        <w:t>Eindverantwoordelijk voor de implementatie: QHSE Manager Koole. Reviewdatum: 01-09-2026 (HSEQ-adviseur JvG Consultancy).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0FDF4"/>
            <w:tcMar>
              <w:top w:w="140" w:type="dxa"/>
              <w:start w:w="200" w:type="dxa"/>
              <w:bottom w:w="140" w:type="dxa"/>
              <w:end w:w="200" w:type="dxa"/>
            </w:tcMar>
            <w:tcBorders>
              <w:top w:val="single" w:sz="4" w:color="00A859"/>
              <w:left w:val="single" w:sz="18" w:color="00A859"/>
              <w:bottom w:val="single" w:sz="4" w:color="00A859"/>
              <w:right w:val="single" w:sz="4" w:color="00A859"/>
            </w:tcBorders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Status: GO voor implementatie Rev. 2 + Rev. 3 + Rev. 3+.</w:t>
            </w:r>
          </w:p>
        </w:tc>
      </w:tr>
    </w:tbl>
    <w:p>
      <w:pPr>
        <w:spacing w:after="40"/>
      </w:pP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9. Versiebeheer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7"/>
              </w:rPr>
              <w:t>Versie</w:t>
            </w:r>
          </w:p>
        </w:tc>
        <w:tc>
          <w:tcPr>
            <w:tcW w:type="dxa" w:w="136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7"/>
              </w:rPr>
              <w:t>Datum</w:t>
            </w:r>
          </w:p>
        </w:tc>
        <w:tc>
          <w:tcPr>
            <w:tcW w:type="dxa" w:w="24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7"/>
              </w:rPr>
              <w:t>Auteur</w:t>
            </w:r>
          </w:p>
        </w:tc>
        <w:tc>
          <w:tcPr>
            <w:tcW w:type="dxa" w:w="487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7"/>
              </w:rPr>
              <w:t>Wijziging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v1.0</w:t>
            </w:r>
          </w:p>
        </w:tc>
        <w:tc>
          <w:tcPr>
            <w:tcW w:type="dxa" w:w="136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2026-08-24</w:t>
            </w:r>
          </w:p>
        </w:tc>
        <w:tc>
          <w:tcPr>
            <w:tcW w:type="dxa" w:w="249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HSEQ-adviseur JvG</w:t>
            </w:r>
          </w:p>
        </w:tc>
        <w:tc>
          <w:tcPr>
            <w:tcW w:type="dxa" w:w="4876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Eerste herzieningsvoorstel: 12 hiaten geprioriteerd (5 x P1, 7 x P2)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v3.0</w:t>
            </w:r>
          </w:p>
        </w:tc>
        <w:tc>
          <w:tcPr>
            <w:tcW w:type="dxa" w:w="136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2026-08-25</w:t>
            </w:r>
          </w:p>
        </w:tc>
        <w:tc>
          <w:tcPr>
            <w:tcW w:type="dxa" w:w="249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JvG Consultancy — HSEQ Divisie</w:t>
            </w:r>
          </w:p>
        </w:tc>
        <w:tc>
          <w:tcPr>
            <w:tcW w:type="dxa" w:w="487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7"/>
              </w:rPr>
              <w:t>Volledige uitwerking H1–H12; nieuw: prioriteitsmatrix, P3-aanvullingen H13–H15, actieplan met verantwoordelijken en deadlines, implementation roadmap</w:t>
            </w:r>
          </w:p>
        </w:tc>
      </w:tr>
    </w:tbl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Bronnen</w:t>
      </w:r>
    </w:p>
    <w:p>
      <w:pPr>
        <w:spacing w:after="40"/>
      </w:pPr>
      <w:r>
        <w:rPr>
          <w:rFonts w:ascii="Calibri" w:hAnsi="Calibri"/>
          <w:color w:val="374151"/>
          <w:sz w:val="18"/>
        </w:rPr>
        <w:t>[1] Arbobesluit (hoofdstuk 4, afdeling 3) — art. 4.2, 4.10, 4.13, 4.15, 4.21</w:t>
      </w:r>
    </w:p>
    <w:p>
      <w:pPr>
        <w:spacing w:after="40"/>
      </w:pPr>
      <w:r>
        <w:rPr>
          <w:rFonts w:ascii="Calibri" w:hAnsi="Calibri"/>
          <w:color w:val="374151"/>
          <w:sz w:val="18"/>
        </w:rPr>
        <w:t>[2] Wettelijke grenswaarde chroom(VI) — 1 µg/m³ (SER), 2026</w:t>
      </w:r>
    </w:p>
    <w:p>
      <w:pPr>
        <w:spacing w:after="40"/>
      </w:pPr>
      <w:r>
        <w:rPr>
          <w:rFonts w:ascii="Calibri" w:hAnsi="Calibri"/>
          <w:color w:val="374151"/>
          <w:sz w:val="18"/>
        </w:rPr>
        <w:t>[3] Arbobesluit art. 4.15 — bewaarplicht blootstellingsgegevens kankerverwekkende stoffen (40 jaar)</w:t>
      </w:r>
    </w:p>
    <w:p>
      <w:pPr>
        <w:spacing w:after="40"/>
      </w:pPr>
      <w:r>
        <w:rPr>
          <w:rFonts w:ascii="Calibri" w:hAnsi="Calibri"/>
          <w:color w:val="374151"/>
          <w:sz w:val="18"/>
        </w:rPr>
        <w:t>[4] REACH Verordening — Bijlage XIV (autorisatie chroom(VI)-verbindingen)</w:t>
      </w:r>
    </w:p>
    <w:p>
      <w:pPr>
        <w:spacing w:after="40"/>
      </w:pPr>
      <w:r>
        <w:rPr>
          <w:rFonts w:ascii="Calibri" w:hAnsi="Calibri"/>
          <w:color w:val="374151"/>
          <w:sz w:val="18"/>
        </w:rPr>
        <w:t>[5] NEN-EN 689 — Werkplekblootstelling: meetstrategie; NEN-EN 482 — eisen meetprocedures</w:t>
      </w:r>
    </w:p>
    <w:p>
      <w:pPr>
        <w:spacing w:after="40"/>
      </w:pPr>
      <w:r>
        <w:rPr>
          <w:rFonts w:ascii="Calibri" w:hAnsi="Calibri"/>
          <w:color w:val="374151"/>
          <w:sz w:val="18"/>
        </w:rPr>
        <w:t>[6] Arbocatalogi — 5M-methode (Mens, Middel, Methode, Milieu, Materiaal)</w:t>
      </w:r>
    </w:p>
    <w:p>
      <w:pPr>
        <w:spacing w:after="40"/>
      </w:pPr>
      <w:r>
        <w:rPr>
          <w:rFonts w:ascii="Calibri" w:hAnsi="Calibri"/>
          <w:color w:val="374151"/>
          <w:sz w:val="18"/>
        </w:rPr>
        <w:t>[7] Arbo-informatiebladen 67, 31, 18 en 77</w:t>
      </w:r>
    </w:p>
    <w:p>
      <w:pPr>
        <w:spacing w:after="40"/>
      </w:pPr>
      <w:r>
        <w:rPr>
          <w:rFonts w:ascii="Calibri" w:hAnsi="Calibri"/>
          <w:color w:val="374151"/>
          <w:sz w:val="18"/>
        </w:rPr>
        <w:t>[8] 003.056 Chromium VI Exposure Control Procedure — Rev A (02-03-2026) / Rev 1 (15-04-2026)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1247" w:right="1134" w:bottom="1134" w:left="113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Style w:val="TableGrid"/>
      <w:tblW w:type="auto" w:w="0"/>
      <w:tblLook w:firstColumn="1" w:firstRow="1" w:lastColumn="0" w:lastRow="0" w:noHBand="0" w:noVBand="1" w:val="04A0"/>
    </w:tblPr>
    <w:tblGrid>
      <w:gridCol w:w="9638"/>
    </w:tblGrid>
    <w:tr>
      <w:tc>
        <w:tcPr>
          <w:tcW w:type="dxa" w:w="9638"/>
          <w:shd w:val="clear" w:color="auto" w:fill="374151"/>
          <w:tcMar>
            <w:top w:w="60" w:type="dxa"/>
            <w:start w:w="140" w:type="dxa"/>
            <w:bottom w:w="60" w:type="dxa"/>
            <w:end w:w="140" w:type="dxa"/>
          </w:tcMar>
        </w:tcPr>
        <w:p>
          <w:pPr>
            <w:jc w:val="center"/>
          </w:pPr>
          <w:r/>
          <w:r>
            <w:rPr>
              <w:rFonts w:ascii="Calibri" w:hAnsi="Calibri"/>
              <w:color w:val="FFFFFF"/>
              <w:sz w:val="17"/>
            </w:rPr>
            <w:t xml:space="preserve">2026-audit-koole-chromium-vi  |  v3.0  |  2026-08-25  |  Pagina </w:t>
          </w:r>
          <w:r>
            <w:rPr>
              <w:rFonts w:ascii="Calibri" w:hAnsi="Calibri"/>
              <w:color w:val="FFFFFF"/>
              <w:sz w:val="17"/>
            </w:rPr>
            <w:fldChar w:fldCharType="begin"/>
            <w:instrText xml:space="preserve"> PAGE </w:instrText>
            <w:fldChar w:fldCharType="end"/>
          </w:r>
          <w:r>
            <w:rPr>
              <w:rFonts w:ascii="Calibri" w:hAnsi="Calibri"/>
              <w:color w:val="FFFFFF"/>
              <w:sz w:val="17"/>
            </w:rPr>
            <w:t xml:space="preserve">  |  JvG Consultancy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Style w:val="TableGrid"/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824"/>
          <w:shd w:val="clear" w:color="auto" w:fill="003366"/>
          <w:tcMar>
            <w:top w:w="80" w:type="dxa"/>
            <w:start w:w="140" w:type="dxa"/>
            <w:bottom w:w="80" w:type="dxa"/>
            <w:end w:w="140" w:type="dxa"/>
          </w:tcMar>
        </w:tcPr>
        <w:p>
          <w:r/>
          <w:r>
            <w:rPr>
              <w:rFonts w:ascii="Calibri" w:hAnsi="Calibri"/>
              <w:b/>
              <w:color w:val="FFFFFF"/>
              <w:sz w:val="20"/>
            </w:rPr>
            <w:t>Herzieningsvoorstel 003.056 Chromium VI — v3.0</w:t>
          </w:r>
          <w:r>
            <w:rPr>
              <w:rFonts w:ascii="Calibri" w:hAnsi="Calibri"/>
              <w:color w:val="D1D5DB"/>
              <w:sz w:val="16"/>
            </w:rPr>
            <w:br/>
            <w:t>JvG Consultancy — Safety • Governance • Advisory  |  HSEQ Divisie</w:t>
          </w:r>
        </w:p>
      </w:tc>
      <w:tc>
        <w:tcPr>
          <w:tcW w:type="dxa" w:w="1814"/>
          <w:shd w:val="clear" w:color="auto" w:fill="003366"/>
          <w:tcMar>
            <w:top w:w="80" w:type="dxa"/>
            <w:start w:w="140" w:type="dxa"/>
            <w:bottom w:w="80" w:type="dxa"/>
            <w:end w:w="140" w:type="dxa"/>
          </w:tcMar>
        </w:tcPr>
        <w:p>
          <w:pPr>
            <w:jc w:val="right"/>
          </w:pPr>
          <w:r/>
          <w:r>
            <w:drawing>
              <wp:inline xmlns:a="http://schemas.openxmlformats.org/drawingml/2006/main" xmlns:pic="http://schemas.openxmlformats.org/drawingml/2006/picture">
                <wp:extent cx="720000" cy="644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jvg-logo-white-medium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44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Herzieningsvoorstel 003.056 Chromium VI</dc:title>
  <dc:subject>Herzieningsvoorstel 003.056 Chromium VI — Wintershall / Koole</dc:subject>
  <dc:creator>JvG Consultancy — HSEQ Divisie</dc:creator>
  <cp:keywords>Chroom VI, CrVI, herzieningsvoorstel, Arbobesluit, REACH, NEN-EN 689</cp:keywords>
  <dc:description>v3.0 — gegenereerd via generate_herzieningsvoorstel_v3.py (JvG branding)</dc:description>
  <cp:lastModifiedBy>JvG Consultancy — HSEQ Divisie</cp:lastModifiedBy>
  <cp:revision>1</cp:revision>
  <dcterms:created xsi:type="dcterms:W3CDTF">2026-08-25T06:34:38Z</dcterms:created>
  <dcterms:modified xsi:type="dcterms:W3CDTF">2013-12-23T23:15:00Z</dcterms:modified>
  <cp:category/>
  <cp:version>3.0</cp:version>
</cp:coreProperties>
</file>