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Herzieningsvoorstel 003.056 Chromium VI</w:t>
      </w:r>
    </w:p>
    <w:p>
      <w:pPr>
        <w:pStyle w:val="Author"/>
      </w:pPr>
      <w:r>
        <w:t xml:space="preserve">JvG Consultancy</w:t>
      </w:r>
    </w:p>
    <w:p>
      <w:pPr>
        <w:pStyle w:val="Date"/>
      </w:pPr>
      <w:r>
        <w:t xml:space="preserve">2026-08-24</w:t>
      </w:r>
    </w:p>
    <w:bookmarkStart w:id="37" w:name="herzieningsvoorstel-003.056-chromium-vi"/>
    <w:p>
      <w:pPr>
        <w:pStyle w:val="Heading1"/>
      </w:pPr>
      <w:r>
        <w:t xml:space="preserve">Herzieningsvoorstel — 003.056 Chromium VI</w:t>
      </w:r>
    </w:p>
    <w:p>
      <w:pPr>
        <w:pStyle w:val="FirstParagraph"/>
      </w:pPr>
      <w:r>
        <w:rPr>
          <w:b/>
          <w:bCs/>
        </w:rPr>
        <w:t xml:space="preserve">Project:</w:t>
      </w:r>
      <w:r>
        <w:t xml:space="preserve"> </w:t>
      </w:r>
      <w:r>
        <w:t xml:space="preserve">2026-audit-koole-chromium-vi</w:t>
      </w:r>
      <w:r>
        <w:br/>
      </w:r>
      <w:r>
        <w:rPr>
          <w:b/>
          <w:bCs/>
        </w:rPr>
        <w:t xml:space="preserve">Client:</w:t>
      </w:r>
      <w:r>
        <w:t xml:space="preserve"> </w:t>
      </w:r>
      <w:r>
        <w:t xml:space="preserve">Wintershall</w:t>
      </w:r>
      <w:r>
        <w:br/>
      </w:r>
      <w:r>
        <w:rPr>
          <w:b/>
          <w:bCs/>
        </w:rPr>
        <w:t xml:space="preserve">Contractor:</w:t>
      </w:r>
      <w:r>
        <w:t xml:space="preserve"> </w:t>
      </w:r>
      <w:r>
        <w:t xml:space="preserve">Koole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2026-08-24</w:t>
      </w:r>
      <w:r>
        <w:br/>
      </w:r>
      <w:r>
        <w:rPr>
          <w:b/>
          <w:bCs/>
        </w:rPr>
        <w:t xml:space="preserve">Versie:</w:t>
      </w:r>
      <w:r>
        <w:t xml:space="preserve"> </w:t>
      </w:r>
      <w:r>
        <w:t xml:space="preserve">v1.0</w:t>
      </w:r>
    </w:p>
    <w:p>
      <w:r>
        <w:pict>
          <v:rect style="width:0;height:1.5pt" o:hralign="center" o:hrstd="t" o:hr="t"/>
        </w:pict>
      </w:r>
    </w:p>
    <w:bookmarkStart w:id="20" w:name="prioriteit-hiaten"/>
    <w:p>
      <w:pPr>
        <w:pStyle w:val="Heading2"/>
      </w:pPr>
      <w:r>
        <w:t xml:space="preserve">Prioriteit Hiaten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Prioriteit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Aantal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P1 — Kritiek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Spoedrevisie Rev. 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P2 — Verbetering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Rev. 3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Start w:id="26" w:name="spoedrevisie-p1-hiaten"/>
    <w:p>
      <w:pPr>
        <w:pStyle w:val="Heading2"/>
      </w:pPr>
      <w:r>
        <w:t xml:space="preserve">Spoedrevisie (P1-hiaten)</w:t>
      </w:r>
    </w:p>
    <w:bookmarkStart w:id="21" w:name="h1-meetstrategie-nen-en-689482"/>
    <w:p>
      <w:pPr>
        <w:pStyle w:val="Heading3"/>
      </w:pPr>
      <w:r>
        <w:t xml:space="preserve">H1 — Meetstrategie NEN-EN 689/482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P1 (Kritiek)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Toevoegen meetstrategie met:</w:t>
      </w:r>
      <w:r>
        <w:t xml:space="preserve"> </w:t>
      </w:r>
      <w:r>
        <w:t xml:space="preserve">- Baseline-/taakmetingen</w:t>
      </w:r>
      <w:r>
        <w:t xml:space="preserve"> </w:t>
      </w:r>
      <w:r>
        <w:t xml:space="preserve">- Meetfrequentie</w:t>
      </w:r>
      <w:r>
        <w:t xml:space="preserve"> </w:t>
      </w:r>
      <w:r>
        <w:t xml:space="preserve">- Bemonsteringsduur</w:t>
      </w:r>
      <w:r>
        <w:t xml:space="preserve"> </w:t>
      </w:r>
      <w:r>
        <w:t xml:space="preserve">- Toetskader NEN-EN 689</w:t>
      </w:r>
      <w:r>
        <w:t xml:space="preserve"> </w:t>
      </w:r>
      <w:r>
        <w:t xml:space="preserve">- Verantwoordelijke voor metingen</w:t>
      </w:r>
      <w:r>
        <w:t xml:space="preserve"> </w:t>
      </w:r>
      <w:r>
        <w:t xml:space="preserve">- Koppeling aan 1 µg/m³-grenswaarde</w:t>
      </w:r>
    </w:p>
    <w:bookmarkEnd w:id="21"/>
    <w:bookmarkStart w:id="22" w:name="X99ed67192edeae1e06c16576ee72162b704c93b"/>
    <w:p>
      <w:pPr>
        <w:pStyle w:val="Heading3"/>
      </w:pPr>
      <w:r>
        <w:t xml:space="preserve">H2 — Arbeidsgezondheidskundig Onderzoek (AGO)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P1 (Kritiek)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Toevoegen:</w:t>
      </w:r>
      <w:r>
        <w:t xml:space="preserve"> </w:t>
      </w:r>
      <w:r>
        <w:t xml:space="preserve">- (P)AGO vóór aanvang</w:t>
      </w:r>
      <w:r>
        <w:t xml:space="preserve"> </w:t>
      </w:r>
      <w:r>
        <w:t xml:space="preserve">- Bedrijfsarts rol</w:t>
      </w:r>
      <w:r>
        <w:t xml:space="preserve"> </w:t>
      </w:r>
      <w:r>
        <w:t xml:space="preserve">- Periodieke gezondheidssurveillance</w:t>
      </w:r>
    </w:p>
    <w:bookmarkEnd w:id="22"/>
    <w:bookmarkStart w:id="23" w:name="h3-40-jaar-bewaring"/>
    <w:p>
      <w:pPr>
        <w:pStyle w:val="Heading3"/>
      </w:pPr>
      <w:r>
        <w:t xml:space="preserve">H3 — 40-jaar Bewaring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P1 (Kritiek)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Toevoegen:</w:t>
      </w:r>
      <w:r>
        <w:t xml:space="preserve"> </w:t>
      </w:r>
      <w:r>
        <w:t xml:space="preserve">- Registratieplicht blootstellingsgegevens</w:t>
      </w:r>
      <w:r>
        <w:t xml:space="preserve"> </w:t>
      </w:r>
      <w:r>
        <w:t xml:space="preserve">- Bewaartermijn 40 jaar</w:t>
      </w:r>
      <w:r>
        <w:t xml:space="preserve"> </w:t>
      </w:r>
      <w:r>
        <w:t xml:space="preserve">- Overdrachtsregeling projectafschaling</w:t>
      </w:r>
    </w:p>
    <w:bookmarkEnd w:id="23"/>
    <w:bookmarkStart w:id="24" w:name="Xaa94683a3698c89ab690b012de9053562781af5"/>
    <w:p>
      <w:pPr>
        <w:pStyle w:val="Heading3"/>
      </w:pPr>
      <w:r>
        <w:t xml:space="preserve">H4 — RI&amp;E Tox-elementen + Vervangingsonderbouwing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P1 (Kritiek)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Toevoegen:</w:t>
      </w:r>
      <w:r>
        <w:t xml:space="preserve"> </w:t>
      </w:r>
      <w:r>
        <w:t xml:space="preserve">- RI&amp;E-registratie met aard/mate/duur</w:t>
      </w:r>
      <w:r>
        <w:t xml:space="preserve"> </w:t>
      </w:r>
      <w:r>
        <w:t xml:space="preserve">- Vervangings-/bronmaatregeloverweging</w:t>
      </w:r>
      <w:r>
        <w:t xml:space="preserve"> </w:t>
      </w:r>
      <w:r>
        <w:t xml:space="preserve">- Substitutieafweging (cold vs hot cutting)</w:t>
      </w:r>
    </w:p>
    <w:bookmarkEnd w:id="24"/>
    <w:bookmarkStart w:id="25" w:name="h5-lijst-blootgestelde-werknemers"/>
    <w:p>
      <w:pPr>
        <w:pStyle w:val="Heading3"/>
      </w:pPr>
      <w:r>
        <w:t xml:space="preserve">H5 — Lijst Blootgestelde Werknemers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P1 (Kritiek)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Toevoegen:</w:t>
      </w:r>
      <w:r>
        <w:t xml:space="preserve"> </w:t>
      </w:r>
      <w:r>
        <w:t xml:space="preserve">- Registratieplicht blootgesteld personeel</w:t>
      </w:r>
      <w:r>
        <w:t xml:space="preserve"> </w:t>
      </w:r>
      <w:r>
        <w:t xml:space="preserve">- Inzagerecht-regeling</w:t>
      </w:r>
      <w:r>
        <w:t xml:space="preserve"> </w:t>
      </w:r>
      <w:r>
        <w:t xml:space="preserve">- Afschriftrecht werknemers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4" w:name="verbeteringen-p2-hiaten"/>
    <w:p>
      <w:pPr>
        <w:pStyle w:val="Heading2"/>
      </w:pPr>
      <w:r>
        <w:t xml:space="preserve">Verbeteringen (P2-hiaten)</w:t>
      </w:r>
    </w:p>
    <w:bookmarkStart w:id="27" w:name="h6-abnormale-blootstelling-orpvt"/>
    <w:p>
      <w:pPr>
        <w:pStyle w:val="Heading3"/>
      </w:pPr>
      <w:r>
        <w:t xml:space="preserve">H6 — Abnormale Blootstelling + OR/PVT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P2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Formeel kanaal naar OR/PVT toevoegen</w:t>
      </w:r>
    </w:p>
    <w:bookmarkEnd w:id="27"/>
    <w:bookmarkStart w:id="28" w:name="h7-reach-bijlage-xiv"/>
    <w:p>
      <w:pPr>
        <w:pStyle w:val="Heading3"/>
      </w:pPr>
      <w:r>
        <w:t xml:space="preserve">H7 — REACH Bijlage XIV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P2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REACH-autorisatie check bij bijkomend gebruik</w:t>
      </w:r>
    </w:p>
    <w:bookmarkEnd w:id="28"/>
    <w:bookmarkStart w:id="29" w:name="h8-afvalstroom-klassering"/>
    <w:p>
      <w:pPr>
        <w:pStyle w:val="Heading3"/>
      </w:pPr>
      <w:r>
        <w:t xml:space="preserve">H8 — Afvalstroom Klassering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P2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Afvalstroomherkenning en classificatie toevoegen</w:t>
      </w:r>
    </w:p>
    <w:bookmarkEnd w:id="29"/>
    <w:bookmarkStart w:id="30" w:name="h9-ai-bladen-67-31-18-77"/>
    <w:p>
      <w:pPr>
        <w:pStyle w:val="Heading3"/>
      </w:pPr>
      <w:r>
        <w:t xml:space="preserve">H9 — AI-bladen 67, 31, 18, 77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P2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AI-bladen toevoegen aan referentielijst (§6)</w:t>
      </w:r>
    </w:p>
    <w:bookmarkEnd w:id="30"/>
    <w:bookmarkStart w:id="31" w:name="h10-beheersregime-chroom-6"/>
    <w:p>
      <w:pPr>
        <w:pStyle w:val="Heading3"/>
      </w:pPr>
      <w:r>
        <w:t xml:space="preserve">H10 — Beheersregime Chroom-6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P2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Operationele uitwerking toevoegen</w:t>
      </w:r>
    </w:p>
    <w:bookmarkEnd w:id="31"/>
    <w:bookmarkStart w:id="32" w:name="h11-5m-methode-substitutie"/>
    <w:p>
      <w:pPr>
        <w:pStyle w:val="Heading3"/>
      </w:pPr>
      <w:r>
        <w:t xml:space="preserve">H11 — 5M-methode + Substitutie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P2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Substitutie/bronmaatregelen documenteren</w:t>
      </w:r>
    </w:p>
    <w:bookmarkEnd w:id="32"/>
    <w:bookmarkStart w:id="33" w:name="h12-documentbeheer"/>
    <w:p>
      <w:pPr>
        <w:pStyle w:val="Heading3"/>
      </w:pPr>
      <w:r>
        <w:t xml:space="preserve">H12 — Documentbeheer</w:t>
      </w:r>
    </w:p>
    <w:p>
      <w:pPr>
        <w:pStyle w:val="FirstParagraph"/>
      </w:pPr>
      <w:r>
        <w:rPr>
          <w:b/>
          <w:bCs/>
        </w:rPr>
        <w:t xml:space="preserve">Prioriteit:</w:t>
      </w:r>
      <w:r>
        <w:t xml:space="preserve"> </w:t>
      </w:r>
      <w:r>
        <w:t xml:space="preserve">P2</w:t>
      </w:r>
      <w:r>
        <w:br/>
      </w:r>
      <w:r>
        <w:rPr>
          <w:b/>
          <w:bCs/>
        </w:rPr>
        <w:t xml:space="preserve">Actie:</w:t>
      </w:r>
      <w:r>
        <w:t xml:space="preserve"> </w:t>
      </w:r>
      <w:r>
        <w:t xml:space="preserve">Oplossen Rev A vs Rev 1 inconsistentie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implementation-plan"/>
    <w:p>
      <w:pPr>
        <w:pStyle w:val="Heading2"/>
      </w:pPr>
      <w:r>
        <w:t xml:space="preserve">Implementation Plan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Versie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Onderwerpen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Deadline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Rev. 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H1-H5 (P1-hiaten)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Rev. 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H6-H12 (P2-hiaten)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weken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5"/>
    <w:bookmarkStart w:id="36" w:name="checklists"/>
    <w:p>
      <w:pPr>
        <w:pStyle w:val="Heading2"/>
      </w:pPr>
      <w:r>
        <w:t xml:space="preserve">Checklists</w:t>
      </w:r>
    </w:p>
    <w:p>
      <w:pPr>
        <w:pStyle w:val="FirstParagraph"/>
      </w:pPr>
      <w:r>
        <w:t xml:space="preserve">Zie:</w:t>
      </w:r>
      <w:r>
        <w:t xml:space="preserve"> </w:t>
      </w:r>
      <w:r>
        <w:rPr>
          <w:rStyle w:val="VerbatimChar"/>
        </w:rPr>
        <w:t xml:space="preserve">deliverables/checklists/003.056_CrVI_Checklists_v1.0.docx</w:t>
      </w:r>
    </w:p>
    <w:p>
      <w:pPr>
        <w:pStyle w:val="BodyText"/>
      </w:pPr>
      <w:r>
        <w:rPr>
          <w:b/>
          <w:bCs/>
        </w:rPr>
        <w:t xml:space="preserve">Status:</w:t>
      </w:r>
      <w:r>
        <w:t xml:space="preserve"> </w:t>
      </w:r>
      <w:r>
        <w:t xml:space="preserve">✅</w:t>
      </w:r>
      <w:r>
        <w:t xml:space="preserve"> </w:t>
      </w:r>
      <w:r>
        <w:rPr>
          <w:b/>
          <w:bCs/>
        </w:rPr>
        <w:t xml:space="preserve">GO voor spoedrevisie Rev. 2</w:t>
      </w:r>
    </w:p>
    <w:p>
      <w:pPr>
        <w:pStyle w:val="BodyText"/>
      </w:pPr>
      <w:r>
        <w:rPr>
          <w:i/>
          <w:iCs/>
        </w:rPr>
        <w:t xml:space="preserve">Antwoord via: zai/glm-4.7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Herzieningsvoorstel 003.056 Chromium VI</dc:title>
  <dc:creator>JvG Consultancy</dc:creator>
  <cp:keywords/>
  <dcterms:created xsi:type="dcterms:W3CDTF">2026-08-24T21:16:27Z</dcterms:created>
  <dcterms:modified xsi:type="dcterms:W3CDTF">2026-08-24T21:16:27Z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2026-08-24</vt:lpwstr>
  </property>
</Properties>
</file>