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after="40"/>
        <w:jc w:val="center"/>
      </w:pPr>
      <w:r>
        <w:rPr>
          <w:rFonts w:ascii="Calibri" w:hAnsi="Calibri"/>
          <w:b/>
          <w:i w:val="0"/>
          <w:color w:val="003366"/>
          <w:sz w:val="28"/>
        </w:rPr>
        <w:t>JvG CONSULTANCY — HSEQ</w:t>
      </w:r>
    </w:p>
    <w:p>
      <w:pPr>
        <w:spacing w:after="40"/>
        <w:jc w:val="center"/>
      </w:pPr>
      <w:r>
        <w:rPr>
          <w:rFonts w:ascii="Calibri" w:hAnsi="Calibri"/>
          <w:b/>
          <w:i w:val="0"/>
          <w:color w:val="003366"/>
          <w:sz w:val="48"/>
        </w:rPr>
        <w:t>GOLDEN STANDARD AUDIT</w:t>
      </w:r>
    </w:p>
    <w:p>
      <w:pPr>
        <w:spacing w:after="40"/>
        <w:jc w:val="center"/>
      </w:pPr>
      <w:r>
        <w:rPr>
          <w:rFonts w:ascii="Calibri" w:hAnsi="Calibri"/>
          <w:b/>
          <w:i w:val="0"/>
          <w:color w:val="003366"/>
          <w:sz w:val="32"/>
        </w:rPr>
        <w:t>ChroomVI — Koole 003.056</w:t>
      </w:r>
    </w:p>
    <w:p>
      <w:pPr>
        <w:spacing w:after="320"/>
        <w:jc w:val="center"/>
      </w:pPr>
      <w:r>
        <w:rPr>
          <w:rFonts w:ascii="Calibri" w:hAnsi="Calibri"/>
          <w:b w:val="0"/>
          <w:i w:val="0"/>
          <w:sz w:val="24"/>
        </w:rPr>
        <w:t>Diepgaande toetsing per wetsartikel — Wintershall Decommissioning</w:t>
      </w:r>
    </w:p>
    <w:p>
      <w:pPr>
        <w:spacing w:after="80"/>
        <w:jc w:val="center"/>
      </w:pPr>
      <w:r>
        <w:rPr>
          <w:rFonts w:ascii="Calibri" w:hAnsi="Calibri"/>
          <w:b w:val="0"/>
          <w:i w:val="0"/>
          <w:sz w:val="20"/>
        </w:rPr>
        <w:t>Brondocument: 003.056 "Chromium VI Exposure Control Procedure" Rev A/Rev 1 (2026)</w:t>
      </w:r>
    </w:p>
    <w:p>
      <w:pPr>
        <w:spacing w:after="80"/>
        <w:jc w:val="center"/>
      </w:pPr>
      <w:r>
        <w:rPr>
          <w:rFonts w:ascii="Calibri" w:hAnsi="Calibri"/>
          <w:b w:val="0"/>
          <w:i w:val="0"/>
          <w:sz w:val="20"/>
        </w:rPr>
        <w:t>Format: Golden Standard Audit Asbest 003.059 v2.0</w:t>
      </w:r>
    </w:p>
    <w:p>
      <w:pPr>
        <w:spacing w:after="400"/>
        <w:jc w:val="center"/>
      </w:pPr>
      <w:r>
        <w:rPr>
          <w:rFonts w:ascii="Calibri" w:hAnsi="Calibri"/>
          <w:b w:val="0"/>
          <w:i/>
          <w:sz w:val="20"/>
        </w:rPr>
        <w:t>Status: Definitief — Vertrouwelijk</w:t>
      </w:r>
    </w:p>
    <w:p>
      <w:pPr>
        <w:pStyle w:val="Heading1"/>
      </w:pPr>
      <w:r>
        <w:t>1. Managementsamenvatting</w:t>
      </w:r>
    </w:p>
    <w:p>
      <w:pPr>
        <w:spacing w:after="120"/>
      </w:pPr>
      <w:r>
        <w:rPr>
          <w:rFonts w:ascii="Calibri" w:hAnsi="Calibri"/>
          <w:b w:val="0"/>
          <w:i w:val="0"/>
          <w:sz w:val="22"/>
        </w:rPr>
        <w:t>Deze Golden Standard Audit toetst de Koole-procedure 003.056 “Chromium VI Exposure Control Procedure” (Rev A 02-03-2026 / Rev 1 15-04-2026) integraal aan het Nederlandse wettelijke kader voor kankerverwekkende stoffen, conform het format van de Golden Standard Audit Asbest 003.059. De audit combineert een sectie-voor-sectie documenttoetsing met een artikelsgewijze juridische verdieping (B1-B14) en verificatie van alle kernfeiten.</w:t>
      </w:r>
    </w:p>
    <w:p>
      <w:pPr>
        <w:spacing w:after="120"/>
      </w:pPr>
      <w:r>
        <w:rPr>
          <w:rFonts w:ascii="Calibri" w:hAnsi="Calibri"/>
          <w:b w:val="0"/>
          <w:i w:val="0"/>
          <w:sz w:val="22"/>
        </w:rPr>
        <w:t>Eindoordeel: het brondocument is een degelijke, praktisch uitvoerbare operationele procedure (gevareninformatie, marking, hiërarchie van beheersmaatregelen, hygiëne/decontaminatie, PBM-regime) en noemt de Nederlandse grenswaarde (1 µg/m³) en het streefrisiconiveau (0,01 µg/m³) correct. De formele arbo-juridische verslagleggings- en zorgstructuur ontbreekt echter vrijwel volledig: 5 P1-hiaten (meetstrategie, AGO, 40-jaar bewaring, RI&amp;E-registratie met vervangingsonderbouwing, blootstellingsregister) die niet via TRA/JSA-verwijzingen kunnen worden afgedekt. Herziening (H1-H5) is vereist vóór projectuitvoering.</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Kengetal</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Beoordeelde items</w:t>
            </w:r>
          </w:p>
        </w:tc>
        <w:tc>
          <w:tcPr>
            <w:tcW w:type="dxa" w:w="4759"/>
          </w:tcPr>
          <w:p>
            <w:r/>
            <w:r>
              <w:rPr>
                <w:rFonts w:ascii="Calibri" w:hAnsi="Calibri"/>
                <w:b w:val="0"/>
                <w:color w:val="1F2937"/>
                <w:sz w:val="19"/>
              </w:rPr>
              <w:t>18 (B1-B18, waarvan B13 separaat genummerd)</w:t>
            </w:r>
          </w:p>
        </w:tc>
      </w:tr>
      <w:tr>
        <w:tc>
          <w:tcPr>
            <w:tcW w:type="dxa" w:w="4759"/>
          </w:tcPr>
          <w:p>
            <w:r/>
            <w:r>
              <w:rPr>
                <w:rFonts w:ascii="Calibri" w:hAnsi="Calibri"/>
                <w:b w:val="0"/>
                <w:color w:val="1F2937"/>
                <w:sz w:val="19"/>
              </w:rPr>
              <w:t>P1 — wettelijk verplicht, ontbreekt</w:t>
            </w:r>
          </w:p>
        </w:tc>
        <w:tc>
          <w:tcPr>
            <w:tcW w:type="dxa" w:w="4759"/>
          </w:tcPr>
          <w:p>
            <w:r/>
            <w:r>
              <w:rPr>
                <w:rFonts w:ascii="Calibri" w:hAnsi="Calibri"/>
                <w:b w:val="0"/>
                <w:color w:val="1F2937"/>
                <w:sz w:val="19"/>
              </w:rPr>
              <w:t>5 (+B13 normverwijzing)</w:t>
            </w:r>
          </w:p>
        </w:tc>
      </w:tr>
      <w:tr>
        <w:tc>
          <w:tcPr>
            <w:tcW w:type="dxa" w:w="4759"/>
          </w:tcPr>
          <w:p>
            <w:r/>
            <w:r>
              <w:rPr>
                <w:rFonts w:ascii="Calibri" w:hAnsi="Calibri"/>
                <w:b w:val="0"/>
                <w:color w:val="1F2937"/>
                <w:sz w:val="19"/>
              </w:rPr>
              <w:t>P2 — verplicht/verwacht, onvolledig</w:t>
            </w:r>
          </w:p>
        </w:tc>
        <w:tc>
          <w:tcPr>
            <w:tcW w:type="dxa" w:w="4759"/>
          </w:tcPr>
          <w:p>
            <w:r/>
            <w:r>
              <w:rPr>
                <w:rFonts w:ascii="Calibri" w:hAnsi="Calibri"/>
                <w:b w:val="0"/>
                <w:color w:val="1F2937"/>
                <w:sz w:val="19"/>
              </w:rPr>
              <w:t>7</w:t>
            </w:r>
          </w:p>
        </w:tc>
      </w:tr>
      <w:tr>
        <w:tc>
          <w:tcPr>
            <w:tcW w:type="dxa" w:w="4759"/>
          </w:tcPr>
          <w:p>
            <w:r/>
            <w:r>
              <w:rPr>
                <w:rFonts w:ascii="Calibri" w:hAnsi="Calibri"/>
                <w:b w:val="0"/>
                <w:color w:val="1F2937"/>
                <w:sz w:val="19"/>
              </w:rPr>
              <w:t>Conform</w:t>
            </w:r>
          </w:p>
        </w:tc>
        <w:tc>
          <w:tcPr>
            <w:tcW w:type="dxa" w:w="4759"/>
          </w:tcPr>
          <w:p>
            <w:r/>
            <w:r>
              <w:rPr>
                <w:rFonts w:ascii="Calibri" w:hAnsi="Calibri"/>
                <w:b w:val="0"/>
                <w:color w:val="1F2937"/>
                <w:sz w:val="19"/>
              </w:rPr>
              <w:t>6</w:t>
            </w:r>
          </w:p>
        </w:tc>
      </w:tr>
      <w:tr>
        <w:tc>
          <w:tcPr>
            <w:tcW w:type="dxa" w:w="4759"/>
          </w:tcPr>
          <w:p>
            <w:r/>
            <w:r>
              <w:rPr>
                <w:rFonts w:ascii="Calibri" w:hAnsi="Calibri"/>
                <w:b w:val="0"/>
                <w:color w:val="1F2937"/>
                <w:sz w:val="19"/>
              </w:rPr>
              <w:t>Herzieningsvoorstellen</w:t>
            </w:r>
          </w:p>
        </w:tc>
        <w:tc>
          <w:tcPr>
            <w:tcW w:type="dxa" w:w="4759"/>
          </w:tcPr>
          <w:p>
            <w:r/>
            <w:r>
              <w:rPr>
                <w:rFonts w:ascii="Calibri" w:hAnsi="Calibri"/>
                <w:b w:val="0"/>
                <w:color w:val="1F2937"/>
                <w:sz w:val="19"/>
              </w:rPr>
              <w:t>12 (H1-H12)</w:t>
            </w:r>
          </w:p>
        </w:tc>
      </w:tr>
      <w:tr>
        <w:tc>
          <w:tcPr>
            <w:tcW w:type="dxa" w:w="4759"/>
          </w:tcPr>
          <w:p>
            <w:r/>
            <w:r>
              <w:rPr>
                <w:rFonts w:ascii="Calibri" w:hAnsi="Calibri"/>
                <w:b w:val="0"/>
                <w:color w:val="1F2937"/>
                <w:sz w:val="19"/>
              </w:rPr>
              <w:t>Verificatiepunten</w:t>
            </w:r>
          </w:p>
        </w:tc>
        <w:tc>
          <w:tcPr>
            <w:tcW w:type="dxa" w:w="4759"/>
          </w:tcPr>
          <w:p>
            <w:r/>
            <w:r>
              <w:rPr>
                <w:rFonts w:ascii="Calibri" w:hAnsi="Calibri"/>
                <w:b w:val="0"/>
                <w:color w:val="1F2937"/>
                <w:sz w:val="19"/>
              </w:rPr>
              <w:t>3</w:t>
            </w:r>
          </w:p>
        </w:tc>
      </w:tr>
      <w:tr>
        <w:tc>
          <w:tcPr>
            <w:tcW w:type="dxa" w:w="4759"/>
          </w:tcPr>
          <w:p>
            <w:r/>
            <w:r>
              <w:rPr>
                <w:rFonts w:ascii="Calibri" w:hAnsi="Calibri"/>
                <w:b w:val="0"/>
                <w:color w:val="1F2937"/>
                <w:sz w:val="19"/>
              </w:rPr>
              <w:t>Definitief oordeel</w:t>
            </w:r>
          </w:p>
        </w:tc>
        <w:tc>
          <w:tcPr>
            <w:tcW w:type="dxa" w:w="4759"/>
          </w:tcPr>
          <w:p>
            <w:r/>
            <w:r>
              <w:rPr>
                <w:rFonts w:ascii="Calibri" w:hAnsi="Calibri"/>
                <w:b w:val="0"/>
                <w:color w:val="1F2937"/>
                <w:sz w:val="19"/>
              </w:rPr>
              <w:t>ONVOLDOENDE als KMR-document — herziening H1-H5 vereist vóór uitvoering</w:t>
            </w:r>
          </w:p>
        </w:tc>
      </w:tr>
    </w:tbl>
    <w:p>
      <w:pPr>
        <w:spacing w:after="40"/>
      </w:pPr>
    </w:p>
    <w:p>
      <w:pPr>
        <w:pStyle w:val="Heading1"/>
      </w:pPr>
      <w:r>
        <w:t>2. Auditopdracht en Scope</w:t>
      </w:r>
    </w:p>
    <w:p>
      <w:pPr>
        <w:pStyle w:val="Heading2"/>
      </w:pPr>
      <w:r>
        <w:t>2.1 Brondocument</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Titel</w:t>
            </w:r>
          </w:p>
        </w:tc>
        <w:tc>
          <w:tcPr>
            <w:tcW w:type="dxa" w:w="4759"/>
          </w:tcPr>
          <w:p>
            <w:r/>
            <w:r>
              <w:rPr>
                <w:rFonts w:ascii="Calibri" w:hAnsi="Calibri"/>
                <w:b w:val="0"/>
                <w:color w:val="1F2937"/>
                <w:sz w:val="19"/>
              </w:rPr>
              <w:t>003.056 Chromium VI Exposure Control Procedure</w:t>
            </w:r>
          </w:p>
        </w:tc>
      </w:tr>
      <w:tr>
        <w:tc>
          <w:tcPr>
            <w:tcW w:type="dxa" w:w="4759"/>
          </w:tcPr>
          <w:p>
            <w:r/>
            <w:r>
              <w:rPr>
                <w:rFonts w:ascii="Calibri" w:hAnsi="Calibri"/>
                <w:b w:val="0"/>
                <w:color w:val="1F2937"/>
                <w:sz w:val="19"/>
              </w:rPr>
              <w:t>Revisie</w:t>
            </w:r>
          </w:p>
        </w:tc>
        <w:tc>
          <w:tcPr>
            <w:tcW w:type="dxa" w:w="4759"/>
          </w:tcPr>
          <w:p>
            <w:r/>
            <w:r>
              <w:rPr>
                <w:rFonts w:ascii="Calibri" w:hAnsi="Calibri"/>
                <w:b w:val="0"/>
                <w:color w:val="1F2937"/>
                <w:sz w:val="19"/>
              </w:rPr>
              <w:t>Rev A (02-03-2026, Issued for Comments) en Rev 1 (15-04-2026, Issued for Implementation) — beide op cover; versie-inconsistentie vastgesteld</w:t>
            </w:r>
          </w:p>
        </w:tc>
      </w:tr>
      <w:tr>
        <w:tc>
          <w:tcPr>
            <w:tcW w:type="dxa" w:w="4759"/>
          </w:tcPr>
          <w:p>
            <w:r/>
            <w:r>
              <w:rPr>
                <w:rFonts w:ascii="Calibri" w:hAnsi="Calibri"/>
                <w:b w:val="0"/>
                <w:color w:val="1F2937"/>
                <w:sz w:val="19"/>
              </w:rPr>
              <w:t>Revision log</w:t>
            </w:r>
          </w:p>
        </w:tc>
        <w:tc>
          <w:tcPr>
            <w:tcW w:type="dxa" w:w="4759"/>
          </w:tcPr>
          <w:p>
            <w:r/>
            <w:r>
              <w:rPr>
                <w:rFonts w:ascii="Calibri" w:hAnsi="Calibri"/>
                <w:b w:val="0"/>
                <w:color w:val="1F2937"/>
                <w:sz w:val="19"/>
              </w:rPr>
              <w:t>Alleen Rev 1-regel met lege velden Section en Description of Change</w:t>
            </w:r>
          </w:p>
        </w:tc>
      </w:tr>
      <w:tr>
        <w:tc>
          <w:tcPr>
            <w:tcW w:type="dxa" w:w="4759"/>
          </w:tcPr>
          <w:p>
            <w:r/>
            <w:r>
              <w:rPr>
                <w:rFonts w:ascii="Calibri" w:hAnsi="Calibri"/>
                <w:b w:val="0"/>
                <w:color w:val="1F2937"/>
                <w:sz w:val="19"/>
              </w:rPr>
              <w:t>Voettekst</w:t>
            </w:r>
          </w:p>
        </w:tc>
        <w:tc>
          <w:tcPr>
            <w:tcW w:type="dxa" w:w="4759"/>
          </w:tcPr>
          <w:p>
            <w:r/>
            <w:r>
              <w:rPr>
                <w:rFonts w:ascii="Calibri" w:hAnsi="Calibri"/>
                <w:b w:val="0"/>
                <w:color w:val="1F2937"/>
                <w:sz w:val="19"/>
              </w:rPr>
              <w:t>‘Rev. 1 — May 2026’ op p. 2-12 (vs. issue-datum 15-04-2026)</w:t>
            </w:r>
          </w:p>
        </w:tc>
      </w:tr>
      <w:tr>
        <w:tc>
          <w:tcPr>
            <w:tcW w:type="dxa" w:w="4759"/>
          </w:tcPr>
          <w:p>
            <w:r/>
            <w:r>
              <w:rPr>
                <w:rFonts w:ascii="Calibri" w:hAnsi="Calibri"/>
                <w:b w:val="0"/>
                <w:color w:val="1F2937"/>
                <w:sz w:val="19"/>
              </w:rPr>
              <w:t>Omvang</w:t>
            </w:r>
          </w:p>
        </w:tc>
        <w:tc>
          <w:tcPr>
            <w:tcW w:type="dxa" w:w="4759"/>
          </w:tcPr>
          <w:p>
            <w:r/>
            <w:r>
              <w:rPr>
                <w:rFonts w:ascii="Calibri" w:hAnsi="Calibri"/>
                <w:b w:val="0"/>
                <w:color w:val="1F2937"/>
                <w:sz w:val="19"/>
              </w:rPr>
              <w:t>12 pagina’s, §1 Purpose t/m §6 References</w:t>
            </w:r>
          </w:p>
        </w:tc>
      </w:tr>
      <w:tr>
        <w:tc>
          <w:tcPr>
            <w:tcW w:type="dxa" w:w="4759"/>
          </w:tcPr>
          <w:p>
            <w:r/>
            <w:r>
              <w:rPr>
                <w:rFonts w:ascii="Calibri" w:hAnsi="Calibri"/>
                <w:b w:val="0"/>
                <w:color w:val="1F2937"/>
                <w:sz w:val="19"/>
              </w:rPr>
              <w:t>Bijzonderheden</w:t>
            </w:r>
          </w:p>
        </w:tc>
        <w:tc>
          <w:tcPr>
            <w:tcW w:type="dxa" w:w="4759"/>
          </w:tcPr>
          <w:p>
            <w:r/>
            <w:r>
              <w:rPr>
                <w:rFonts w:ascii="Calibri" w:hAnsi="Calibri"/>
                <w:b w:val="0"/>
                <w:color w:val="1F2937"/>
                <w:sz w:val="19"/>
              </w:rPr>
              <w:t>Belgische elementen (OEL 0,005 mg/m³); interne referentie ‘Hoondert Study’ zonder datum/versie</w:t>
            </w:r>
          </w:p>
        </w:tc>
      </w:tr>
    </w:tbl>
    <w:p>
      <w:pPr>
        <w:spacing w:after="40"/>
      </w:pPr>
    </w:p>
    <w:p>
      <w:pPr>
        <w:pStyle w:val="Heading2"/>
      </w:pPr>
      <w:r>
        <w:t>2.2 Referentiekader</w:t>
      </w:r>
    </w:p>
    <w:p>
      <w:pPr>
        <w:pStyle w:val="ListBullet"/>
        <w:spacing w:after="60"/>
      </w:pPr>
      <w:r>
        <w:t>Arbowet (art. 3, 5, 8); Arbobesluit H4 Afdeling 3 — kankerverwekkende en mutagene stoffen (art. 4.2, 4.2a, 4.10a, 4.10c, 4.13, 4.15, 4.21-structuur).</w:t>
      </w:r>
    </w:p>
    <w:p>
      <w:pPr>
        <w:pStyle w:val="ListBullet"/>
        <w:spacing w:after="60"/>
      </w:pPr>
      <w:r>
        <w:t>SER-grenswaardenlijst: Cr(VI) 1 µg/m³ (8-uurs TGG); streefrisico 0,01 µg/m³.</w:t>
      </w:r>
    </w:p>
    <w:p>
      <w:pPr>
        <w:pStyle w:val="ListBullet"/>
        <w:spacing w:after="60"/>
      </w:pPr>
      <w:r>
        <w:t>REACH Bijlage XIV; CLP; Richtlijn (EU) 2017/2398.</w:t>
      </w:r>
    </w:p>
    <w:p>
      <w:pPr>
        <w:pStyle w:val="ListBullet"/>
        <w:spacing w:after="60"/>
      </w:pPr>
      <w:r>
        <w:t>Bal; Wet milieubeheer/LAP; Beheersregime Chroom-6; AI-bladen 67/31/18/77; NEN-EN 689/482.</w:t>
      </w:r>
    </w:p>
    <w:p>
      <w:pPr>
        <w:pStyle w:val="Heading2"/>
      </w:pPr>
      <w:r>
        <w:t>2.3 Scope en context</w:t>
      </w:r>
    </w:p>
    <w:p>
      <w:pPr>
        <w:spacing w:after="120"/>
      </w:pPr>
      <w:r>
        <w:rPr>
          <w:rFonts w:ascii="Calibri" w:hAnsi="Calibri"/>
          <w:b w:val="0"/>
          <w:i w:val="0"/>
          <w:sz w:val="22"/>
        </w:rPr>
        <w:t>Auditobject is uitsluitend het brondocument (document-based). Context: Wintershall-decommissioning, small piece removal, offshore platform Nederlandse Noordzee; uitvoerder Koole. Belangrijkste blootstellingscenario’s: thermisch snijden/lassen van coatings en roestvast staal, mechanische bewerking van CCA-hout, reiniging.</w:t>
      </w:r>
    </w:p>
    <w:p>
      <w:pPr>
        <w:pStyle w:val="Heading2"/>
      </w:pPr>
      <w:r>
        <w:t>2.4 Beperkingen</w:t>
      </w:r>
    </w:p>
    <w:p>
      <w:pPr>
        <w:pStyle w:val="ListBullet"/>
        <w:spacing w:after="60"/>
      </w:pPr>
      <w:r>
        <w:t>Geen veldverificatie van metingen, registraties, trainingsdossiers en locatiecondities.</w:t>
      </w:r>
    </w:p>
    <w:p>
      <w:pPr>
        <w:pStyle w:val="ListBullet"/>
        <w:spacing w:after="60"/>
      </w:pPr>
      <w:r>
        <w:t>REACH-autorisatieverplichting is voor puur verwijderingswerk beperkt relevant; toets daarom genuanceerd (B8).</w:t>
      </w:r>
    </w:p>
    <w:p>
      <w:pPr>
        <w:pStyle w:val="ListBullet"/>
        <w:spacing w:after="60"/>
      </w:pPr>
      <w:r>
        <w:t>Artikelnummering 4.21 volgt het opdrachtframework; in sommige besluitversies lopen nummers door (toelichting in auditregister).</w:t>
      </w:r>
    </w:p>
    <w:p>
      <w:pPr>
        <w:pStyle w:val="Heading1"/>
      </w:pPr>
      <w:r>
        <w:t>3. Wettelijk Kader en Referentiekader</w:t>
      </w:r>
    </w:p>
    <w:p>
      <w:pPr>
        <w:pStyle w:val="Heading2"/>
      </w:pPr>
      <w:r>
        <w:t>3.1 Primaire wetgeving</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Instrument</w:t>
            </w:r>
          </w:p>
        </w:tc>
        <w:tc>
          <w:tcPr>
            <w:tcW w:type="dxa" w:w="3173"/>
            <w:shd w:val="clear" w:color="auto" w:fill="003366"/>
          </w:tcPr>
          <w:p>
            <w:r/>
            <w:r>
              <w:rPr>
                <w:rFonts w:ascii="Calibri" w:hAnsi="Calibri"/>
                <w:b/>
                <w:color w:val="FFFFFF"/>
                <w:sz w:val="19"/>
              </w:rPr>
              <w:t>Artikelen</w:t>
            </w:r>
          </w:p>
        </w:tc>
        <w:tc>
          <w:tcPr>
            <w:tcW w:type="dxa" w:w="3173"/>
            <w:shd w:val="clear" w:color="auto" w:fill="003366"/>
          </w:tcPr>
          <w:p>
            <w:r/>
            <w:r>
              <w:rPr>
                <w:rFonts w:ascii="Calibri" w:hAnsi="Calibri"/>
                <w:b/>
                <w:color w:val="FFFFFF"/>
                <w:sz w:val="19"/>
              </w:rPr>
              <w:t>Kernverplichting</w:t>
            </w:r>
          </w:p>
        </w:tc>
      </w:tr>
      <w:tr>
        <w:tc>
          <w:tcPr>
            <w:tcW w:type="dxa" w:w="3173"/>
          </w:tcPr>
          <w:p>
            <w:r/>
            <w:r>
              <w:rPr>
                <w:rFonts w:ascii="Calibri" w:hAnsi="Calibri"/>
                <w:b w:val="0"/>
                <w:color w:val="1F2937"/>
                <w:sz w:val="19"/>
              </w:rPr>
              <w:t>Arbowet</w:t>
            </w:r>
          </w:p>
        </w:tc>
        <w:tc>
          <w:tcPr>
            <w:tcW w:type="dxa" w:w="3173"/>
          </w:tcPr>
          <w:p>
            <w:r/>
            <w:r>
              <w:rPr>
                <w:rFonts w:ascii="Calibri" w:hAnsi="Calibri"/>
                <w:b w:val="0"/>
                <w:color w:val="1F2937"/>
                <w:sz w:val="19"/>
              </w:rPr>
              <w:t>3, 5, 8</w:t>
            </w:r>
          </w:p>
        </w:tc>
        <w:tc>
          <w:tcPr>
            <w:tcW w:type="dxa" w:w="3173"/>
          </w:tcPr>
          <w:p>
            <w:r/>
            <w:r>
              <w:rPr>
                <w:rFonts w:ascii="Calibri" w:hAnsi="Calibri"/>
                <w:b w:val="0"/>
                <w:color w:val="1F2937"/>
                <w:sz w:val="19"/>
              </w:rPr>
              <w:t>Zorgplicht, RI&amp;E, instructie</w:t>
            </w:r>
          </w:p>
        </w:tc>
      </w:tr>
      <w:tr>
        <w:tc>
          <w:tcPr>
            <w:tcW w:type="dxa" w:w="3173"/>
          </w:tcPr>
          <w:p>
            <w:r/>
            <w:r>
              <w:rPr>
                <w:rFonts w:ascii="Calibri" w:hAnsi="Calibri"/>
                <w:b w:val="0"/>
                <w:color w:val="1F2937"/>
                <w:sz w:val="19"/>
              </w:rPr>
              <w:t>Arbobesluit H4 Afd. 3</w:t>
            </w:r>
          </w:p>
        </w:tc>
        <w:tc>
          <w:tcPr>
            <w:tcW w:type="dxa" w:w="3173"/>
          </w:tcPr>
          <w:p>
            <w:r/>
            <w:r>
              <w:rPr>
                <w:rFonts w:ascii="Calibri" w:hAnsi="Calibri"/>
                <w:b w:val="0"/>
                <w:color w:val="1F2937"/>
                <w:sz w:val="19"/>
              </w:rPr>
              <w:t>4.2 lid 1+4</w:t>
            </w:r>
          </w:p>
        </w:tc>
        <w:tc>
          <w:tcPr>
            <w:tcW w:type="dxa" w:w="3173"/>
          </w:tcPr>
          <w:p>
            <w:r/>
            <w:r>
              <w:rPr>
                <w:rFonts w:ascii="Calibri" w:hAnsi="Calibri"/>
                <w:b w:val="0"/>
                <w:color w:val="1F2937"/>
                <w:sz w:val="19"/>
              </w:rPr>
              <w:t>Blootstellingsbeoordeling + meetstrategie NEN-EN 689/482</w:t>
            </w:r>
          </w:p>
        </w:tc>
      </w:tr>
      <w:tr>
        <w:tc>
          <w:tcPr>
            <w:tcW w:type="dxa" w:w="3173"/>
          </w:tcPr>
          <w:p>
            <w:r/>
            <w:r>
              <w:rPr>
                <w:rFonts w:ascii="Calibri" w:hAnsi="Calibri"/>
                <w:b w:val="0"/>
                <w:color w:val="1F2937"/>
                <w:sz w:val="19"/>
              </w:rPr>
              <w:t>Arbobesluit H4 Afd. 3</w:t>
            </w:r>
          </w:p>
        </w:tc>
        <w:tc>
          <w:tcPr>
            <w:tcW w:type="dxa" w:w="3173"/>
          </w:tcPr>
          <w:p>
            <w:r/>
            <w:r>
              <w:rPr>
                <w:rFonts w:ascii="Calibri" w:hAnsi="Calibri"/>
                <w:b w:val="0"/>
                <w:color w:val="1F2937"/>
                <w:sz w:val="19"/>
              </w:rPr>
              <w:t>4.2a</w:t>
            </w:r>
          </w:p>
        </w:tc>
        <w:tc>
          <w:tcPr>
            <w:tcW w:type="dxa" w:w="3173"/>
          </w:tcPr>
          <w:p>
            <w:r/>
            <w:r>
              <w:rPr>
                <w:rFonts w:ascii="Calibri" w:hAnsi="Calibri"/>
                <w:b w:val="0"/>
                <w:color w:val="1F2937"/>
                <w:sz w:val="19"/>
              </w:rPr>
              <w:t>Vervanging kankerverwekkende stoffen</w:t>
            </w:r>
          </w:p>
        </w:tc>
      </w:tr>
      <w:tr>
        <w:tc>
          <w:tcPr>
            <w:tcW w:type="dxa" w:w="3173"/>
          </w:tcPr>
          <w:p>
            <w:r/>
            <w:r>
              <w:rPr>
                <w:rFonts w:ascii="Calibri" w:hAnsi="Calibri"/>
                <w:b w:val="0"/>
                <w:color w:val="1F2937"/>
                <w:sz w:val="19"/>
              </w:rPr>
              <w:t>Arbobesluit H4 Afd. 3</w:t>
            </w:r>
          </w:p>
        </w:tc>
        <w:tc>
          <w:tcPr>
            <w:tcW w:type="dxa" w:w="3173"/>
          </w:tcPr>
          <w:p>
            <w:r/>
            <w:r>
              <w:rPr>
                <w:rFonts w:ascii="Calibri" w:hAnsi="Calibri"/>
                <w:b w:val="0"/>
                <w:color w:val="1F2937"/>
                <w:sz w:val="19"/>
              </w:rPr>
              <w:t>4.10a</w:t>
            </w:r>
          </w:p>
        </w:tc>
        <w:tc>
          <w:tcPr>
            <w:tcW w:type="dxa" w:w="3173"/>
          </w:tcPr>
          <w:p>
            <w:r/>
            <w:r>
              <w:rPr>
                <w:rFonts w:ascii="Calibri" w:hAnsi="Calibri"/>
                <w:b w:val="0"/>
                <w:color w:val="1F2937"/>
                <w:sz w:val="19"/>
              </w:rPr>
              <w:t>AGO vóór aanvang + periodiek</w:t>
            </w:r>
          </w:p>
        </w:tc>
      </w:tr>
      <w:tr>
        <w:tc>
          <w:tcPr>
            <w:tcW w:type="dxa" w:w="3173"/>
          </w:tcPr>
          <w:p>
            <w:r/>
            <w:r>
              <w:rPr>
                <w:rFonts w:ascii="Calibri" w:hAnsi="Calibri"/>
                <w:b w:val="0"/>
                <w:color w:val="1F2937"/>
                <w:sz w:val="19"/>
              </w:rPr>
              <w:t>Arbobesluit H4 Afd. 3</w:t>
            </w:r>
          </w:p>
        </w:tc>
        <w:tc>
          <w:tcPr>
            <w:tcW w:type="dxa" w:w="3173"/>
          </w:tcPr>
          <w:p>
            <w:r/>
            <w:r>
              <w:rPr>
                <w:rFonts w:ascii="Calibri" w:hAnsi="Calibri"/>
                <w:b w:val="0"/>
                <w:color w:val="1F2937"/>
                <w:sz w:val="19"/>
              </w:rPr>
              <w:t>4.10c</w:t>
            </w:r>
          </w:p>
        </w:tc>
        <w:tc>
          <w:tcPr>
            <w:tcW w:type="dxa" w:w="3173"/>
          </w:tcPr>
          <w:p>
            <w:r/>
            <w:r>
              <w:rPr>
                <w:rFonts w:ascii="Calibri" w:hAnsi="Calibri"/>
                <w:b w:val="0"/>
                <w:color w:val="1F2937"/>
                <w:sz w:val="19"/>
              </w:rPr>
              <w:t>40-jaar bewaring blootstellingsgegevens</w:t>
            </w:r>
          </w:p>
        </w:tc>
      </w:tr>
      <w:tr>
        <w:tc>
          <w:tcPr>
            <w:tcW w:type="dxa" w:w="3173"/>
          </w:tcPr>
          <w:p>
            <w:r/>
            <w:r>
              <w:rPr>
                <w:rFonts w:ascii="Calibri" w:hAnsi="Calibri"/>
                <w:b w:val="0"/>
                <w:color w:val="1F2937"/>
                <w:sz w:val="19"/>
              </w:rPr>
              <w:t>Arbobesluit H4 Afd. 3</w:t>
            </w:r>
          </w:p>
        </w:tc>
        <w:tc>
          <w:tcPr>
            <w:tcW w:type="dxa" w:w="3173"/>
          </w:tcPr>
          <w:p>
            <w:r/>
            <w:r>
              <w:rPr>
                <w:rFonts w:ascii="Calibri" w:hAnsi="Calibri"/>
                <w:b w:val="0"/>
                <w:color w:val="1F2937"/>
                <w:sz w:val="19"/>
              </w:rPr>
              <w:t>4.13</w:t>
            </w:r>
          </w:p>
        </w:tc>
        <w:tc>
          <w:tcPr>
            <w:tcW w:type="dxa" w:w="3173"/>
          </w:tcPr>
          <w:p>
            <w:r/>
            <w:r>
              <w:rPr>
                <w:rFonts w:ascii="Calibri" w:hAnsi="Calibri"/>
                <w:b w:val="0"/>
                <w:color w:val="1F2937"/>
                <w:sz w:val="19"/>
              </w:rPr>
              <w:t>RI&amp;E met tox-elementen + vervangingsonderbouwing</w:t>
            </w:r>
          </w:p>
        </w:tc>
      </w:tr>
      <w:tr>
        <w:tc>
          <w:tcPr>
            <w:tcW w:type="dxa" w:w="3173"/>
          </w:tcPr>
          <w:p>
            <w:r/>
            <w:r>
              <w:rPr>
                <w:rFonts w:ascii="Calibri" w:hAnsi="Calibri"/>
                <w:b w:val="0"/>
                <w:color w:val="1F2937"/>
                <w:sz w:val="19"/>
              </w:rPr>
              <w:t>Arbobesluit H4 Afd. 3</w:t>
            </w:r>
          </w:p>
        </w:tc>
        <w:tc>
          <w:tcPr>
            <w:tcW w:type="dxa" w:w="3173"/>
          </w:tcPr>
          <w:p>
            <w:r/>
            <w:r>
              <w:rPr>
                <w:rFonts w:ascii="Calibri" w:hAnsi="Calibri"/>
                <w:b w:val="0"/>
                <w:color w:val="1F2937"/>
                <w:sz w:val="19"/>
              </w:rPr>
              <w:t>4.15</w:t>
            </w:r>
          </w:p>
        </w:tc>
        <w:tc>
          <w:tcPr>
            <w:tcW w:type="dxa" w:w="3173"/>
          </w:tcPr>
          <w:p>
            <w:r/>
            <w:r>
              <w:rPr>
                <w:rFonts w:ascii="Calibri" w:hAnsi="Calibri"/>
                <w:b w:val="0"/>
                <w:color w:val="1F2937"/>
                <w:sz w:val="19"/>
              </w:rPr>
              <w:t>Lijst blootgestelde werknemers + inzagerecht</w:t>
            </w:r>
          </w:p>
        </w:tc>
      </w:tr>
      <w:tr>
        <w:tc>
          <w:tcPr>
            <w:tcW w:type="dxa" w:w="3173"/>
          </w:tcPr>
          <w:p>
            <w:r/>
            <w:r>
              <w:rPr>
                <w:rFonts w:ascii="Calibri" w:hAnsi="Calibri"/>
                <w:b w:val="0"/>
                <w:color w:val="1F2937"/>
                <w:sz w:val="19"/>
              </w:rPr>
              <w:t>SER/Arboregeling</w:t>
            </w:r>
          </w:p>
        </w:tc>
        <w:tc>
          <w:tcPr>
            <w:tcW w:type="dxa" w:w="3173"/>
          </w:tcPr>
          <w:p>
            <w:r/>
            <w:r>
              <w:rPr>
                <w:rFonts w:ascii="Calibri" w:hAnsi="Calibri"/>
                <w:b w:val="0"/>
                <w:color w:val="1F2937"/>
                <w:sz w:val="19"/>
              </w:rPr>
              <w:t>—</w:t>
            </w:r>
          </w:p>
        </w:tc>
        <w:tc>
          <w:tcPr>
            <w:tcW w:type="dxa" w:w="3173"/>
          </w:tcPr>
          <w:p>
            <w:r/>
            <w:r>
              <w:rPr>
                <w:rFonts w:ascii="Calibri" w:hAnsi="Calibri"/>
                <w:b w:val="0"/>
                <w:color w:val="1F2937"/>
                <w:sz w:val="19"/>
              </w:rPr>
              <w:t>Grenswaarde 1 µg/m³</w:t>
            </w:r>
          </w:p>
        </w:tc>
      </w:tr>
      <w:tr>
        <w:tc>
          <w:tcPr>
            <w:tcW w:type="dxa" w:w="3173"/>
          </w:tcPr>
          <w:p>
            <w:r/>
            <w:r>
              <w:rPr>
                <w:rFonts w:ascii="Calibri" w:hAnsi="Calibri"/>
                <w:b w:val="0"/>
                <w:color w:val="1F2937"/>
                <w:sz w:val="19"/>
              </w:rPr>
              <w:t>REACH Bijlage XIV</w:t>
            </w:r>
          </w:p>
        </w:tc>
        <w:tc>
          <w:tcPr>
            <w:tcW w:type="dxa" w:w="3173"/>
          </w:tcPr>
          <w:p>
            <w:r/>
            <w:r>
              <w:rPr>
                <w:rFonts w:ascii="Calibri" w:hAnsi="Calibri"/>
                <w:b w:val="0"/>
                <w:color w:val="1F2937"/>
                <w:sz w:val="19"/>
              </w:rPr>
              <w:t>—</w:t>
            </w:r>
          </w:p>
        </w:tc>
        <w:tc>
          <w:tcPr>
            <w:tcW w:type="dxa" w:w="3173"/>
          </w:tcPr>
          <w:p>
            <w:r/>
            <w:r>
              <w:rPr>
                <w:rFonts w:ascii="Calibri" w:hAnsi="Calibri"/>
                <w:b w:val="0"/>
                <w:color w:val="1F2937"/>
                <w:sz w:val="19"/>
              </w:rPr>
              <w:t>Autorisatie Cr(VI)-verbindingen</w:t>
            </w:r>
          </w:p>
        </w:tc>
      </w:tr>
      <w:tr>
        <w:tc>
          <w:tcPr>
            <w:tcW w:type="dxa" w:w="3173"/>
          </w:tcPr>
          <w:p>
            <w:r/>
            <w:r>
              <w:rPr>
                <w:rFonts w:ascii="Calibri" w:hAnsi="Calibri"/>
                <w:b w:val="0"/>
                <w:color w:val="1F2937"/>
                <w:sz w:val="19"/>
              </w:rPr>
              <w:t>Bal/Wet milieubeheer</w:t>
            </w:r>
          </w:p>
        </w:tc>
        <w:tc>
          <w:tcPr>
            <w:tcW w:type="dxa" w:w="3173"/>
          </w:tcPr>
          <w:p>
            <w:r/>
            <w:r>
              <w:rPr>
                <w:rFonts w:ascii="Calibri" w:hAnsi="Calibri"/>
                <w:b w:val="0"/>
                <w:color w:val="1F2937"/>
                <w:sz w:val="19"/>
              </w:rPr>
              <w:t>—</w:t>
            </w:r>
          </w:p>
        </w:tc>
        <w:tc>
          <w:tcPr>
            <w:tcW w:type="dxa" w:w="3173"/>
          </w:tcPr>
          <w:p>
            <w:r/>
            <w:r>
              <w:rPr>
                <w:rFonts w:ascii="Calibri" w:hAnsi="Calibri"/>
                <w:b w:val="0"/>
                <w:color w:val="1F2937"/>
                <w:sz w:val="19"/>
              </w:rPr>
              <w:t>Gevaarlijk afvalregime</w:t>
            </w:r>
          </w:p>
        </w:tc>
      </w:tr>
    </w:tbl>
    <w:p>
      <w:pPr>
        <w:spacing w:after="40"/>
      </w:pPr>
    </w:p>
    <w:p>
      <w:pPr>
        <w:pStyle w:val="Heading2"/>
      </w:pPr>
      <w:r>
        <w:t>3.2 Grenswaarden en classificatie</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Parameter</w:t>
            </w:r>
          </w:p>
        </w:tc>
        <w:tc>
          <w:tcPr>
            <w:tcW w:type="dxa" w:w="3173"/>
            <w:shd w:val="clear" w:color="auto" w:fill="003366"/>
          </w:tcPr>
          <w:p>
            <w:r/>
            <w:r>
              <w:rPr>
                <w:rFonts w:ascii="Calibri" w:hAnsi="Calibri"/>
                <w:b/>
                <w:color w:val="FFFFFF"/>
                <w:sz w:val="19"/>
              </w:rPr>
              <w:t>Waarde</w:t>
            </w:r>
          </w:p>
        </w:tc>
        <w:tc>
          <w:tcPr>
            <w:tcW w:type="dxa" w:w="3173"/>
            <w:shd w:val="clear" w:color="auto" w:fill="003366"/>
          </w:tcPr>
          <w:p>
            <w:r/>
            <w:r>
              <w:rPr>
                <w:rFonts w:ascii="Calibri" w:hAnsi="Calibri"/>
                <w:b/>
                <w:color w:val="FFFFFF"/>
                <w:sz w:val="19"/>
              </w:rPr>
              <w:t>Verificatie</w:t>
            </w:r>
          </w:p>
        </w:tc>
      </w:tr>
      <w:tr>
        <w:tc>
          <w:tcPr>
            <w:tcW w:type="dxa" w:w="3173"/>
          </w:tcPr>
          <w:p>
            <w:r/>
            <w:r>
              <w:rPr>
                <w:rFonts w:ascii="Calibri" w:hAnsi="Calibri"/>
                <w:b w:val="0"/>
                <w:color w:val="1F2937"/>
                <w:sz w:val="19"/>
              </w:rPr>
              <w:t>Wettelijke grenswaarde Cr(VI)</w:t>
            </w:r>
          </w:p>
        </w:tc>
        <w:tc>
          <w:tcPr>
            <w:tcW w:type="dxa" w:w="3173"/>
          </w:tcPr>
          <w:p>
            <w:r/>
            <w:r>
              <w:rPr>
                <w:rFonts w:ascii="Calibri" w:hAnsi="Calibri"/>
                <w:b w:val="0"/>
                <w:color w:val="1F2937"/>
                <w:sz w:val="19"/>
              </w:rPr>
              <w:t>1 µg/m³ (8-uurs TGG), per 1-3-2017</w:t>
            </w:r>
          </w:p>
        </w:tc>
        <w:tc>
          <w:tcPr>
            <w:tcW w:type="dxa" w:w="3173"/>
          </w:tcPr>
          <w:p>
            <w:r/>
            <w:r>
              <w:rPr>
                <w:rFonts w:ascii="Calibri" w:hAnsi="Calibri"/>
                <w:b w:val="0"/>
                <w:color w:val="1F2937"/>
                <w:sz w:val="19"/>
              </w:rPr>
              <w:t>SER/AI-77 — gecontroleerd</w:t>
            </w:r>
          </w:p>
        </w:tc>
      </w:tr>
      <w:tr>
        <w:tc>
          <w:tcPr>
            <w:tcW w:type="dxa" w:w="3173"/>
          </w:tcPr>
          <w:p>
            <w:r/>
            <w:r>
              <w:rPr>
                <w:rFonts w:ascii="Calibri" w:hAnsi="Calibri"/>
                <w:b w:val="0"/>
                <w:color w:val="1F2937"/>
                <w:sz w:val="19"/>
              </w:rPr>
              <w:t>Streefrisiconiveau</w:t>
            </w:r>
          </w:p>
        </w:tc>
        <w:tc>
          <w:tcPr>
            <w:tcW w:type="dxa" w:w="3173"/>
          </w:tcPr>
          <w:p>
            <w:r/>
            <w:r>
              <w:rPr>
                <w:rFonts w:ascii="Calibri" w:hAnsi="Calibri"/>
                <w:b w:val="0"/>
                <w:color w:val="1F2937"/>
                <w:sz w:val="19"/>
              </w:rPr>
              <w:t>0,01 µg/m³</w:t>
            </w:r>
          </w:p>
        </w:tc>
        <w:tc>
          <w:tcPr>
            <w:tcW w:type="dxa" w:w="3173"/>
          </w:tcPr>
          <w:p>
            <w:r/>
            <w:r>
              <w:rPr>
                <w:rFonts w:ascii="Calibri" w:hAnsi="Calibri"/>
                <w:b w:val="0"/>
                <w:color w:val="1F2937"/>
                <w:sz w:val="19"/>
              </w:rPr>
              <w:t>SER/AI-77 — gecontroleerd</w:t>
            </w:r>
          </w:p>
        </w:tc>
      </w:tr>
      <w:tr>
        <w:tc>
          <w:tcPr>
            <w:tcW w:type="dxa" w:w="3173"/>
          </w:tcPr>
          <w:p>
            <w:r/>
            <w:r>
              <w:rPr>
                <w:rFonts w:ascii="Calibri" w:hAnsi="Calibri"/>
                <w:b w:val="0"/>
                <w:color w:val="1F2937"/>
                <w:sz w:val="19"/>
              </w:rPr>
              <w:t>Belgische OEL (ter info)</w:t>
            </w:r>
          </w:p>
        </w:tc>
        <w:tc>
          <w:tcPr>
            <w:tcW w:type="dxa" w:w="3173"/>
          </w:tcPr>
          <w:p>
            <w:r/>
            <w:r>
              <w:rPr>
                <w:rFonts w:ascii="Calibri" w:hAnsi="Calibri"/>
                <w:b w:val="0"/>
                <w:color w:val="1F2937"/>
                <w:sz w:val="19"/>
              </w:rPr>
              <w:t>0,005 mg/m³</w:t>
            </w:r>
          </w:p>
        </w:tc>
        <w:tc>
          <w:tcPr>
            <w:tcW w:type="dxa" w:w="3173"/>
          </w:tcPr>
          <w:p>
            <w:r/>
            <w:r>
              <w:rPr>
                <w:rFonts w:ascii="Calibri" w:hAnsi="Calibri"/>
                <w:b w:val="0"/>
                <w:color w:val="1F2937"/>
                <w:sz w:val="19"/>
              </w:rPr>
              <w:t>Brondocument §6 — geconstateerd</w:t>
            </w:r>
          </w:p>
        </w:tc>
      </w:tr>
      <w:tr>
        <w:tc>
          <w:tcPr>
            <w:tcW w:type="dxa" w:w="3173"/>
          </w:tcPr>
          <w:p>
            <w:r/>
            <w:r>
              <w:rPr>
                <w:rFonts w:ascii="Calibri" w:hAnsi="Calibri"/>
                <w:b w:val="0"/>
                <w:color w:val="1F2937"/>
                <w:sz w:val="19"/>
              </w:rPr>
              <w:t>CLP (representatief)</w:t>
            </w:r>
          </w:p>
        </w:tc>
        <w:tc>
          <w:tcPr>
            <w:tcW w:type="dxa" w:w="3173"/>
          </w:tcPr>
          <w:p>
            <w:r/>
            <w:r>
              <w:rPr>
                <w:rFonts w:ascii="Calibri" w:hAnsi="Calibri"/>
                <w:b w:val="0"/>
                <w:color w:val="1F2937"/>
                <w:sz w:val="19"/>
              </w:rPr>
              <w:t>Carc. 1B H350; Muta. 2 H341; Sens. 1 H317; STOT RE 1 H372</w:t>
            </w:r>
          </w:p>
        </w:tc>
        <w:tc>
          <w:tcPr>
            <w:tcW w:type="dxa" w:w="3173"/>
          </w:tcPr>
          <w:p>
            <w:r/>
            <w:r>
              <w:rPr>
                <w:rFonts w:ascii="Calibri" w:hAnsi="Calibri"/>
                <w:b w:val="0"/>
                <w:color w:val="1F2937"/>
                <w:sz w:val="19"/>
              </w:rPr>
              <w:t>ECHA — gecontroleerd</w:t>
            </w:r>
          </w:p>
        </w:tc>
      </w:tr>
      <w:tr>
        <w:tc>
          <w:tcPr>
            <w:tcW w:type="dxa" w:w="3173"/>
          </w:tcPr>
          <w:p>
            <w:r/>
            <w:r>
              <w:rPr>
                <w:rFonts w:ascii="Calibri" w:hAnsi="Calibri"/>
                <w:b w:val="0"/>
                <w:color w:val="1F2937"/>
                <w:sz w:val="19"/>
              </w:rPr>
              <w:t>Gezondheidsraad-beredenering</w:t>
            </w:r>
          </w:p>
        </w:tc>
        <w:tc>
          <w:tcPr>
            <w:tcW w:type="dxa" w:w="3173"/>
          </w:tcPr>
          <w:p>
            <w:r/>
            <w:r>
              <w:rPr>
                <w:rFonts w:ascii="Calibri" w:hAnsi="Calibri"/>
                <w:b w:val="0"/>
                <w:color w:val="1F2937"/>
                <w:sz w:val="19"/>
              </w:rPr>
              <w:t>≈4 extra longkankergevallen/1.000 bij 40 jr × 1 µg/m³</w:t>
            </w:r>
          </w:p>
        </w:tc>
        <w:tc>
          <w:tcPr>
            <w:tcW w:type="dxa" w:w="3173"/>
          </w:tcPr>
          <w:p>
            <w:r/>
            <w:r>
              <w:rPr>
                <w:rFonts w:ascii="Calibri" w:hAnsi="Calibri"/>
                <w:b w:val="0"/>
                <w:color w:val="1F2937"/>
                <w:sz w:val="19"/>
              </w:rPr>
              <w:t>AI-77 — overgenomen</w:t>
            </w:r>
          </w:p>
        </w:tc>
      </w:tr>
    </w:tbl>
    <w:p>
      <w:pPr>
        <w:spacing w:after="40"/>
      </w:pPr>
    </w:p>
    <w:p>
      <w:pPr>
        <w:pStyle w:val="Heading2"/>
      </w:pPr>
      <w:r>
        <w:t>3.3 Eisen regime kankerverwekkende stoffen</w:t>
      </w:r>
    </w:p>
    <w:p>
      <w:pPr>
        <w:spacing w:after="120"/>
      </w:pPr>
      <w:r>
        <w:rPr>
          <w:rFonts w:ascii="Calibri" w:hAnsi="Calibri"/>
          <w:b w:val="0"/>
          <w:i w:val="0"/>
          <w:sz w:val="22"/>
        </w:rPr>
        <w:t>Cr(VI)-verbindingen zijn kankerverwekkend bij inademing. Het Arbobesluit-regime voor kankerverwekkende stoffen is bewust zwaarder dan het algemene gevaarlijke-stoffenregime: vanwege de ernst en onomkeerbaarheid van kanker en de lange latentietijd zijn verificatie (metingen), gezondheidsbewaking (AGO), registratie (lijst + 40 jaar bewaring) en eliminatiegericht beleid (vervanging) verplicht. Deze audit toetst het brondocument expliciet aan deze zwaardere eisen.</w:t>
      </w:r>
    </w:p>
    <w:p>
      <w:pPr>
        <w:pStyle w:val="Heading1"/>
      </w:pPr>
      <w:r>
        <w:t>4. Auditmethodiek</w:t>
      </w:r>
    </w:p>
    <w:p>
      <w:pPr>
        <w:spacing w:after="120"/>
      </w:pPr>
      <w:r>
        <w:rPr>
          <w:rFonts w:ascii="Calibri" w:hAnsi="Calibri"/>
          <w:b w:val="0"/>
          <w:i w:val="0"/>
          <w:sz w:val="22"/>
        </w:rPr>
        <w:t>Vijf stappen: (1) integrale extractie van de brontekst (12 p.); (2) opbouw toetsingskader uit primaire bronnen; (3) toetsing per eis (B1-B18) met classificatie P1/P2/Conform; (4) verificatie van kernfeiten (grenswaarden, classificaties, richtlijnstatus); (5) herzieningsvoorstellen H1-H12 met juridische onderbouwing. Elk hoofdstuk van het brondocument is daarnaast sectiegewijs getoetst (§5).</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Status</w:t>
            </w:r>
          </w:p>
        </w:tc>
        <w:tc>
          <w:tcPr>
            <w:tcW w:type="dxa" w:w="4759"/>
            <w:shd w:val="clear" w:color="auto" w:fill="003366"/>
          </w:tcPr>
          <w:p>
            <w:r/>
            <w:r>
              <w:rPr>
                <w:rFonts w:ascii="Calibri" w:hAnsi="Calibri"/>
                <w:b/>
                <w:color w:val="FFFFFF"/>
                <w:sz w:val="19"/>
              </w:rPr>
              <w:t>Definitie</w:t>
            </w:r>
          </w:p>
        </w:tc>
      </w:tr>
      <w:tr>
        <w:tc>
          <w:tcPr>
            <w:tcW w:type="dxa" w:w="4759"/>
          </w:tcPr>
          <w:p>
            <w:r/>
            <w:r>
              <w:rPr>
                <w:rFonts w:ascii="Calibri" w:hAnsi="Calibri"/>
                <w:b w:val="0"/>
                <w:color w:val="1F2937"/>
                <w:sz w:val="19"/>
              </w:rPr>
              <w:t>P1</w:t>
            </w:r>
          </w:p>
        </w:tc>
        <w:tc>
          <w:tcPr>
            <w:tcW w:type="dxa" w:w="4759"/>
          </w:tcPr>
          <w:p>
            <w:r/>
            <w:r>
              <w:rPr>
                <w:rFonts w:ascii="Calibri" w:hAnsi="Calibri"/>
                <w:b w:val="0"/>
                <w:color w:val="1F2937"/>
                <w:sz w:val="19"/>
              </w:rPr>
              <w:t>Wettelijk verplicht element ontbreekt — wetverzuim bij uitvoering</w:t>
            </w:r>
          </w:p>
        </w:tc>
      </w:tr>
      <w:tr>
        <w:tc>
          <w:tcPr>
            <w:tcW w:type="dxa" w:w="4759"/>
          </w:tcPr>
          <w:p>
            <w:r/>
            <w:r>
              <w:rPr>
                <w:rFonts w:ascii="Calibri" w:hAnsi="Calibri"/>
                <w:b w:val="0"/>
                <w:color w:val="1F2937"/>
                <w:sz w:val="19"/>
              </w:rPr>
              <w:t>P2</w:t>
            </w:r>
          </w:p>
        </w:tc>
        <w:tc>
          <w:tcPr>
            <w:tcW w:type="dxa" w:w="4759"/>
          </w:tcPr>
          <w:p>
            <w:r/>
            <w:r>
              <w:rPr>
                <w:rFonts w:ascii="Calibri" w:hAnsi="Calibri"/>
                <w:b w:val="0"/>
                <w:color w:val="1F2937"/>
                <w:sz w:val="19"/>
              </w:rPr>
              <w:t>Verplichting of verwacht element aanwezig maar onvolledig/niet uitgewerkt</w:t>
            </w:r>
          </w:p>
        </w:tc>
      </w:tr>
      <w:tr>
        <w:tc>
          <w:tcPr>
            <w:tcW w:type="dxa" w:w="4759"/>
          </w:tcPr>
          <w:p>
            <w:r/>
            <w:r>
              <w:rPr>
                <w:rFonts w:ascii="Calibri" w:hAnsi="Calibri"/>
                <w:b w:val="0"/>
                <w:color w:val="1F2937"/>
                <w:sz w:val="19"/>
              </w:rPr>
              <w:t>Conform</w:t>
            </w:r>
          </w:p>
        </w:tc>
        <w:tc>
          <w:tcPr>
            <w:tcW w:type="dxa" w:w="4759"/>
          </w:tcPr>
          <w:p>
            <w:r/>
            <w:r>
              <w:rPr>
                <w:rFonts w:ascii="Calibri" w:hAnsi="Calibri"/>
                <w:b w:val="0"/>
                <w:color w:val="1F2937"/>
                <w:sz w:val="19"/>
              </w:rPr>
              <w:t>Vereiste volledig en correct opgenomen</w:t>
            </w:r>
          </w:p>
        </w:tc>
      </w:tr>
    </w:tbl>
    <w:p>
      <w:pPr>
        <w:spacing w:after="40"/>
      </w:pPr>
    </w:p>
    <w:p>
      <w:pPr>
        <w:pStyle w:val="Heading2"/>
      </w:pPr>
      <w:r>
        <w:t>4.1 Kwaliteitsborging</w:t>
      </w:r>
    </w:p>
    <w:p>
      <w:pPr>
        <w:pStyle w:val="ListBullet"/>
        <w:spacing w:after="60"/>
      </w:pPr>
      <w:r>
        <w:t>Tweede-lezer-beginsel op alle P1-bevindingen (hseq_specialist + compliance_auditor).</w:t>
      </w:r>
    </w:p>
    <w:p>
      <w:pPr>
        <w:pStyle w:val="ListBullet"/>
        <w:spacing w:after="60"/>
      </w:pPr>
      <w:r>
        <w:t>Bronnenhiërarchie: wettekst &gt; verordening/richtlijn &gt; norm/AI-blad &gt; branchestandaard &gt; brondocument.</w:t>
      </w:r>
    </w:p>
    <w:p>
      <w:pPr>
        <w:pStyle w:val="ListBullet"/>
        <w:spacing w:after="60"/>
      </w:pPr>
      <w:r>
        <w:t>Traceerbaarheid: bevindingen B1-B18, voorstellen H1-H12, matrixregels 1-op-1 gekoppeld.</w:t>
      </w:r>
    </w:p>
    <w:p>
      <w:pPr>
        <w:pStyle w:val="ListBullet"/>
        <w:spacing w:after="60"/>
      </w:pPr>
      <w:r>
        <w:t>Actualiteit: kader geldig op auditdatum 24-08-2026.</w:t>
      </w:r>
    </w:p>
    <w:p>
      <w:pPr>
        <w:pStyle w:val="Heading1"/>
      </w:pPr>
      <w:r>
        <w:t>5. Bevindingen per Hoofdstuk van het Brondocument</w:t>
      </w:r>
    </w:p>
    <w:p>
      <w:pPr>
        <w:pStyle w:val="Heading2"/>
      </w:pPr>
      <w:r>
        <w:t>5.0 Revision status en revision log</w:t>
      </w:r>
    </w:p>
    <w:p>
      <w:pPr>
        <w:spacing w:after="120"/>
      </w:pPr>
      <w:r>
        <w:rPr>
          <w:rFonts w:ascii="Calibri" w:hAnsi="Calibri"/>
          <w:b w:val="0"/>
          <w:i w:val="0"/>
          <w:sz w:val="22"/>
        </w:rPr>
        <w:t>De cover vermeldt twee revisies (Rev A en Rev 1) met verschillende data en statussen; de revision log bevat alleen een Rev 1-regel met lege velden voor Section en Description of Change; de voettekst noemt ‘Rev. 1 — May 2026’ terwijl de issue-datum 15-04-2026 is. Voor een ‘Issued for Implementation’-procedure is dit een beheerskundige non-conformiteit (B14/H12).</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ID</w:t>
            </w:r>
          </w:p>
        </w:tc>
        <w:tc>
          <w:tcPr>
            <w:tcW w:type="dxa" w:w="3173"/>
            <w:shd w:val="clear" w:color="auto" w:fill="003366"/>
          </w:tcPr>
          <w:p>
            <w:r/>
            <w:r>
              <w:rPr>
                <w:rFonts w:ascii="Calibri" w:hAnsi="Calibri"/>
                <w:b/>
                <w:color w:val="FFFFFF"/>
                <w:sz w:val="19"/>
              </w:rPr>
              <w:t>Bevinding</w:t>
            </w:r>
          </w:p>
        </w:tc>
        <w:tc>
          <w:tcPr>
            <w:tcW w:type="dxa" w:w="3173"/>
            <w:shd w:val="clear" w:color="auto" w:fill="003366"/>
          </w:tcPr>
          <w:p>
            <w:r/>
            <w:r>
              <w:rPr>
                <w:rFonts w:ascii="Calibri" w:hAnsi="Calibri"/>
                <w:b/>
                <w:color w:val="FFFFFF"/>
                <w:sz w:val="19"/>
              </w:rPr>
              <w:t>Status</w:t>
            </w:r>
          </w:p>
        </w:tc>
      </w:tr>
      <w:tr>
        <w:tc>
          <w:tcPr>
            <w:tcW w:type="dxa" w:w="3173"/>
          </w:tcPr>
          <w:p>
            <w:r/>
            <w:r>
              <w:rPr>
                <w:rFonts w:ascii="Calibri" w:hAnsi="Calibri"/>
                <w:b w:val="0"/>
                <w:color w:val="1F2937"/>
                <w:sz w:val="19"/>
              </w:rPr>
              <w:t>F-0.1</w:t>
            </w:r>
          </w:p>
        </w:tc>
        <w:tc>
          <w:tcPr>
            <w:tcW w:type="dxa" w:w="3173"/>
          </w:tcPr>
          <w:p>
            <w:r/>
            <w:r>
              <w:rPr>
                <w:rFonts w:ascii="Calibri" w:hAnsi="Calibri"/>
                <w:b w:val="0"/>
                <w:color w:val="1F2937"/>
                <w:sz w:val="19"/>
              </w:rPr>
              <w:t>Versie-inconsistentie Rev A vs Rev 1 op cover</w:t>
            </w:r>
          </w:p>
        </w:tc>
        <w:tc>
          <w:tcPr>
            <w:tcW w:type="dxa" w:w="3173"/>
          </w:tcPr>
          <w:p>
            <w:r/>
            <w:r>
              <w:rPr>
                <w:rFonts w:ascii="Calibri" w:hAnsi="Calibri"/>
                <w:b w:val="0"/>
                <w:color w:val="1F2937"/>
                <w:sz w:val="19"/>
              </w:rPr>
              <w:t>AFWIJK (P2)</w:t>
            </w:r>
          </w:p>
        </w:tc>
      </w:tr>
      <w:tr>
        <w:tc>
          <w:tcPr>
            <w:tcW w:type="dxa" w:w="3173"/>
          </w:tcPr>
          <w:p>
            <w:r/>
            <w:r>
              <w:rPr>
                <w:rFonts w:ascii="Calibri" w:hAnsi="Calibri"/>
                <w:b w:val="0"/>
                <w:color w:val="1F2937"/>
                <w:sz w:val="19"/>
              </w:rPr>
              <w:t>F-0.2</w:t>
            </w:r>
          </w:p>
        </w:tc>
        <w:tc>
          <w:tcPr>
            <w:tcW w:type="dxa" w:w="3173"/>
          </w:tcPr>
          <w:p>
            <w:r/>
            <w:r>
              <w:rPr>
                <w:rFonts w:ascii="Calibri" w:hAnsi="Calibri"/>
                <w:b w:val="0"/>
                <w:color w:val="1F2937"/>
                <w:sz w:val="19"/>
              </w:rPr>
              <w:t>Revision log leeg (geen sectie/wijzigingsomschrijving)</w:t>
            </w:r>
          </w:p>
        </w:tc>
        <w:tc>
          <w:tcPr>
            <w:tcW w:type="dxa" w:w="3173"/>
          </w:tcPr>
          <w:p>
            <w:r/>
            <w:r>
              <w:rPr>
                <w:rFonts w:ascii="Calibri" w:hAnsi="Calibri"/>
                <w:b w:val="0"/>
                <w:color w:val="1F2937"/>
                <w:sz w:val="19"/>
              </w:rPr>
              <w:t>AFWIJK (P2)</w:t>
            </w:r>
          </w:p>
        </w:tc>
      </w:tr>
      <w:tr>
        <w:tc>
          <w:tcPr>
            <w:tcW w:type="dxa" w:w="3173"/>
          </w:tcPr>
          <w:p>
            <w:r/>
            <w:r>
              <w:rPr>
                <w:rFonts w:ascii="Calibri" w:hAnsi="Calibri"/>
                <w:b w:val="0"/>
                <w:color w:val="1F2937"/>
                <w:sz w:val="19"/>
              </w:rPr>
              <w:t>F-0.3</w:t>
            </w:r>
          </w:p>
        </w:tc>
        <w:tc>
          <w:tcPr>
            <w:tcW w:type="dxa" w:w="3173"/>
          </w:tcPr>
          <w:p>
            <w:r/>
            <w:r>
              <w:rPr>
                <w:rFonts w:ascii="Calibri" w:hAnsi="Calibri"/>
                <w:b w:val="0"/>
                <w:color w:val="1F2937"/>
                <w:sz w:val="19"/>
              </w:rPr>
              <w:t>Voettekstdatum ‘May 2026’ vs issue-datum 15-04-2026</w:t>
            </w:r>
          </w:p>
        </w:tc>
        <w:tc>
          <w:tcPr>
            <w:tcW w:type="dxa" w:w="3173"/>
          </w:tcPr>
          <w:p>
            <w:r/>
            <w:r>
              <w:rPr>
                <w:rFonts w:ascii="Calibri" w:hAnsi="Calibri"/>
                <w:b w:val="0"/>
                <w:color w:val="1F2937"/>
                <w:sz w:val="19"/>
              </w:rPr>
              <w:t>AFWIJK (P2)</w:t>
            </w:r>
          </w:p>
        </w:tc>
      </w:tr>
    </w:tbl>
    <w:p>
      <w:pPr>
        <w:spacing w:after="40"/>
      </w:pPr>
    </w:p>
    <w:p>
      <w:pPr>
        <w:pStyle w:val="Heading2"/>
      </w:pPr>
      <w:r>
        <w:t>5.1 Sectie 1 — Purpose and Scope</w:t>
      </w:r>
    </w:p>
    <w:p>
      <w:pPr>
        <w:spacing w:after="120"/>
      </w:pPr>
      <w:r>
        <w:rPr>
          <w:rFonts w:ascii="Calibri" w:hAnsi="Calibri"/>
          <w:b w:val="0"/>
          <w:i w:val="0"/>
          <w:sz w:val="22"/>
        </w:rPr>
        <w:t>De scope richt zich op bescherming tegen Cr(VI)-blootstelling bij KOO-werkzaamheden en sluit aan bij het ALARP-beginsel. De scope stelt het P3/PBM-regime als einddoel, maar zonder meetstrategie (B1) is niet aantoonbaar dat dit doel wordt gehaald. Expliciete subcontractor-doorschakeling is aanwezig via de contractors-verplichting in §3.</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F-1.1</w:t>
            </w:r>
          </w:p>
        </w:tc>
        <w:tc>
          <w:tcPr>
            <w:tcW w:type="dxa" w:w="2379"/>
          </w:tcPr>
          <w:p>
            <w:r/>
            <w:r>
              <w:rPr>
                <w:rFonts w:ascii="Calibri" w:hAnsi="Calibri"/>
                <w:b w:val="0"/>
                <w:color w:val="1F2937"/>
                <w:sz w:val="19"/>
              </w:rPr>
              <w:t>ALARP-doel aantoonbaar maken via metingen</w:t>
            </w:r>
          </w:p>
        </w:tc>
        <w:tc>
          <w:tcPr>
            <w:tcW w:type="dxa" w:w="2379"/>
          </w:tcPr>
          <w:p>
            <w:r/>
            <w:r>
              <w:rPr>
                <w:rFonts w:ascii="Calibri" w:hAnsi="Calibri"/>
                <w:b w:val="0"/>
                <w:color w:val="1F2937"/>
                <w:sz w:val="19"/>
              </w:rPr>
              <w:t>Art. 4.2 lid 4</w:t>
            </w:r>
          </w:p>
        </w:tc>
        <w:tc>
          <w:tcPr>
            <w:tcW w:type="dxa" w:w="2379"/>
          </w:tcPr>
          <w:p>
            <w:r/>
            <w:r>
              <w:rPr>
                <w:rFonts w:ascii="Calibri" w:hAnsi="Calibri"/>
                <w:b w:val="0"/>
                <w:color w:val="1F2937"/>
                <w:sz w:val="19"/>
              </w:rPr>
              <w:t>ONTBREEKT (B1)</w:t>
            </w:r>
          </w:p>
        </w:tc>
      </w:tr>
      <w:tr>
        <w:tc>
          <w:tcPr>
            <w:tcW w:type="dxa" w:w="2379"/>
          </w:tcPr>
          <w:p>
            <w:r/>
            <w:r>
              <w:rPr>
                <w:rFonts w:ascii="Calibri" w:hAnsi="Calibri"/>
                <w:b w:val="0"/>
                <w:color w:val="1F2937"/>
                <w:sz w:val="19"/>
              </w:rPr>
              <w:t>F-1.2</w:t>
            </w:r>
          </w:p>
        </w:tc>
        <w:tc>
          <w:tcPr>
            <w:tcW w:type="dxa" w:w="2379"/>
          </w:tcPr>
          <w:p>
            <w:r/>
            <w:r>
              <w:rPr>
                <w:rFonts w:ascii="Calibri" w:hAnsi="Calibri"/>
                <w:b w:val="0"/>
                <w:color w:val="1F2937"/>
                <w:sz w:val="19"/>
              </w:rPr>
              <w:t>Ketenwerking subcontractors</w:t>
            </w:r>
          </w:p>
        </w:tc>
        <w:tc>
          <w:tcPr>
            <w:tcW w:type="dxa" w:w="2379"/>
          </w:tcPr>
          <w:p>
            <w:r/>
            <w:r>
              <w:rPr>
                <w:rFonts w:ascii="Calibri" w:hAnsi="Calibri"/>
                <w:b w:val="0"/>
                <w:color w:val="1F2937"/>
                <w:sz w:val="19"/>
              </w:rPr>
              <w:t>Arbowet art. 8</w:t>
            </w:r>
          </w:p>
        </w:tc>
        <w:tc>
          <w:tcPr>
            <w:tcW w:type="dxa" w:w="2379"/>
          </w:tcPr>
          <w:p>
            <w:r/>
            <w:r>
              <w:rPr>
                <w:rFonts w:ascii="Calibri" w:hAnsi="Calibri"/>
                <w:b w:val="0"/>
                <w:color w:val="1F2937"/>
                <w:sz w:val="19"/>
              </w:rPr>
              <w:t>DEELS</w:t>
            </w:r>
          </w:p>
        </w:tc>
      </w:tr>
    </w:tbl>
    <w:p>
      <w:pPr>
        <w:spacing w:after="40"/>
      </w:pPr>
    </w:p>
    <w:p>
      <w:pPr>
        <w:pStyle w:val="Heading2"/>
      </w:pPr>
      <w:r>
        <w:t>5.2 Sectie 2 — Definitions and Abbreviations</w:t>
      </w:r>
    </w:p>
    <w:p>
      <w:pPr>
        <w:spacing w:after="120"/>
      </w:pPr>
      <w:r>
        <w:rPr>
          <w:rFonts w:ascii="Calibri" w:hAnsi="Calibri"/>
          <w:b w:val="0"/>
          <w:i w:val="0"/>
          <w:sz w:val="22"/>
        </w:rPr>
        <w:t>Definities zijn functioneel voor de operationele tekst. Voor het KMR-regime ontbreken definities van ‘exposed worker’ en ‘health surveillance’ — nodig zodra H2/H4 worden geïmplementeerd.</w:t>
      </w:r>
    </w:p>
    <w:p>
      <w:pPr>
        <w:pStyle w:val="Heading2"/>
      </w:pPr>
      <w:r>
        <w:t>5.3 Sectie 3 — Roles and Responsibilities</w:t>
      </w:r>
    </w:p>
    <w:p>
      <w:pPr>
        <w:spacing w:after="120"/>
      </w:pPr>
      <w:r>
        <w:rPr>
          <w:rFonts w:ascii="Calibri" w:hAnsi="Calibri"/>
          <w:b w:val="0"/>
          <w:i w:val="0"/>
          <w:sz w:val="22"/>
        </w:rPr>
        <w:t>Zes rollen (Management, QHSE Manager, OIM/Site Manager, Supervisors, Personnel, Contractors) compleet met stop-work-bevoegdheid op de werkvloer — CONFORM (B18). De rol bedrijfsarts/arbodienst ontbreekt (gekoppeld aan B2/H2).</w:t>
      </w:r>
    </w:p>
    <w:p>
      <w:pPr>
        <w:pStyle w:val="Heading2"/>
      </w:pPr>
      <w:r>
        <w:t>5.4 Sectie 4.1-4.3 — Hazard Identification en Health Effects</w:t>
      </w:r>
    </w:p>
    <w:p>
      <w:pPr>
        <w:spacing w:after="120"/>
      </w:pPr>
      <w:r>
        <w:rPr>
          <w:rFonts w:ascii="Calibri" w:hAnsi="Calibri"/>
          <w:b w:val="0"/>
          <w:i w:val="0"/>
          <w:sz w:val="22"/>
        </w:rPr>
        <w:t>Stofeigenschappen, bronnen (coatings, RVS-lassen, verduurzaamd hout, cement), blootstellingsroutes en gezondheidseffecten (longkanker, neusholtekanker, neusseptumperforatie, COPD, astma, dermatitis; vermoedelijk maag- en strottenhoofdkanker) zijn volledig en feitelijk consistent met AI-blad 77 — CONFORM (B15).</w:t>
      </w:r>
    </w:p>
    <w:p>
      <w:pPr>
        <w:pStyle w:val="Heading2"/>
      </w:pPr>
      <w:r>
        <w:t>5.5 Sectie 4.4 — Identification, Marking, PTW/TRA</w:t>
      </w:r>
    </w:p>
    <w:p>
      <w:pPr>
        <w:spacing w:after="120"/>
      </w:pPr>
      <w:r>
        <w:rPr>
          <w:rFonts w:ascii="Calibri" w:hAnsi="Calibri"/>
          <w:b w:val="0"/>
          <w:i w:val="0"/>
          <w:sz w:val="22"/>
        </w:rPr>
        <w:t>Third-party surveys, markering (verf, borden, ‘Cr6’-spray), het beginsel ‘treat as contaminated until confirmed otherwise’ en verplichte koppeling aan TRA/JSA + PTW vóór werk zijn goed uitgewerkt — CONFORM (B16). Kanttekening: de TRA/JSA-koppeling vult de RI&amp;E-registratieplicht (B4) niet in.</w:t>
      </w:r>
    </w:p>
    <w:p>
      <w:pPr>
        <w:pStyle w:val="Heading2"/>
      </w:pPr>
      <w:r>
        <w:t>5.6 Sectie 4.5 — Control Measures (4.5.1-4.5.3)</w:t>
      </w:r>
    </w:p>
    <w:p>
      <w:pPr>
        <w:spacing w:after="120"/>
      </w:pPr>
      <w:r>
        <w:rPr>
          <w:rFonts w:ascii="Calibri" w:hAnsi="Calibri"/>
          <w:b w:val="0"/>
          <w:i w:val="0"/>
          <w:sz w:val="22"/>
        </w:rPr>
        <w:t>De paragraaf beschrijft expliciet een hierarchy of controls: minimaliseren van verstoring, beperken van verspreiding, toegangsbeperking, ventilatie/extractie/natte methoden, en pas daarna PBM — dit sluit aan bij de MAC/5M-methodiek. Ontbrekend: substitutie/bronmaatregelen en organisatorische maatregelen (taakroulatie, blootstellingstijdbeperking) als gedocumenteerde afweging (B12/H11). Het hygiëne- en decontaminatieregime (eet-/rookverbod, wassen/douchen, decon-stations, 5 m-restrictiezone of groter volgens TRA, volgelaatsmasker P3 ≥ 99,95% filtratie, filterinspectie/-vervanging, verbod op perslucht, stofzuigsystemen met filtratie, PBM-afvoer als gevaarlijk afval) is concreet en uitvoerbaar — CONFORM (B17).</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F-4.5a</w:t>
            </w:r>
          </w:p>
        </w:tc>
        <w:tc>
          <w:tcPr>
            <w:tcW w:type="dxa" w:w="2379"/>
          </w:tcPr>
          <w:p>
            <w:r/>
            <w:r>
              <w:rPr>
                <w:rFonts w:ascii="Calibri" w:hAnsi="Calibri"/>
                <w:b w:val="0"/>
                <w:color w:val="1F2937"/>
                <w:sz w:val="19"/>
              </w:rPr>
              <w:t>Volledige hiërarchie incl. substitutie/bron en organisatorische maatregelen gedocumenteerd</w:t>
            </w:r>
          </w:p>
        </w:tc>
        <w:tc>
          <w:tcPr>
            <w:tcW w:type="dxa" w:w="2379"/>
          </w:tcPr>
          <w:p>
            <w:r/>
            <w:r>
              <w:rPr>
                <w:rFonts w:ascii="Calibri" w:hAnsi="Calibri"/>
                <w:b w:val="0"/>
                <w:color w:val="1F2937"/>
                <w:sz w:val="19"/>
              </w:rPr>
              <w:t>Art. 4.2a/4.4-structuur</w:t>
            </w:r>
          </w:p>
        </w:tc>
        <w:tc>
          <w:tcPr>
            <w:tcW w:type="dxa" w:w="2379"/>
          </w:tcPr>
          <w:p>
            <w:r/>
            <w:r>
              <w:rPr>
                <w:rFonts w:ascii="Calibri" w:hAnsi="Calibri"/>
                <w:b w:val="0"/>
                <w:color w:val="1F2937"/>
                <w:sz w:val="19"/>
              </w:rPr>
              <w:t>DEELS (B12)</w:t>
            </w:r>
          </w:p>
        </w:tc>
      </w:tr>
      <w:tr>
        <w:tc>
          <w:tcPr>
            <w:tcW w:type="dxa" w:w="2379"/>
          </w:tcPr>
          <w:p>
            <w:r/>
            <w:r>
              <w:rPr>
                <w:rFonts w:ascii="Calibri" w:hAnsi="Calibri"/>
                <w:b w:val="0"/>
                <w:color w:val="1F2937"/>
                <w:sz w:val="19"/>
              </w:rPr>
              <w:t>F-4.5b</w:t>
            </w:r>
          </w:p>
        </w:tc>
        <w:tc>
          <w:tcPr>
            <w:tcW w:type="dxa" w:w="2379"/>
          </w:tcPr>
          <w:p>
            <w:r/>
            <w:r>
              <w:rPr>
                <w:rFonts w:ascii="Calibri" w:hAnsi="Calibri"/>
                <w:b w:val="0"/>
                <w:color w:val="1F2937"/>
                <w:sz w:val="19"/>
              </w:rPr>
              <w:t>Hygiëne, decontaminatie, PBM-regime</w:t>
            </w:r>
          </w:p>
        </w:tc>
        <w:tc>
          <w:tcPr>
            <w:tcW w:type="dxa" w:w="2379"/>
          </w:tcPr>
          <w:p>
            <w:r/>
            <w:r>
              <w:rPr>
                <w:rFonts w:ascii="Calibri" w:hAnsi="Calibri"/>
                <w:b w:val="0"/>
                <w:color w:val="1F2937"/>
                <w:sz w:val="19"/>
              </w:rPr>
              <w:t>AI-18; art. 4.5</w:t>
            </w:r>
          </w:p>
        </w:tc>
        <w:tc>
          <w:tcPr>
            <w:tcW w:type="dxa" w:w="2379"/>
          </w:tcPr>
          <w:p>
            <w:r/>
            <w:r>
              <w:rPr>
                <w:rFonts w:ascii="Calibri" w:hAnsi="Calibri"/>
                <w:b w:val="0"/>
                <w:color w:val="1F2937"/>
                <w:sz w:val="19"/>
              </w:rPr>
              <w:t>CONFORM (B17)</w:t>
            </w:r>
          </w:p>
        </w:tc>
      </w:tr>
      <w:tr>
        <w:tc>
          <w:tcPr>
            <w:tcW w:type="dxa" w:w="2379"/>
          </w:tcPr>
          <w:p>
            <w:r/>
            <w:r>
              <w:rPr>
                <w:rFonts w:ascii="Calibri" w:hAnsi="Calibri"/>
                <w:b w:val="0"/>
                <w:color w:val="1F2937"/>
                <w:sz w:val="19"/>
              </w:rPr>
              <w:t>F-4.5c</w:t>
            </w:r>
          </w:p>
        </w:tc>
        <w:tc>
          <w:tcPr>
            <w:tcW w:type="dxa" w:w="2379"/>
          </w:tcPr>
          <w:p>
            <w:r/>
            <w:r>
              <w:rPr>
                <w:rFonts w:ascii="Calibri" w:hAnsi="Calibri"/>
                <w:b w:val="0"/>
                <w:color w:val="1F2937"/>
                <w:sz w:val="19"/>
              </w:rPr>
              <w:t>Afvalstromen Cr(VI): klassering, verpakkings-/etiketteringseisen</w:t>
            </w:r>
          </w:p>
        </w:tc>
        <w:tc>
          <w:tcPr>
            <w:tcW w:type="dxa" w:w="2379"/>
          </w:tcPr>
          <w:p>
            <w:r/>
            <w:r>
              <w:rPr>
                <w:rFonts w:ascii="Calibri" w:hAnsi="Calibri"/>
                <w:b w:val="0"/>
                <w:color w:val="1F2937"/>
                <w:sz w:val="19"/>
              </w:rPr>
              <w:t>Bal; Wet milieubeheer</w:t>
            </w:r>
          </w:p>
        </w:tc>
        <w:tc>
          <w:tcPr>
            <w:tcW w:type="dxa" w:w="2379"/>
          </w:tcPr>
          <w:p>
            <w:r/>
            <w:r>
              <w:rPr>
                <w:rFonts w:ascii="Calibri" w:hAnsi="Calibri"/>
                <w:b w:val="0"/>
                <w:color w:val="1F2937"/>
                <w:sz w:val="19"/>
              </w:rPr>
              <w:t>DEELS (B9)</w:t>
            </w:r>
          </w:p>
        </w:tc>
      </w:tr>
      <w:tr>
        <w:tc>
          <w:tcPr>
            <w:tcW w:type="dxa" w:w="2379"/>
          </w:tcPr>
          <w:p>
            <w:r/>
            <w:r>
              <w:rPr>
                <w:rFonts w:ascii="Calibri" w:hAnsi="Calibri"/>
                <w:b w:val="0"/>
                <w:color w:val="1F2937"/>
                <w:sz w:val="19"/>
              </w:rPr>
              <w:t>F-4.5d</w:t>
            </w:r>
          </w:p>
        </w:tc>
        <w:tc>
          <w:tcPr>
            <w:tcW w:type="dxa" w:w="2379"/>
          </w:tcPr>
          <w:p>
            <w:r/>
            <w:r>
              <w:rPr>
                <w:rFonts w:ascii="Calibri" w:hAnsi="Calibri"/>
                <w:b w:val="0"/>
                <w:color w:val="1F2937"/>
                <w:sz w:val="19"/>
              </w:rPr>
              <w:t>Goede meldplicht bij vermoeden blootstelling (§4.3.3, §4.5.2)</w:t>
            </w:r>
          </w:p>
        </w:tc>
        <w:tc>
          <w:tcPr>
            <w:tcW w:type="dxa" w:w="2379"/>
          </w:tcPr>
          <w:p>
            <w:r/>
            <w:r>
              <w:rPr>
                <w:rFonts w:ascii="Calibri" w:hAnsi="Calibri"/>
                <w:b w:val="0"/>
                <w:color w:val="1F2937"/>
                <w:sz w:val="19"/>
              </w:rPr>
              <w:t>Art. 4.21-structuur</w:t>
            </w:r>
          </w:p>
        </w:tc>
        <w:tc>
          <w:tcPr>
            <w:tcW w:type="dxa" w:w="2379"/>
          </w:tcPr>
          <w:p>
            <w:r/>
            <w:r>
              <w:rPr>
                <w:rFonts w:ascii="Calibri" w:hAnsi="Calibri"/>
                <w:b w:val="0"/>
                <w:color w:val="1F2937"/>
                <w:sz w:val="19"/>
              </w:rPr>
              <w:t>DEELS (B6)</w:t>
            </w:r>
          </w:p>
        </w:tc>
      </w:tr>
    </w:tbl>
    <w:p>
      <w:pPr>
        <w:spacing w:after="40"/>
      </w:pPr>
    </w:p>
    <w:p>
      <w:pPr>
        <w:pStyle w:val="Heading2"/>
      </w:pPr>
      <w:r>
        <w:t>5.7 Sectie 5 — Monitoring, Review and Continuous Improvement</w:t>
      </w:r>
    </w:p>
    <w:p>
      <w:pPr>
        <w:spacing w:after="120"/>
      </w:pPr>
      <w:r>
        <w:rPr>
          <w:rFonts w:ascii="Calibri" w:hAnsi="Calibri"/>
          <w:b w:val="0"/>
          <w:i w:val="0"/>
          <w:sz w:val="22"/>
        </w:rPr>
        <w:t>§5 benoemt ‘review of exposure monitoring data’ en ‘exposure monitoring results’ als reviewtriggers voor de procedure zelf, en overweegt alternatieven voor perslucht en vacuumsystemen. Echter: er is geen meetstrategie gedefinieerd — geen baseline-/taakmetingen, geen meetfrequentie, geen bemonsteringsduur, geen toetskader (NEN-EN 689), geen verantwoordelijke, geen koppeling van resultaten aan de 1 µg/m³-grenswaarde. Zonder metingen kan ook niet worden aangetoond dat het ALARP-doel (§1) en het P3/PBM-regime (§4.5) adequaat zijn. Dit is B1 — de eerste P1-bevinding.</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F-5.1</w:t>
            </w:r>
          </w:p>
        </w:tc>
        <w:tc>
          <w:tcPr>
            <w:tcW w:type="dxa" w:w="2379"/>
          </w:tcPr>
          <w:p>
            <w:r/>
            <w:r>
              <w:rPr>
                <w:rFonts w:ascii="Calibri" w:hAnsi="Calibri"/>
                <w:b w:val="0"/>
                <w:color w:val="1F2937"/>
                <w:sz w:val="19"/>
              </w:rPr>
              <w:t>Meetstrategie conform NEN-EN 689/482</w:t>
            </w:r>
          </w:p>
        </w:tc>
        <w:tc>
          <w:tcPr>
            <w:tcW w:type="dxa" w:w="2379"/>
          </w:tcPr>
          <w:p>
            <w:r/>
            <w:r>
              <w:rPr>
                <w:rFonts w:ascii="Calibri" w:hAnsi="Calibri"/>
                <w:b w:val="0"/>
                <w:color w:val="1F2937"/>
                <w:sz w:val="19"/>
              </w:rPr>
              <w:t>Art. 4.2 lid 4</w:t>
            </w:r>
          </w:p>
        </w:tc>
        <w:tc>
          <w:tcPr>
            <w:tcW w:type="dxa" w:w="2379"/>
          </w:tcPr>
          <w:p>
            <w:r/>
            <w:r>
              <w:rPr>
                <w:rFonts w:ascii="Calibri" w:hAnsi="Calibri"/>
                <w:b w:val="0"/>
                <w:color w:val="1F2937"/>
                <w:sz w:val="19"/>
              </w:rPr>
              <w:t>ONTBREEKT (B1)</w:t>
            </w:r>
          </w:p>
        </w:tc>
      </w:tr>
      <w:tr>
        <w:tc>
          <w:tcPr>
            <w:tcW w:type="dxa" w:w="2379"/>
          </w:tcPr>
          <w:p>
            <w:r/>
            <w:r>
              <w:rPr>
                <w:rFonts w:ascii="Calibri" w:hAnsi="Calibri"/>
                <w:b w:val="0"/>
                <w:color w:val="1F2937"/>
                <w:sz w:val="19"/>
              </w:rPr>
              <w:t>F-5.2</w:t>
            </w:r>
          </w:p>
        </w:tc>
        <w:tc>
          <w:tcPr>
            <w:tcW w:type="dxa" w:w="2379"/>
          </w:tcPr>
          <w:p>
            <w:r/>
            <w:r>
              <w:rPr>
                <w:rFonts w:ascii="Calibri" w:hAnsi="Calibri"/>
                <w:b w:val="0"/>
                <w:color w:val="1F2937"/>
                <w:sz w:val="19"/>
              </w:rPr>
              <w:t>Toetsing meetresultaten aan 1 µg/m³</w:t>
            </w:r>
          </w:p>
        </w:tc>
        <w:tc>
          <w:tcPr>
            <w:tcW w:type="dxa" w:w="2379"/>
          </w:tcPr>
          <w:p>
            <w:r/>
            <w:r>
              <w:rPr>
                <w:rFonts w:ascii="Calibri" w:hAnsi="Calibri"/>
                <w:b w:val="0"/>
                <w:color w:val="1F2937"/>
                <w:sz w:val="19"/>
              </w:rPr>
              <w:t>SER-lijst</w:t>
            </w:r>
          </w:p>
        </w:tc>
        <w:tc>
          <w:tcPr>
            <w:tcW w:type="dxa" w:w="2379"/>
          </w:tcPr>
          <w:p>
            <w:r/>
            <w:r>
              <w:rPr>
                <w:rFonts w:ascii="Calibri" w:hAnsi="Calibri"/>
                <w:b w:val="0"/>
                <w:color w:val="1F2937"/>
                <w:sz w:val="19"/>
              </w:rPr>
              <w:t>ONTBREEKT (B1)</w:t>
            </w:r>
          </w:p>
        </w:tc>
      </w:tr>
      <w:tr>
        <w:tc>
          <w:tcPr>
            <w:tcW w:type="dxa" w:w="2379"/>
          </w:tcPr>
          <w:p>
            <w:r/>
            <w:r>
              <w:rPr>
                <w:rFonts w:ascii="Calibri" w:hAnsi="Calibri"/>
                <w:b w:val="0"/>
                <w:color w:val="1F2937"/>
                <w:sz w:val="19"/>
              </w:rPr>
              <w:t>F-5.3</w:t>
            </w:r>
          </w:p>
        </w:tc>
        <w:tc>
          <w:tcPr>
            <w:tcW w:type="dxa" w:w="2379"/>
          </w:tcPr>
          <w:p>
            <w:r/>
            <w:r>
              <w:rPr>
                <w:rFonts w:ascii="Calibri" w:hAnsi="Calibri"/>
                <w:b w:val="0"/>
                <w:color w:val="1F2937"/>
                <w:sz w:val="19"/>
              </w:rPr>
              <w:t>Registratie en bewaring meetgegevens (40 jr)</w:t>
            </w:r>
          </w:p>
        </w:tc>
        <w:tc>
          <w:tcPr>
            <w:tcW w:type="dxa" w:w="2379"/>
          </w:tcPr>
          <w:p>
            <w:r/>
            <w:r>
              <w:rPr>
                <w:rFonts w:ascii="Calibri" w:hAnsi="Calibri"/>
                <w:b w:val="0"/>
                <w:color w:val="1F2937"/>
                <w:sz w:val="19"/>
              </w:rPr>
              <w:t>Art. 4.10c</w:t>
            </w:r>
          </w:p>
        </w:tc>
        <w:tc>
          <w:tcPr>
            <w:tcW w:type="dxa" w:w="2379"/>
          </w:tcPr>
          <w:p>
            <w:r/>
            <w:r>
              <w:rPr>
                <w:rFonts w:ascii="Calibri" w:hAnsi="Calibri"/>
                <w:b w:val="0"/>
                <w:color w:val="1F2937"/>
                <w:sz w:val="19"/>
              </w:rPr>
              <w:t>ONTBREEKT (B3)</w:t>
            </w:r>
          </w:p>
        </w:tc>
      </w:tr>
      <w:tr>
        <w:tc>
          <w:tcPr>
            <w:tcW w:type="dxa" w:w="2379"/>
          </w:tcPr>
          <w:p>
            <w:r/>
            <w:r>
              <w:rPr>
                <w:rFonts w:ascii="Calibri" w:hAnsi="Calibri"/>
                <w:b w:val="0"/>
                <w:color w:val="1F2937"/>
                <w:sz w:val="19"/>
              </w:rPr>
              <w:t>F-5.4</w:t>
            </w:r>
          </w:p>
        </w:tc>
        <w:tc>
          <w:tcPr>
            <w:tcW w:type="dxa" w:w="2379"/>
          </w:tcPr>
          <w:p>
            <w:r/>
            <w:r>
              <w:rPr>
                <w:rFonts w:ascii="Calibri" w:hAnsi="Calibri"/>
                <w:b w:val="0"/>
                <w:color w:val="1F2937"/>
                <w:sz w:val="19"/>
              </w:rPr>
              <w:t>Continuous improvement-lus</w:t>
            </w:r>
          </w:p>
        </w:tc>
        <w:tc>
          <w:tcPr>
            <w:tcW w:type="dxa" w:w="2379"/>
          </w:tcPr>
          <w:p>
            <w:r/>
            <w:r>
              <w:rPr>
                <w:rFonts w:ascii="Calibri" w:hAnsi="Calibri"/>
                <w:b w:val="0"/>
                <w:color w:val="1F2937"/>
                <w:sz w:val="19"/>
              </w:rPr>
              <w:t>Eigen analyse</w:t>
            </w:r>
          </w:p>
        </w:tc>
        <w:tc>
          <w:tcPr>
            <w:tcW w:type="dxa" w:w="2379"/>
          </w:tcPr>
          <w:p>
            <w:r/>
            <w:r>
              <w:rPr>
                <w:rFonts w:ascii="Calibri" w:hAnsi="Calibri"/>
                <w:b w:val="0"/>
                <w:color w:val="1F2937"/>
                <w:sz w:val="19"/>
              </w:rPr>
              <w:t>CONFORM als beginsel</w:t>
            </w:r>
          </w:p>
        </w:tc>
      </w:tr>
    </w:tbl>
    <w:p>
      <w:pPr>
        <w:spacing w:after="40"/>
      </w:pPr>
    </w:p>
    <w:p>
      <w:pPr>
        <w:pStyle w:val="Heading2"/>
      </w:pPr>
      <w:r>
        <w:t>5.8 Sectie 6 — References</w:t>
      </w:r>
    </w:p>
    <w:p>
      <w:pPr>
        <w:spacing w:after="120"/>
      </w:pPr>
      <w:r>
        <w:rPr>
          <w:rFonts w:ascii="Calibri" w:hAnsi="Calibri"/>
          <w:b w:val="0"/>
          <w:i w:val="0"/>
          <w:sz w:val="22"/>
        </w:rPr>
        <w:t>De referentielijst bevat de juiste Nederlandse grenswaarde + streefrisico, het ‘most stringent requirement’-beginsel, de Belgische OEL, Richtlijn (EU) 2017/2398 en het Beheersregime Chroom-6. Ontbrekend: REACH Bijlage XIV (B8), de AI-bladen 67/31/18/77 (B10), NEN-EN 689/482 (B13) en datum/versie bij de interne referentie ‘Hoondert Study’ (B14).</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ID</w:t>
            </w:r>
          </w:p>
        </w:tc>
        <w:tc>
          <w:tcPr>
            <w:tcW w:type="dxa" w:w="3173"/>
            <w:shd w:val="clear" w:color="auto" w:fill="003366"/>
          </w:tcPr>
          <w:p>
            <w:r/>
            <w:r>
              <w:rPr>
                <w:rFonts w:ascii="Calibri" w:hAnsi="Calibri"/>
                <w:b/>
                <w:color w:val="FFFFFF"/>
                <w:sz w:val="19"/>
              </w:rPr>
              <w:t>Eis</w:t>
            </w:r>
          </w:p>
        </w:tc>
        <w:tc>
          <w:tcPr>
            <w:tcW w:type="dxa" w:w="3173"/>
            <w:shd w:val="clear" w:color="auto" w:fill="003366"/>
          </w:tcPr>
          <w:p>
            <w:r/>
            <w:r>
              <w:rPr>
                <w:rFonts w:ascii="Calibri" w:hAnsi="Calibri"/>
                <w:b/>
                <w:color w:val="FFFFFF"/>
                <w:sz w:val="19"/>
              </w:rPr>
              <w:t>Status</w:t>
            </w:r>
          </w:p>
        </w:tc>
      </w:tr>
      <w:tr>
        <w:tc>
          <w:tcPr>
            <w:tcW w:type="dxa" w:w="3173"/>
          </w:tcPr>
          <w:p>
            <w:r/>
            <w:r>
              <w:rPr>
                <w:rFonts w:ascii="Calibri" w:hAnsi="Calibri"/>
                <w:b w:val="0"/>
                <w:color w:val="1F2937"/>
                <w:sz w:val="19"/>
              </w:rPr>
              <w:t>F-6.1</w:t>
            </w:r>
          </w:p>
        </w:tc>
        <w:tc>
          <w:tcPr>
            <w:tcW w:type="dxa" w:w="3173"/>
          </w:tcPr>
          <w:p>
            <w:r/>
            <w:r>
              <w:rPr>
                <w:rFonts w:ascii="Calibri" w:hAnsi="Calibri"/>
                <w:b w:val="0"/>
                <w:color w:val="1F2937"/>
                <w:sz w:val="19"/>
              </w:rPr>
              <w:t>Grenswaarden correct vermeld (1 / 0,01 µg/m³; most stringent)</w:t>
            </w:r>
          </w:p>
        </w:tc>
        <w:tc>
          <w:tcPr>
            <w:tcW w:type="dxa" w:w="3173"/>
          </w:tcPr>
          <w:p>
            <w:r/>
            <w:r>
              <w:rPr>
                <w:rFonts w:ascii="Calibri" w:hAnsi="Calibri"/>
                <w:b w:val="0"/>
                <w:color w:val="1F2937"/>
                <w:sz w:val="19"/>
              </w:rPr>
              <w:t>CONFORM (B7)</w:t>
            </w:r>
          </w:p>
        </w:tc>
      </w:tr>
      <w:tr>
        <w:tc>
          <w:tcPr>
            <w:tcW w:type="dxa" w:w="3173"/>
          </w:tcPr>
          <w:p>
            <w:r/>
            <w:r>
              <w:rPr>
                <w:rFonts w:ascii="Calibri" w:hAnsi="Calibri"/>
                <w:b w:val="0"/>
                <w:color w:val="1F2937"/>
                <w:sz w:val="19"/>
              </w:rPr>
              <w:t>F-6.2</w:t>
            </w:r>
          </w:p>
        </w:tc>
        <w:tc>
          <w:tcPr>
            <w:tcW w:type="dxa" w:w="3173"/>
          </w:tcPr>
          <w:p>
            <w:r/>
            <w:r>
              <w:rPr>
                <w:rFonts w:ascii="Calibri" w:hAnsi="Calibri"/>
                <w:b w:val="0"/>
                <w:color w:val="1F2937"/>
                <w:sz w:val="19"/>
              </w:rPr>
              <w:t>REACH Bijlage XIV opgenomen</w:t>
            </w:r>
          </w:p>
        </w:tc>
        <w:tc>
          <w:tcPr>
            <w:tcW w:type="dxa" w:w="3173"/>
          </w:tcPr>
          <w:p>
            <w:r/>
            <w:r>
              <w:rPr>
                <w:rFonts w:ascii="Calibri" w:hAnsi="Calibri"/>
                <w:b w:val="0"/>
                <w:color w:val="1F2937"/>
                <w:sz w:val="19"/>
              </w:rPr>
              <w:t>ONTBREEKT (B8)</w:t>
            </w:r>
          </w:p>
        </w:tc>
      </w:tr>
      <w:tr>
        <w:tc>
          <w:tcPr>
            <w:tcW w:type="dxa" w:w="3173"/>
          </w:tcPr>
          <w:p>
            <w:r/>
            <w:r>
              <w:rPr>
                <w:rFonts w:ascii="Calibri" w:hAnsi="Calibri"/>
                <w:b w:val="0"/>
                <w:color w:val="1F2937"/>
                <w:sz w:val="19"/>
              </w:rPr>
              <w:t>F-6.3</w:t>
            </w:r>
          </w:p>
        </w:tc>
        <w:tc>
          <w:tcPr>
            <w:tcW w:type="dxa" w:w="3173"/>
          </w:tcPr>
          <w:p>
            <w:r/>
            <w:r>
              <w:rPr>
                <w:rFonts w:ascii="Calibri" w:hAnsi="Calibri"/>
                <w:b w:val="0"/>
                <w:color w:val="1F2937"/>
                <w:sz w:val="19"/>
              </w:rPr>
              <w:t>AI-bladen 67/31/18/77 opgenomen</w:t>
            </w:r>
          </w:p>
        </w:tc>
        <w:tc>
          <w:tcPr>
            <w:tcW w:type="dxa" w:w="3173"/>
          </w:tcPr>
          <w:p>
            <w:r/>
            <w:r>
              <w:rPr>
                <w:rFonts w:ascii="Calibri" w:hAnsi="Calibri"/>
                <w:b w:val="0"/>
                <w:color w:val="1F2937"/>
                <w:sz w:val="19"/>
              </w:rPr>
              <w:t>ONTBREEKT (B10)</w:t>
            </w:r>
          </w:p>
        </w:tc>
      </w:tr>
      <w:tr>
        <w:tc>
          <w:tcPr>
            <w:tcW w:type="dxa" w:w="3173"/>
          </w:tcPr>
          <w:p>
            <w:r/>
            <w:r>
              <w:rPr>
                <w:rFonts w:ascii="Calibri" w:hAnsi="Calibri"/>
                <w:b w:val="0"/>
                <w:color w:val="1F2937"/>
                <w:sz w:val="19"/>
              </w:rPr>
              <w:t>F-6.4</w:t>
            </w:r>
          </w:p>
        </w:tc>
        <w:tc>
          <w:tcPr>
            <w:tcW w:type="dxa" w:w="3173"/>
          </w:tcPr>
          <w:p>
            <w:r/>
            <w:r>
              <w:rPr>
                <w:rFonts w:ascii="Calibri" w:hAnsi="Calibri"/>
                <w:b w:val="0"/>
                <w:color w:val="1F2937"/>
                <w:sz w:val="19"/>
              </w:rPr>
              <w:t>NEN-EN 689/482 opgenomen</w:t>
            </w:r>
          </w:p>
        </w:tc>
        <w:tc>
          <w:tcPr>
            <w:tcW w:type="dxa" w:w="3173"/>
          </w:tcPr>
          <w:p>
            <w:r/>
            <w:r>
              <w:rPr>
                <w:rFonts w:ascii="Calibri" w:hAnsi="Calibri"/>
                <w:b w:val="0"/>
                <w:color w:val="1F2937"/>
                <w:sz w:val="19"/>
              </w:rPr>
              <w:t>ONTBREEKT (B13)</w:t>
            </w:r>
          </w:p>
        </w:tc>
      </w:tr>
      <w:tr>
        <w:tc>
          <w:tcPr>
            <w:tcW w:type="dxa" w:w="3173"/>
          </w:tcPr>
          <w:p>
            <w:r/>
            <w:r>
              <w:rPr>
                <w:rFonts w:ascii="Calibri" w:hAnsi="Calibri"/>
                <w:b w:val="0"/>
                <w:color w:val="1F2937"/>
                <w:sz w:val="19"/>
              </w:rPr>
              <w:t>F-6.5</w:t>
            </w:r>
          </w:p>
        </w:tc>
        <w:tc>
          <w:tcPr>
            <w:tcW w:type="dxa" w:w="3173"/>
          </w:tcPr>
          <w:p>
            <w:r/>
            <w:r>
              <w:rPr>
                <w:rFonts w:ascii="Calibri" w:hAnsi="Calibri"/>
                <w:b w:val="0"/>
                <w:color w:val="1F2937"/>
                <w:sz w:val="19"/>
              </w:rPr>
              <w:t>Interne referenties gedateerd/versienummer</w:t>
            </w:r>
          </w:p>
        </w:tc>
        <w:tc>
          <w:tcPr>
            <w:tcW w:type="dxa" w:w="3173"/>
          </w:tcPr>
          <w:p>
            <w:r/>
            <w:r>
              <w:rPr>
                <w:rFonts w:ascii="Calibri" w:hAnsi="Calibri"/>
                <w:b w:val="0"/>
                <w:color w:val="1F2937"/>
                <w:sz w:val="19"/>
              </w:rPr>
              <w:t>AFWIJK (B14)</w:t>
            </w:r>
          </w:p>
        </w:tc>
      </w:tr>
    </w:tbl>
    <w:p>
      <w:pPr>
        <w:spacing w:after="40"/>
      </w:pPr>
    </w:p>
    <w:p>
      <w:pPr>
        <w:pStyle w:val="Heading2"/>
      </w:pPr>
      <w:r>
        <w:t>5.9 Overlap-analyse — MSD 003-serie</w:t>
      </w:r>
    </w:p>
    <w:p>
      <w:pPr>
        <w:spacing w:after="120"/>
      </w:pPr>
      <w:r>
        <w:rPr>
          <w:rFonts w:ascii="Calibri" w:hAnsi="Calibri"/>
          <w:b w:val="0"/>
          <w:i w:val="0"/>
          <w:sz w:val="22"/>
        </w:rPr>
        <w:t>De vijf P1-hiaten van 003.056 zijn structureel identiek aan de CMR-tekortkomingen in 003.057 (kwik: AGO, register, bewaring ontbreken) en 003.059 (asbest: register, certificering, DTA ontbreken). Dit wijst op een systeemprobleem in de procedureserie: het KMR/CMR-zorgkader is niet doorvertaald in de operationele documenten. Aanbevolen wordt een horizontale correctie op serieniveau, met de herstelteksten uit de drie Tekstueel Verbeteradviezen.</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KMR-element</w:t>
            </w:r>
          </w:p>
        </w:tc>
        <w:tc>
          <w:tcPr>
            <w:tcW w:type="dxa" w:w="2379"/>
            <w:shd w:val="clear" w:color="auto" w:fill="003366"/>
          </w:tcPr>
          <w:p>
            <w:r/>
            <w:r>
              <w:rPr>
                <w:rFonts w:ascii="Calibri" w:hAnsi="Calibri"/>
                <w:b/>
                <w:color w:val="FFFFFF"/>
                <w:sz w:val="19"/>
              </w:rPr>
              <w:t>003.056 Cr(VI)</w:t>
            </w:r>
          </w:p>
        </w:tc>
        <w:tc>
          <w:tcPr>
            <w:tcW w:type="dxa" w:w="2379"/>
            <w:shd w:val="clear" w:color="auto" w:fill="003366"/>
          </w:tcPr>
          <w:p>
            <w:r/>
            <w:r>
              <w:rPr>
                <w:rFonts w:ascii="Calibri" w:hAnsi="Calibri"/>
                <w:b/>
                <w:color w:val="FFFFFF"/>
                <w:sz w:val="19"/>
              </w:rPr>
              <w:t>003.057 Kwik</w:t>
            </w:r>
          </w:p>
        </w:tc>
        <w:tc>
          <w:tcPr>
            <w:tcW w:type="dxa" w:w="2379"/>
            <w:shd w:val="clear" w:color="auto" w:fill="003366"/>
          </w:tcPr>
          <w:p>
            <w:r/>
            <w:r>
              <w:rPr>
                <w:rFonts w:ascii="Calibri" w:hAnsi="Calibri"/>
                <w:b/>
                <w:color w:val="FFFFFF"/>
                <w:sz w:val="19"/>
              </w:rPr>
              <w:t>003.059 Asbest</w:t>
            </w:r>
          </w:p>
        </w:tc>
      </w:tr>
      <w:tr>
        <w:tc>
          <w:tcPr>
            <w:tcW w:type="dxa" w:w="2379"/>
          </w:tcPr>
          <w:p>
            <w:r/>
            <w:r>
              <w:rPr>
                <w:rFonts w:ascii="Calibri" w:hAnsi="Calibri"/>
                <w:b w:val="0"/>
                <w:color w:val="1F2937"/>
                <w:sz w:val="19"/>
              </w:rPr>
              <w:t>Meetstrategie</w:t>
            </w:r>
          </w:p>
        </w:tc>
        <w:tc>
          <w:tcPr>
            <w:tcW w:type="dxa" w:w="2379"/>
          </w:tcPr>
          <w:p>
            <w:r/>
            <w:r>
              <w:rPr>
                <w:rFonts w:ascii="Calibri" w:hAnsi="Calibri"/>
                <w:b w:val="0"/>
                <w:color w:val="1F2937"/>
                <w:sz w:val="19"/>
              </w:rPr>
              <w:t>Ontbreekt (P1)</w:t>
            </w:r>
          </w:p>
        </w:tc>
        <w:tc>
          <w:tcPr>
            <w:tcW w:type="dxa" w:w="2379"/>
          </w:tcPr>
          <w:p>
            <w:r/>
            <w:r>
              <w:rPr>
                <w:rFonts w:ascii="Calibri" w:hAnsi="Calibri"/>
                <w:b w:val="0"/>
                <w:color w:val="1F2937"/>
                <w:sz w:val="19"/>
              </w:rPr>
              <w:t>Conform</w:t>
            </w:r>
          </w:p>
        </w:tc>
        <w:tc>
          <w:tcPr>
            <w:tcW w:type="dxa" w:w="2379"/>
          </w:tcPr>
          <w:p>
            <w:r/>
            <w:r>
              <w:rPr>
                <w:rFonts w:ascii="Calibri" w:hAnsi="Calibri"/>
                <w:b w:val="0"/>
                <w:color w:val="1F2937"/>
                <w:sz w:val="19"/>
              </w:rPr>
              <w:t>Deels</w:t>
            </w:r>
          </w:p>
        </w:tc>
      </w:tr>
      <w:tr>
        <w:tc>
          <w:tcPr>
            <w:tcW w:type="dxa" w:w="2379"/>
          </w:tcPr>
          <w:p>
            <w:r/>
            <w:r>
              <w:rPr>
                <w:rFonts w:ascii="Calibri" w:hAnsi="Calibri"/>
                <w:b w:val="0"/>
                <w:color w:val="1F2937"/>
                <w:sz w:val="19"/>
              </w:rPr>
              <w:t>AGO / medische surveillance</w:t>
            </w:r>
          </w:p>
        </w:tc>
        <w:tc>
          <w:tcPr>
            <w:tcW w:type="dxa" w:w="2379"/>
          </w:tcPr>
          <w:p>
            <w:r/>
            <w:r>
              <w:rPr>
                <w:rFonts w:ascii="Calibri" w:hAnsi="Calibri"/>
                <w:b w:val="0"/>
                <w:color w:val="1F2937"/>
                <w:sz w:val="19"/>
              </w:rPr>
              <w:t>Ontbreekt (P1)</w:t>
            </w:r>
          </w:p>
        </w:tc>
        <w:tc>
          <w:tcPr>
            <w:tcW w:type="dxa" w:w="2379"/>
          </w:tcPr>
          <w:p>
            <w:r/>
            <w:r>
              <w:rPr>
                <w:rFonts w:ascii="Calibri" w:hAnsi="Calibri"/>
                <w:b w:val="0"/>
                <w:color w:val="1F2937"/>
                <w:sz w:val="19"/>
              </w:rPr>
              <w:t>Ontbreekt (HOOG)</w:t>
            </w:r>
          </w:p>
        </w:tc>
        <w:tc>
          <w:tcPr>
            <w:tcW w:type="dxa" w:w="2379"/>
          </w:tcPr>
          <w:p>
            <w:r/>
            <w:r>
              <w:rPr>
                <w:rFonts w:ascii="Calibri" w:hAnsi="Calibri"/>
                <w:b w:val="0"/>
                <w:color w:val="1F2937"/>
                <w:sz w:val="19"/>
              </w:rPr>
              <w:t>Ontbreekt</w:t>
            </w:r>
          </w:p>
        </w:tc>
      </w:tr>
      <w:tr>
        <w:tc>
          <w:tcPr>
            <w:tcW w:type="dxa" w:w="2379"/>
          </w:tcPr>
          <w:p>
            <w:r/>
            <w:r>
              <w:rPr>
                <w:rFonts w:ascii="Calibri" w:hAnsi="Calibri"/>
                <w:b w:val="0"/>
                <w:color w:val="1F2937"/>
                <w:sz w:val="19"/>
              </w:rPr>
              <w:t>40-jaar bewaring</w:t>
            </w:r>
          </w:p>
        </w:tc>
        <w:tc>
          <w:tcPr>
            <w:tcW w:type="dxa" w:w="2379"/>
          </w:tcPr>
          <w:p>
            <w:r/>
            <w:r>
              <w:rPr>
                <w:rFonts w:ascii="Calibri" w:hAnsi="Calibri"/>
                <w:b w:val="0"/>
                <w:color w:val="1F2937"/>
                <w:sz w:val="19"/>
              </w:rPr>
              <w:t>Ontbreekt (P1)</w:t>
            </w:r>
          </w:p>
        </w:tc>
        <w:tc>
          <w:tcPr>
            <w:tcW w:type="dxa" w:w="2379"/>
          </w:tcPr>
          <w:p>
            <w:r/>
            <w:r>
              <w:rPr>
                <w:rFonts w:ascii="Calibri" w:hAnsi="Calibri"/>
                <w:b w:val="0"/>
                <w:color w:val="1F2937"/>
                <w:sz w:val="19"/>
              </w:rPr>
              <w:t>Ontbreekt</w:t>
            </w:r>
          </w:p>
        </w:tc>
        <w:tc>
          <w:tcPr>
            <w:tcW w:type="dxa" w:w="2379"/>
          </w:tcPr>
          <w:p>
            <w:r/>
            <w:r>
              <w:rPr>
                <w:rFonts w:ascii="Calibri" w:hAnsi="Calibri"/>
                <w:b w:val="0"/>
                <w:color w:val="1F2937"/>
                <w:sz w:val="19"/>
              </w:rPr>
              <w:t>Deels</w:t>
            </w:r>
          </w:p>
        </w:tc>
      </w:tr>
      <w:tr>
        <w:tc>
          <w:tcPr>
            <w:tcW w:type="dxa" w:w="2379"/>
          </w:tcPr>
          <w:p>
            <w:r/>
            <w:r>
              <w:rPr>
                <w:rFonts w:ascii="Calibri" w:hAnsi="Calibri"/>
                <w:b w:val="0"/>
                <w:color w:val="1F2937"/>
                <w:sz w:val="19"/>
              </w:rPr>
              <w:t>Blootstellingsregister</w:t>
            </w:r>
          </w:p>
        </w:tc>
        <w:tc>
          <w:tcPr>
            <w:tcW w:type="dxa" w:w="2379"/>
          </w:tcPr>
          <w:p>
            <w:r/>
            <w:r>
              <w:rPr>
                <w:rFonts w:ascii="Calibri" w:hAnsi="Calibri"/>
                <w:b w:val="0"/>
                <w:color w:val="1F2937"/>
                <w:sz w:val="19"/>
              </w:rPr>
              <w:t>Ontbreekt (P1)</w:t>
            </w:r>
          </w:p>
        </w:tc>
        <w:tc>
          <w:tcPr>
            <w:tcW w:type="dxa" w:w="2379"/>
          </w:tcPr>
          <w:p>
            <w:r/>
            <w:r>
              <w:rPr>
                <w:rFonts w:ascii="Calibri" w:hAnsi="Calibri"/>
                <w:b w:val="0"/>
                <w:color w:val="1F2937"/>
                <w:sz w:val="19"/>
              </w:rPr>
              <w:t>Ontbreekt (HOOG)</w:t>
            </w:r>
          </w:p>
        </w:tc>
        <w:tc>
          <w:tcPr>
            <w:tcW w:type="dxa" w:w="2379"/>
          </w:tcPr>
          <w:p>
            <w:r/>
            <w:r>
              <w:rPr>
                <w:rFonts w:ascii="Calibri" w:hAnsi="Calibri"/>
                <w:b w:val="0"/>
                <w:color w:val="1F2937"/>
                <w:sz w:val="19"/>
              </w:rPr>
              <w:t>Ontbreekt</w:t>
            </w:r>
          </w:p>
        </w:tc>
      </w:tr>
      <w:tr>
        <w:tc>
          <w:tcPr>
            <w:tcW w:type="dxa" w:w="2379"/>
          </w:tcPr>
          <w:p>
            <w:r/>
            <w:r>
              <w:rPr>
                <w:rFonts w:ascii="Calibri" w:hAnsi="Calibri"/>
                <w:b w:val="0"/>
                <w:color w:val="1F2937"/>
                <w:sz w:val="19"/>
              </w:rPr>
              <w:t>RI&amp;E-verankering</w:t>
            </w:r>
          </w:p>
        </w:tc>
        <w:tc>
          <w:tcPr>
            <w:tcW w:type="dxa" w:w="2379"/>
          </w:tcPr>
          <w:p>
            <w:r/>
            <w:r>
              <w:rPr>
                <w:rFonts w:ascii="Calibri" w:hAnsi="Calibri"/>
                <w:b w:val="0"/>
                <w:color w:val="1F2937"/>
                <w:sz w:val="19"/>
              </w:rPr>
              <w:t>Ontbreekt (P1)</w:t>
            </w:r>
          </w:p>
        </w:tc>
        <w:tc>
          <w:tcPr>
            <w:tcW w:type="dxa" w:w="2379"/>
          </w:tcPr>
          <w:p>
            <w:r/>
            <w:r>
              <w:rPr>
                <w:rFonts w:ascii="Calibri" w:hAnsi="Calibri"/>
                <w:b w:val="0"/>
                <w:color w:val="1F2937"/>
                <w:sz w:val="19"/>
              </w:rPr>
              <w:t>Deels</w:t>
            </w:r>
          </w:p>
        </w:tc>
        <w:tc>
          <w:tcPr>
            <w:tcW w:type="dxa" w:w="2379"/>
          </w:tcPr>
          <w:p>
            <w:r/>
            <w:r>
              <w:rPr>
                <w:rFonts w:ascii="Calibri" w:hAnsi="Calibri"/>
                <w:b w:val="0"/>
                <w:color w:val="1F2937"/>
                <w:sz w:val="19"/>
              </w:rPr>
              <w:t>Deels</w:t>
            </w:r>
          </w:p>
        </w:tc>
      </w:tr>
      <w:tr>
        <w:tc>
          <w:tcPr>
            <w:tcW w:type="dxa" w:w="2379"/>
          </w:tcPr>
          <w:p>
            <w:r/>
            <w:r>
              <w:rPr>
                <w:rFonts w:ascii="Calibri" w:hAnsi="Calibri"/>
                <w:b w:val="0"/>
                <w:color w:val="1F2937"/>
                <w:sz w:val="19"/>
              </w:rPr>
              <w:t>Grenswaarde correct</w:t>
            </w:r>
          </w:p>
        </w:tc>
        <w:tc>
          <w:tcPr>
            <w:tcW w:type="dxa" w:w="2379"/>
          </w:tcPr>
          <w:p>
            <w:r/>
            <w:r>
              <w:rPr>
                <w:rFonts w:ascii="Calibri" w:hAnsi="Calibri"/>
                <w:b w:val="0"/>
                <w:color w:val="1F2937"/>
                <w:sz w:val="19"/>
              </w:rPr>
              <w:t>Conform</w:t>
            </w:r>
          </w:p>
        </w:tc>
        <w:tc>
          <w:tcPr>
            <w:tcW w:type="dxa" w:w="2379"/>
          </w:tcPr>
          <w:p>
            <w:r/>
            <w:r>
              <w:rPr>
                <w:rFonts w:ascii="Calibri" w:hAnsi="Calibri"/>
                <w:b w:val="0"/>
                <w:color w:val="1F2937"/>
                <w:sz w:val="19"/>
              </w:rPr>
              <w:t>Conform</w:t>
            </w:r>
          </w:p>
        </w:tc>
        <w:tc>
          <w:tcPr>
            <w:tcW w:type="dxa" w:w="2379"/>
          </w:tcPr>
          <w:p>
            <w:r/>
            <w:r>
              <w:rPr>
                <w:rFonts w:ascii="Calibri" w:hAnsi="Calibri"/>
                <w:b w:val="0"/>
                <w:color w:val="1F2937"/>
                <w:sz w:val="19"/>
              </w:rPr>
              <w:t>Ontbreekt</w:t>
            </w:r>
          </w:p>
        </w:tc>
      </w:tr>
    </w:tbl>
    <w:p>
      <w:pPr>
        <w:spacing w:after="40"/>
      </w:pPr>
    </w:p>
    <w:p>
      <w:pPr>
        <w:pStyle w:val="Heading1"/>
      </w:pPr>
      <w:r>
        <w:t>5A. Artikelsgewijze verdieping per wetsartikel (B1-B14)</w:t>
      </w:r>
    </w:p>
    <w:p>
      <w:pPr>
        <w:spacing w:after="120"/>
      </w:pPr>
      <w:r>
        <w:rPr>
          <w:rFonts w:ascii="Calibri" w:hAnsi="Calibri"/>
          <w:b w:val="0"/>
          <w:i w:val="0"/>
          <w:sz w:val="22"/>
        </w:rPr>
        <w:t>Dit onderdeel toetst de eisen één voor één aan het brondocument: wettelijke eis, bevinding, status en oordeel. De tekst is ontleend aan het bevindingenregister van de audit (B1-B14).</w:t>
      </w:r>
    </w:p>
    <w:p>
      <w:pPr>
        <w:pStyle w:val="Heading2"/>
      </w:pPr>
      <w:r>
        <w:t>B1 — Meetstrategie en toetsing grenswaarde (P1)</w:t>
      </w:r>
    </w:p>
    <w:p>
      <w:pPr>
        <w:spacing w:after="120"/>
      </w:pPr>
      <w:r>
        <w:rPr>
          <w:rFonts w:ascii="Calibri" w:hAnsi="Calibri"/>
          <w:b/>
          <w:sz w:val="22"/>
        </w:rPr>
        <w:t xml:space="preserve">Wettelijke eis / kader:  </w:t>
      </w:r>
      <w:r>
        <w:rPr>
          <w:rFonts w:ascii="Calibri" w:hAnsi="Calibri"/>
          <w:sz w:val="22"/>
        </w:rPr>
        <w:t>Arbobesluit art. 4.2 lid 4 — blootstelling wordt beoordeeld en gemeten volgens een meetstrategie conform NEN-EN 689; meetprocedures conform NEN-EN 482; toetsing aan de wettelijke grenswaarde van 1 µg/m³ (drempelwaarde sinds 1 maart 2017) [3].</w:t>
      </w:r>
    </w:p>
    <w:p>
      <w:pPr>
        <w:spacing w:after="120"/>
      </w:pPr>
      <w:r>
        <w:rPr>
          <w:rFonts w:ascii="Calibri" w:hAnsi="Calibri"/>
          <w:b/>
          <w:sz w:val="22"/>
        </w:rPr>
        <w:t xml:space="preserve">Bevinding in het brondocument:  </w:t>
      </w:r>
      <w:r>
        <w:rPr>
          <w:rFonts w:ascii="Calibri" w:hAnsi="Calibri"/>
          <w:sz w:val="22"/>
        </w:rPr>
        <w:t>Het brondocument noemt in §5 (Monitoring and Review) als mogelijke monitoringactiviteiten “review of exposure monitoring data” en “exposure monitoring results” als reviewtrigger voor de procedure zelf. Er is geen meetstrategie gedefinieerd: geen baseline-/taakmetingen, geen meetfrequentie, geen bemonsteringsduur, geen toetskader (bijv. het NEN-EN 689-toetskader waarbij bij 3 metingen alle waarden &lt; 10% van de grenswaarde voldoende zekerheid biedt), geen verantwoordelijke voor metingen en geen koppeling van meetresultaten aan de 1 µg/m³-grenswaarde. Zonder metingen kan ook niet worden aangetoond dat het ALARP-doel (§1) en het P3/PBM-regime (§4.5) adequaat zijn.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Aspect</w:t>
            </w:r>
          </w:p>
        </w:tc>
        <w:tc>
          <w:tcPr>
            <w:tcW w:type="dxa" w:w="4759"/>
            <w:shd w:val="clear" w:color="auto" w:fill="003366"/>
          </w:tcPr>
          <w:p>
            <w:r/>
            <w:r>
              <w:rPr>
                <w:rFonts w:ascii="Calibri" w:hAnsi="Calibri"/>
                <w:b/>
                <w:color w:val="FFFFFF"/>
                <w:sz w:val="19"/>
              </w:rPr>
              <w:t>Status</w:t>
            </w:r>
          </w:p>
        </w:tc>
      </w:tr>
      <w:tr>
        <w:tc>
          <w:tcPr>
            <w:tcW w:type="dxa" w:w="4759"/>
          </w:tcPr>
          <w:p>
            <w:r/>
            <w:r>
              <w:rPr>
                <w:rFonts w:ascii="Calibri" w:hAnsi="Calibri"/>
                <w:b w:val="0"/>
                <w:color w:val="1F2937"/>
                <w:sz w:val="19"/>
              </w:rPr>
              <w:t>Klassificatie</w:t>
            </w:r>
          </w:p>
        </w:tc>
        <w:tc>
          <w:tcPr>
            <w:tcW w:type="dxa" w:w="4759"/>
          </w:tcPr>
          <w:p>
            <w:r/>
            <w:r>
              <w:rPr>
                <w:rFonts w:ascii="Calibri" w:hAnsi="Calibri"/>
                <w:b w:val="0"/>
                <w:color w:val="1F2937"/>
                <w:sz w:val="19"/>
              </w:rPr>
              <w:t>P1 — wettelijk verplicht, ontbreekt.</w:t>
            </w:r>
          </w:p>
        </w:tc>
      </w:tr>
    </w:tbl>
    <w:p>
      <w:pPr>
        <w:spacing w:after="40"/>
      </w:pPr>
    </w:p>
    <w:p>
      <w:pPr>
        <w:pStyle w:val="Heading2"/>
      </w:pPr>
      <w:r>
        <w:t>B2 — Arbeidsgezondheidskundig onderzoek / AGO (P1)</w:t>
      </w:r>
    </w:p>
    <w:p>
      <w:pPr>
        <w:spacing w:after="120"/>
      </w:pPr>
      <w:r>
        <w:rPr>
          <w:rFonts w:ascii="Calibri" w:hAnsi="Calibri"/>
          <w:b/>
          <w:sz w:val="22"/>
        </w:rPr>
        <w:t xml:space="preserve">Wettelijke eis / kader:  </w:t>
      </w:r>
      <w:r>
        <w:rPr>
          <w:rFonts w:ascii="Calibri" w:hAnsi="Calibri"/>
          <w:sz w:val="22"/>
        </w:rPr>
        <w:t>Arbobesluit art. 4.10a — werknemers die blootstelling ondervinden aan kankerverwekkende stoffen hebben recht op arbeidsgezondheidskundig onderzoek, bij voorkeur vóór aanvang van de blootstellingswerkzaamheden en periodiek daarna.</w:t>
      </w:r>
    </w:p>
    <w:p>
      <w:pPr>
        <w:spacing w:after="120"/>
      </w:pPr>
      <w:r>
        <w:rPr>
          <w:rFonts w:ascii="Calibri" w:hAnsi="Calibri"/>
          <w:b/>
          <w:sz w:val="22"/>
        </w:rPr>
        <w:t xml:space="preserve">Bevinding in het brondocument:  </w:t>
      </w:r>
      <w:r>
        <w:rPr>
          <w:rFonts w:ascii="Calibri" w:hAnsi="Calibri"/>
          <w:sz w:val="22"/>
        </w:rPr>
        <w:t>Het brondocument bevat nergens een verwijzing naar (P)AGO, bedrijfsarts, medische keuring of gezondheidssurveillance. De rollen in §3 bevatten geen arbodienst-/bedrijfsartsrol.</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Aspect</w:t>
            </w:r>
          </w:p>
        </w:tc>
        <w:tc>
          <w:tcPr>
            <w:tcW w:type="dxa" w:w="4759"/>
            <w:shd w:val="clear" w:color="auto" w:fill="003366"/>
          </w:tcPr>
          <w:p>
            <w:r/>
            <w:r>
              <w:rPr>
                <w:rFonts w:ascii="Calibri" w:hAnsi="Calibri"/>
                <w:b/>
                <w:color w:val="FFFFFF"/>
                <w:sz w:val="19"/>
              </w:rPr>
              <w:t>Status</w:t>
            </w:r>
          </w:p>
        </w:tc>
      </w:tr>
      <w:tr>
        <w:tc>
          <w:tcPr>
            <w:tcW w:type="dxa" w:w="4759"/>
          </w:tcPr>
          <w:p>
            <w:r/>
            <w:r>
              <w:rPr>
                <w:rFonts w:ascii="Calibri" w:hAnsi="Calibri"/>
                <w:b w:val="0"/>
                <w:color w:val="1F2937"/>
                <w:sz w:val="19"/>
              </w:rPr>
              <w:t>Klassificatie</w:t>
            </w:r>
          </w:p>
        </w:tc>
        <w:tc>
          <w:tcPr>
            <w:tcW w:type="dxa" w:w="4759"/>
          </w:tcPr>
          <w:p>
            <w:r/>
            <w:r>
              <w:rPr>
                <w:rFonts w:ascii="Calibri" w:hAnsi="Calibri"/>
                <w:b w:val="0"/>
                <w:color w:val="1F2937"/>
                <w:sz w:val="19"/>
              </w:rPr>
              <w:t>P1 — wettelijk verplicht, ontbreekt.</w:t>
            </w:r>
          </w:p>
        </w:tc>
      </w:tr>
    </w:tbl>
    <w:p>
      <w:pPr>
        <w:spacing w:after="40"/>
      </w:pPr>
    </w:p>
    <w:p>
      <w:pPr>
        <w:pStyle w:val="Heading2"/>
      </w:pPr>
      <w:r>
        <w:t>B3 — Bewaartermijn blootstellingsgegevens (P1)</w:t>
      </w:r>
    </w:p>
    <w:p>
      <w:pPr>
        <w:spacing w:after="120"/>
      </w:pPr>
      <w:r>
        <w:rPr>
          <w:rFonts w:ascii="Calibri" w:hAnsi="Calibri"/>
          <w:b/>
          <w:sz w:val="22"/>
        </w:rPr>
        <w:t xml:space="preserve">Wettelijke eis / kader:  </w:t>
      </w:r>
      <w:r>
        <w:rPr>
          <w:rFonts w:ascii="Calibri" w:hAnsi="Calibri"/>
          <w:sz w:val="22"/>
        </w:rPr>
        <w:t>Arbobesluit art. 4.10c — gegevens over blootstelling en meetresultaten worden bewaard en beschikbaar gehouden gedurende 40 jaar na beëindiging van de blootstelling [3].</w:t>
      </w:r>
    </w:p>
    <w:p>
      <w:pPr>
        <w:spacing w:after="120"/>
      </w:pPr>
      <w:r>
        <w:rPr>
          <w:rFonts w:ascii="Calibri" w:hAnsi="Calibri"/>
          <w:b/>
          <w:sz w:val="22"/>
        </w:rPr>
        <w:t xml:space="preserve">Bevinding in het brondocument:  </w:t>
      </w:r>
      <w:r>
        <w:rPr>
          <w:rFonts w:ascii="Calibri" w:hAnsi="Calibri"/>
          <w:sz w:val="22"/>
        </w:rPr>
        <w:t>Geen enkele bepaling over registratie-, bewaar- of overdrachtplicht van blootstellings- en meetgegevens. Ook de projectafschaling (decommissioning = tijdelijk project) maakt een overdrachtsregeling naar het KOO-dossier noodzakelijk.</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Aspect</w:t>
            </w:r>
          </w:p>
        </w:tc>
        <w:tc>
          <w:tcPr>
            <w:tcW w:type="dxa" w:w="4759"/>
            <w:shd w:val="clear" w:color="auto" w:fill="003366"/>
          </w:tcPr>
          <w:p>
            <w:r/>
            <w:r>
              <w:rPr>
                <w:rFonts w:ascii="Calibri" w:hAnsi="Calibri"/>
                <w:b/>
                <w:color w:val="FFFFFF"/>
                <w:sz w:val="19"/>
              </w:rPr>
              <w:t>Status</w:t>
            </w:r>
          </w:p>
        </w:tc>
      </w:tr>
      <w:tr>
        <w:tc>
          <w:tcPr>
            <w:tcW w:type="dxa" w:w="4759"/>
          </w:tcPr>
          <w:p>
            <w:r/>
            <w:r>
              <w:rPr>
                <w:rFonts w:ascii="Calibri" w:hAnsi="Calibri"/>
                <w:b w:val="0"/>
                <w:color w:val="1F2937"/>
                <w:sz w:val="19"/>
              </w:rPr>
              <w:t>Klassificatie</w:t>
            </w:r>
          </w:p>
        </w:tc>
        <w:tc>
          <w:tcPr>
            <w:tcW w:type="dxa" w:w="4759"/>
          </w:tcPr>
          <w:p>
            <w:r/>
            <w:r>
              <w:rPr>
                <w:rFonts w:ascii="Calibri" w:hAnsi="Calibri"/>
                <w:b w:val="0"/>
                <w:color w:val="1F2937"/>
                <w:sz w:val="19"/>
              </w:rPr>
              <w:t>P1 — wettelijk verplicht, ontbreekt.</w:t>
            </w:r>
          </w:p>
        </w:tc>
      </w:tr>
    </w:tbl>
    <w:p>
      <w:pPr>
        <w:spacing w:after="40"/>
      </w:pPr>
    </w:p>
    <w:p>
      <w:pPr>
        <w:pStyle w:val="Heading2"/>
      </w:pPr>
      <w:r>
        <w:t>B4 — RI&amp;E inclusief tox-elementen en vervangingsonderbouwing (P1)</w:t>
      </w:r>
    </w:p>
    <w:p>
      <w:pPr>
        <w:spacing w:after="120"/>
      </w:pPr>
      <w:r>
        <w:rPr>
          <w:rFonts w:ascii="Calibri" w:hAnsi="Calibri"/>
          <w:b/>
          <w:sz w:val="22"/>
        </w:rPr>
        <w:t xml:space="preserve">Wettelijke eis / kader:  </w:t>
      </w:r>
      <w:r>
        <w:rPr>
          <w:rFonts w:ascii="Calibri" w:hAnsi="Calibri"/>
          <w:sz w:val="22"/>
        </w:rPr>
        <w:t>Arbobesluit art. 4.13 — de werkgever documenteert in de RI&amp;E onder meer aard, mate en duur van de blootstelling (art. 4.2 lid 1), de genomen maatregelen, en de gevallen waarin kankerverwekkende stoffen worden vervangen dan wel waarom vervanging (nog) niet mogelijk is. Voor chroom-6 geldt als belangrijkste inspanningsverplichting het vervangen van de stof [3].</w:t>
      </w:r>
    </w:p>
    <w:p>
      <w:pPr>
        <w:spacing w:after="120"/>
      </w:pPr>
      <w:r>
        <w:rPr>
          <w:rFonts w:ascii="Calibri" w:hAnsi="Calibri"/>
          <w:b/>
          <w:sz w:val="22"/>
        </w:rPr>
        <w:t xml:space="preserve">Bevinding in het brondocument:  </w:t>
      </w:r>
      <w:r>
        <w:rPr>
          <w:rFonts w:ascii="Calibri" w:hAnsi="Calibri"/>
          <w:sz w:val="22"/>
        </w:rPr>
        <w:t>§4.4 verplicht dat risico's worden “addressed in the relevant TRA/JSA and Permit to Work”. Een TRA/JSA is echter een taakgebonden risicobeoordeling en vult de RI&amp;E-registratieplicht (met aard/mate/duur, hoeveelheden, aantal blootgestelde werknemers, arbeidsvorm) niet in. Een vervangings-/bronmaatregeloverweging (bijv. “koude snijtechniek i.p.v. thermisch snijden”) ontbreekt — terwijl §5 (Continuous Improvement) alternatieven voor perslucht en vacuumsystemen wel overweegt, wordt de substitutie-/bronmaatregelafweging nergens als verplichte documentatiestap verankerd.</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Aspect</w:t>
            </w:r>
          </w:p>
        </w:tc>
        <w:tc>
          <w:tcPr>
            <w:tcW w:type="dxa" w:w="4759"/>
            <w:shd w:val="clear" w:color="auto" w:fill="003366"/>
          </w:tcPr>
          <w:p>
            <w:r/>
            <w:r>
              <w:rPr>
                <w:rFonts w:ascii="Calibri" w:hAnsi="Calibri"/>
                <w:b/>
                <w:color w:val="FFFFFF"/>
                <w:sz w:val="19"/>
              </w:rPr>
              <w:t>Status</w:t>
            </w:r>
          </w:p>
        </w:tc>
      </w:tr>
      <w:tr>
        <w:tc>
          <w:tcPr>
            <w:tcW w:type="dxa" w:w="4759"/>
          </w:tcPr>
          <w:p>
            <w:r/>
            <w:r>
              <w:rPr>
                <w:rFonts w:ascii="Calibri" w:hAnsi="Calibri"/>
                <w:b w:val="0"/>
                <w:color w:val="1F2937"/>
                <w:sz w:val="19"/>
              </w:rPr>
              <w:t>Klassificatie</w:t>
            </w:r>
          </w:p>
        </w:tc>
        <w:tc>
          <w:tcPr>
            <w:tcW w:type="dxa" w:w="4759"/>
          </w:tcPr>
          <w:p>
            <w:r/>
            <w:r>
              <w:rPr>
                <w:rFonts w:ascii="Calibri" w:hAnsi="Calibri"/>
                <w:b w:val="0"/>
                <w:color w:val="1F2937"/>
                <w:sz w:val="19"/>
              </w:rPr>
              <w:t>P1 — wettelijk verplichte registratie- en onderbouwingselementen ontbreken.</w:t>
            </w:r>
          </w:p>
        </w:tc>
      </w:tr>
    </w:tbl>
    <w:p>
      <w:pPr>
        <w:spacing w:after="40"/>
      </w:pPr>
    </w:p>
    <w:p>
      <w:pPr>
        <w:pStyle w:val="Heading2"/>
      </w:pPr>
      <w:r>
        <w:t>B5 — Lijst van blootgestelde werknemers (P1)</w:t>
      </w:r>
    </w:p>
    <w:p>
      <w:pPr>
        <w:spacing w:after="120"/>
      </w:pPr>
      <w:r>
        <w:rPr>
          <w:rFonts w:ascii="Calibri" w:hAnsi="Calibri"/>
          <w:b/>
          <w:sz w:val="22"/>
        </w:rPr>
        <w:t xml:space="preserve">Wettelijke eis / kader:  </w:t>
      </w:r>
      <w:r>
        <w:rPr>
          <w:rFonts w:ascii="Calibri" w:hAnsi="Calibri"/>
          <w:sz w:val="22"/>
        </w:rPr>
        <w:t>Arbobesluit art. 4.15 — een lijst wordt bijgehouden van werknemers die worden of kunnen worden blootgesteld, onder vermelding van de ondergane blootstelling; werknemers hebben inzage- en afschriftrecht [3].</w:t>
      </w:r>
    </w:p>
    <w:p>
      <w:pPr>
        <w:spacing w:after="120"/>
      </w:pPr>
      <w:r>
        <w:rPr>
          <w:rFonts w:ascii="Calibri" w:hAnsi="Calibri"/>
          <w:b/>
          <w:sz w:val="22"/>
        </w:rPr>
        <w:t xml:space="preserve">Bevinding in het brondocument:  </w:t>
      </w:r>
      <w:r>
        <w:rPr>
          <w:rFonts w:ascii="Calibri" w:hAnsi="Calibri"/>
          <w:sz w:val="22"/>
        </w:rPr>
        <w:t>Volledig afwezig. Geen registratieplicht van blootgesteld personeel (eigen personeel én subcontractors — §3 verplicht contractors wel tot naleving van de procedure, waardoor de lijstverplichting doorloopt in de keten), geen inzagerecht-regeling.</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Aspect</w:t>
            </w:r>
          </w:p>
        </w:tc>
        <w:tc>
          <w:tcPr>
            <w:tcW w:type="dxa" w:w="4759"/>
            <w:shd w:val="clear" w:color="auto" w:fill="003366"/>
          </w:tcPr>
          <w:p>
            <w:r/>
            <w:r>
              <w:rPr>
                <w:rFonts w:ascii="Calibri" w:hAnsi="Calibri"/>
                <w:b/>
                <w:color w:val="FFFFFF"/>
                <w:sz w:val="19"/>
              </w:rPr>
              <w:t>Status</w:t>
            </w:r>
          </w:p>
        </w:tc>
      </w:tr>
      <w:tr>
        <w:tc>
          <w:tcPr>
            <w:tcW w:type="dxa" w:w="4759"/>
          </w:tcPr>
          <w:p>
            <w:r/>
            <w:r>
              <w:rPr>
                <w:rFonts w:ascii="Calibri" w:hAnsi="Calibri"/>
                <w:b w:val="0"/>
                <w:color w:val="1F2937"/>
                <w:sz w:val="19"/>
              </w:rPr>
              <w:t>Klassificatie</w:t>
            </w:r>
          </w:p>
        </w:tc>
        <w:tc>
          <w:tcPr>
            <w:tcW w:type="dxa" w:w="4759"/>
          </w:tcPr>
          <w:p>
            <w:r/>
            <w:r>
              <w:rPr>
                <w:rFonts w:ascii="Calibri" w:hAnsi="Calibri"/>
                <w:b w:val="0"/>
                <w:color w:val="1F2937"/>
                <w:sz w:val="19"/>
              </w:rPr>
              <w:t>P1 — wettelijk verplicht, ontbreekt.</w:t>
            </w:r>
          </w:p>
        </w:tc>
      </w:tr>
    </w:tbl>
    <w:p>
      <w:pPr>
        <w:spacing w:after="40"/>
      </w:pPr>
    </w:p>
    <w:p>
      <w:pPr>
        <w:pStyle w:val="Heading2"/>
      </w:pPr>
      <w:r>
        <w:t>B6 — Abnormale blootstelling en OR/PVT-informering (P2)</w:t>
      </w:r>
    </w:p>
    <w:p>
      <w:pPr>
        <w:spacing w:after="120"/>
      </w:pPr>
      <w:r>
        <w:rPr>
          <w:rFonts w:ascii="Calibri" w:hAnsi="Calibri"/>
          <w:b/>
          <w:sz w:val="22"/>
        </w:rPr>
        <w:t xml:space="preserve">Wettelijke eis / kader:  </w:t>
      </w:r>
      <w:r>
        <w:rPr>
          <w:rFonts w:ascii="Calibri" w:hAnsi="Calibri"/>
          <w:sz w:val="22"/>
        </w:rPr>
        <w:t>Arbobesluit art. 4.21 — bij abnormale blootstelling (onder andere overschrijding grenswaarde, incidenten) worden werknemers onmiddellijk geïnformeerd, maatregelen genomen en de OR/PVT ingeschakeld; bij plan van aanpak rond kankerverwekkende stoffen is OR/PVT-betrokkenheid vereist (art. 4.13).</w:t>
      </w:r>
    </w:p>
    <w:p>
      <w:pPr>
        <w:spacing w:after="120"/>
      </w:pPr>
      <w:r>
        <w:rPr>
          <w:rFonts w:ascii="Calibri" w:hAnsi="Calibri"/>
          <w:b/>
          <w:sz w:val="22"/>
        </w:rPr>
        <w:t xml:space="preserve">Bevinding in het brondocument:  </w:t>
      </w:r>
      <w:r>
        <w:rPr>
          <w:rFonts w:ascii="Calibri" w:hAnsi="Calibri"/>
          <w:sz w:val="22"/>
        </w:rPr>
        <w:t>§4.3.3 en §4.5.2 bevatten een goede meldplicht aan de leidinggevende (“stop work and inform supervision”). Het formele kanaal naar OR/PVT (of PVT-equivalent offshore) en de diagnose-/onderzoeksstap na (mogelijke) overschrijding ontbreken.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Aspect</w:t>
            </w:r>
          </w:p>
        </w:tc>
        <w:tc>
          <w:tcPr>
            <w:tcW w:type="dxa" w:w="4759"/>
            <w:shd w:val="clear" w:color="auto" w:fill="003366"/>
          </w:tcPr>
          <w:p>
            <w:r/>
            <w:r>
              <w:rPr>
                <w:rFonts w:ascii="Calibri" w:hAnsi="Calibri"/>
                <w:b/>
                <w:color w:val="FFFFFF"/>
                <w:sz w:val="19"/>
              </w:rPr>
              <w:t>Status</w:t>
            </w:r>
          </w:p>
        </w:tc>
      </w:tr>
      <w:tr>
        <w:tc>
          <w:tcPr>
            <w:tcW w:type="dxa" w:w="4759"/>
          </w:tcPr>
          <w:p>
            <w:r/>
            <w:r>
              <w:rPr>
                <w:rFonts w:ascii="Calibri" w:hAnsi="Calibri"/>
                <w:b w:val="0"/>
                <w:color w:val="1F2937"/>
                <w:sz w:val="19"/>
              </w:rPr>
              <w:t>Klassificatie</w:t>
            </w:r>
          </w:p>
        </w:tc>
        <w:tc>
          <w:tcPr>
            <w:tcW w:type="dxa" w:w="4759"/>
          </w:tcPr>
          <w:p>
            <w:r/>
            <w:r>
              <w:rPr>
                <w:rFonts w:ascii="Calibri" w:hAnsi="Calibri"/>
                <w:b w:val="0"/>
                <w:color w:val="1F2937"/>
                <w:sz w:val="19"/>
              </w:rPr>
              <w:t>P2 — deels aanwezig, onvolledig.</w:t>
            </w:r>
          </w:p>
        </w:tc>
      </w:tr>
    </w:tbl>
    <w:p>
      <w:pPr>
        <w:spacing w:after="40"/>
      </w:pPr>
    </w:p>
    <w:p>
      <w:pPr>
        <w:pStyle w:val="Heading2"/>
      </w:pPr>
      <w:r>
        <w:t>B7 — Wettelijke grenswaarde (Conform)</w:t>
      </w:r>
    </w:p>
    <w:p>
      <w:pPr>
        <w:spacing w:after="120"/>
      </w:pPr>
      <w:r>
        <w:rPr>
          <w:rFonts w:ascii="Calibri" w:hAnsi="Calibri"/>
          <w:b/>
          <w:sz w:val="22"/>
        </w:rPr>
        <w:t xml:space="preserve">Wettelijke eis / kader:  </w:t>
      </w:r>
      <w:r>
        <w:rPr>
          <w:rFonts w:ascii="Calibri" w:hAnsi="Calibri"/>
          <w:sz w:val="22"/>
        </w:rPr>
        <w:t>Arbobesluit / SER-wettelijke grenswaardenlijst — Cr(VI): 1 µg/m³ (8-uurs TGG).</w:t>
      </w:r>
    </w:p>
    <w:p>
      <w:pPr>
        <w:spacing w:after="120"/>
      </w:pPr>
      <w:r>
        <w:rPr>
          <w:rFonts w:ascii="Calibri" w:hAnsi="Calibri"/>
          <w:b/>
          <w:sz w:val="22"/>
        </w:rPr>
        <w:t xml:space="preserve">Bevinding in het brondocument:  </w:t>
      </w:r>
      <w:r>
        <w:rPr>
          <w:rFonts w:ascii="Calibri" w:hAnsi="Calibri"/>
          <w:sz w:val="22"/>
        </w:rPr>
        <w:t>§6 vermeldt de NL-grenswaarde 1 µg/m³ en het aanvullende streefrisiconiveau 0,01 µg/m³, plus het beginsel “most stringent requirement shall be followed” en de Belgische OEL (0,005 mg/m³). Dit is feitelijk juist conform de Nederlandse wettelijke grenswaarde [3].</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Aspect</w:t>
            </w:r>
          </w:p>
        </w:tc>
        <w:tc>
          <w:tcPr>
            <w:tcW w:type="dxa" w:w="4759"/>
            <w:shd w:val="clear" w:color="auto" w:fill="003366"/>
          </w:tcPr>
          <w:p>
            <w:r/>
            <w:r>
              <w:rPr>
                <w:rFonts w:ascii="Calibri" w:hAnsi="Calibri"/>
                <w:b/>
                <w:color w:val="FFFFFF"/>
                <w:sz w:val="19"/>
              </w:rPr>
              <w:t>Status</w:t>
            </w:r>
          </w:p>
        </w:tc>
      </w:tr>
      <w:tr>
        <w:tc>
          <w:tcPr>
            <w:tcW w:type="dxa" w:w="4759"/>
          </w:tcPr>
          <w:p>
            <w:r/>
            <w:r>
              <w:rPr>
                <w:rFonts w:ascii="Calibri" w:hAnsi="Calibri"/>
                <w:b w:val="0"/>
                <w:color w:val="1F2937"/>
                <w:sz w:val="19"/>
              </w:rPr>
              <w:t>Klassificatie</w:t>
            </w:r>
          </w:p>
        </w:tc>
        <w:tc>
          <w:tcPr>
            <w:tcW w:type="dxa" w:w="4759"/>
          </w:tcPr>
          <w:p>
            <w:r/>
            <w:r>
              <w:rPr>
                <w:rFonts w:ascii="Calibri" w:hAnsi="Calibri"/>
                <w:b w:val="0"/>
                <w:color w:val="1F2937"/>
                <w:sz w:val="19"/>
              </w:rPr>
              <w:t>Conform — kanttekening: de grenswaarde wordt nergens in de procedure zelf gebruikt als toetskader of norm voor taakspecifieke beheersmaatregelen (raakt B1).</w:t>
            </w:r>
          </w:p>
        </w:tc>
      </w:tr>
    </w:tbl>
    <w:p>
      <w:pPr>
        <w:spacing w:after="40"/>
      </w:pPr>
    </w:p>
    <w:p>
      <w:pPr>
        <w:pStyle w:val="Heading2"/>
      </w:pPr>
      <w:r>
        <w:t>B8 — REACH Bijlage XIV (P2)</w:t>
      </w:r>
    </w:p>
    <w:p>
      <w:pPr>
        <w:spacing w:after="120"/>
      </w:pPr>
      <w:r>
        <w:rPr>
          <w:rFonts w:ascii="Calibri" w:hAnsi="Calibri"/>
          <w:b/>
          <w:sz w:val="22"/>
        </w:rPr>
        <w:t xml:space="preserve">Wettelijke eis / kader:  </w:t>
      </w:r>
      <w:r>
        <w:rPr>
          <w:rFonts w:ascii="Calibri" w:hAnsi="Calibri"/>
          <w:sz w:val="22"/>
        </w:rPr>
        <w:t>REACH Verordening (EG) 1907/2006, Bijlage XIV — chroomtrioxide en diverse zuurchromaten/zichromaten zijn opgenomen op de autorisatielijst (“sunset dates” passeerden in 2017/2019); gebruik zonder autorisatie is verboden.</w:t>
      </w:r>
    </w:p>
    <w:p>
      <w:pPr>
        <w:spacing w:after="120"/>
      </w:pPr>
      <w:r>
        <w:rPr>
          <w:rFonts w:ascii="Calibri" w:hAnsi="Calibri"/>
          <w:b/>
          <w:sz w:val="22"/>
        </w:rPr>
        <w:t xml:space="preserve">Bevinding in het brondocument:  </w:t>
      </w:r>
      <w:r>
        <w:rPr>
          <w:rFonts w:ascii="Calibri" w:hAnsi="Calibri"/>
          <w:sz w:val="22"/>
        </w:rPr>
        <w:t>Niet in de referentielijst (§6) opgenomen. Voor puur verwijderingswerk is de REACH-autorisatieverplichting beperkt relevant (geen doelbewust gebruik/marketing van Cr(VI)-stoffen), maar bij bijkomstig gebruik van Cr(VI)-houdende producten (bijv. touch-up primers, passiveringsmiddelen tijdens voorbereidings-/reparatiewerkzaamheden) is de autorisatie- respectievelijk vervangingscheck relevant. Minimaal verdient een toelichting in §6 plaats.</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Aspect</w:t>
            </w:r>
          </w:p>
        </w:tc>
        <w:tc>
          <w:tcPr>
            <w:tcW w:type="dxa" w:w="4759"/>
            <w:shd w:val="clear" w:color="auto" w:fill="003366"/>
          </w:tcPr>
          <w:p>
            <w:r/>
            <w:r>
              <w:rPr>
                <w:rFonts w:ascii="Calibri" w:hAnsi="Calibri"/>
                <w:b/>
                <w:color w:val="FFFFFF"/>
                <w:sz w:val="19"/>
              </w:rPr>
              <w:t>Status</w:t>
            </w:r>
          </w:p>
        </w:tc>
      </w:tr>
      <w:tr>
        <w:tc>
          <w:tcPr>
            <w:tcW w:type="dxa" w:w="4759"/>
          </w:tcPr>
          <w:p>
            <w:r/>
            <w:r>
              <w:rPr>
                <w:rFonts w:ascii="Calibri" w:hAnsi="Calibri"/>
                <w:b w:val="0"/>
                <w:color w:val="1F2937"/>
                <w:sz w:val="19"/>
              </w:rPr>
              <w:t>Klassificatie</w:t>
            </w:r>
          </w:p>
        </w:tc>
        <w:tc>
          <w:tcPr>
            <w:tcW w:type="dxa" w:w="4759"/>
          </w:tcPr>
          <w:p>
            <w:r/>
            <w:r>
              <w:rPr>
                <w:rFonts w:ascii="Calibri" w:hAnsi="Calibri"/>
                <w:b w:val="0"/>
                <w:color w:val="1F2937"/>
                <w:sz w:val="19"/>
              </w:rPr>
              <w:t>P2 — referentie en afbakening ontbreken.</w:t>
            </w:r>
          </w:p>
        </w:tc>
      </w:tr>
    </w:tbl>
    <w:p>
      <w:pPr>
        <w:spacing w:after="40"/>
      </w:pPr>
    </w:p>
    <w:p>
      <w:pPr>
        <w:pStyle w:val="Heading2"/>
      </w:pPr>
      <w:r>
        <w:t>B9 — Afvalstroom en afvoer (Bal / Wet milieubeheer) (P2)</w:t>
      </w:r>
    </w:p>
    <w:p>
      <w:pPr>
        <w:spacing w:after="120"/>
      </w:pPr>
      <w:r>
        <w:rPr>
          <w:rFonts w:ascii="Calibri" w:hAnsi="Calibri"/>
          <w:b/>
          <w:sz w:val="22"/>
        </w:rPr>
        <w:t xml:space="preserve">Wettelijke eis / kader:  </w:t>
      </w:r>
      <w:r>
        <w:rPr>
          <w:rFonts w:ascii="Calibri" w:hAnsi="Calibri"/>
          <w:sz w:val="22"/>
        </w:rPr>
        <w:t>Besluit activiteiten leefomgeving (Bal) en Wet milieubeheer / Landelijk Afvalbeheerplan — gevaarlijk afval (Cr(VI)-gecontamineerd PBM, reinigingsresten, filters) vereist afvalstroomherkenning, gescheiden inzameling en gecontroleerde afvoer/verwerking door erkende afzender-ontvangers.</w:t>
      </w:r>
    </w:p>
    <w:p>
      <w:pPr>
        <w:spacing w:after="120"/>
      </w:pPr>
      <w:r>
        <w:rPr>
          <w:rFonts w:ascii="Calibri" w:hAnsi="Calibri"/>
          <w:b/>
          <w:sz w:val="22"/>
        </w:rPr>
        <w:t xml:space="preserve">Bevinding in het brondocument:  </w:t>
      </w:r>
      <w:r>
        <w:rPr>
          <w:rFonts w:ascii="Calibri" w:hAnsi="Calibri"/>
          <w:sz w:val="22"/>
        </w:rPr>
        <w:t>§4.5.1–4.5.3 verplicht disposal “as hazardous or chemical waste in accordance with applicable waste management requirements”. Dat is een juist maar generiek beginsel; er is geen afvalstroomklassering, geen registratie/afgiftebewijs-regeling, geen verpakkings-/etiketteringseis (offshore inclusief zeetransport) en geen verantwoordelijke voor afvalstroombeheer benoemd.</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Aspect</w:t>
            </w:r>
          </w:p>
        </w:tc>
        <w:tc>
          <w:tcPr>
            <w:tcW w:type="dxa" w:w="4759"/>
            <w:shd w:val="clear" w:color="auto" w:fill="003366"/>
          </w:tcPr>
          <w:p>
            <w:r/>
            <w:r>
              <w:rPr>
                <w:rFonts w:ascii="Calibri" w:hAnsi="Calibri"/>
                <w:b/>
                <w:color w:val="FFFFFF"/>
                <w:sz w:val="19"/>
              </w:rPr>
              <w:t>Status</w:t>
            </w:r>
          </w:p>
        </w:tc>
      </w:tr>
      <w:tr>
        <w:tc>
          <w:tcPr>
            <w:tcW w:type="dxa" w:w="4759"/>
          </w:tcPr>
          <w:p>
            <w:r/>
            <w:r>
              <w:rPr>
                <w:rFonts w:ascii="Calibri" w:hAnsi="Calibri"/>
                <w:b w:val="0"/>
                <w:color w:val="1F2937"/>
                <w:sz w:val="19"/>
              </w:rPr>
              <w:t>Klassificatie</w:t>
            </w:r>
          </w:p>
        </w:tc>
        <w:tc>
          <w:tcPr>
            <w:tcW w:type="dxa" w:w="4759"/>
          </w:tcPr>
          <w:p>
            <w:r/>
            <w:r>
              <w:rPr>
                <w:rFonts w:ascii="Calibri" w:hAnsi="Calibri"/>
                <w:b w:val="0"/>
                <w:color w:val="1F2937"/>
                <w:sz w:val="19"/>
              </w:rPr>
              <w:t>P2 — aanwezig als beginsel, niet uitvoerbaar uitgewerkt.</w:t>
            </w:r>
          </w:p>
        </w:tc>
      </w:tr>
    </w:tbl>
    <w:p>
      <w:pPr>
        <w:spacing w:after="40"/>
      </w:pPr>
    </w:p>
    <w:p>
      <w:pPr>
        <w:pStyle w:val="Heading2"/>
      </w:pPr>
      <w:r>
        <w:t>B10 — Arbo-Informatiebladen (P2)</w:t>
      </w:r>
    </w:p>
    <w:p>
      <w:pPr>
        <w:spacing w:after="120"/>
      </w:pPr>
      <w:r>
        <w:rPr>
          <w:rFonts w:ascii="Calibri" w:hAnsi="Calibri"/>
          <w:b/>
          <w:sz w:val="22"/>
        </w:rPr>
        <w:t xml:space="preserve">Wettelijke eis / kader:  </w:t>
      </w:r>
      <w:r>
        <w:rPr>
          <w:rFonts w:ascii="Calibri" w:hAnsi="Calibri"/>
          <w:sz w:val="22"/>
        </w:rPr>
        <w:t>AI-blad 67 (kankerverwekkende stoffen — implementatiekader van Arbobesluit afd. 3), AI-blad 31 (gezondheidsrisico's gevaarlijke stoffen), AI-blad 18 (PBM) en AI-blad 77 (chroom-6).</w:t>
      </w:r>
    </w:p>
    <w:p>
      <w:pPr>
        <w:spacing w:after="120"/>
      </w:pPr>
      <w:r>
        <w:rPr>
          <w:rFonts w:ascii="Calibri" w:hAnsi="Calibri"/>
          <w:b/>
          <w:sz w:val="22"/>
        </w:rPr>
        <w:t xml:space="preserve">Bevinding in het brondocument:  </w:t>
      </w:r>
      <w:r>
        <w:rPr>
          <w:rFonts w:ascii="Calibri" w:hAnsi="Calibri"/>
          <w:sz w:val="22"/>
        </w:rPr>
        <w:t>Niet opgenomen in §6. De inhoud van het brondocument is inhoudelijk grotendeels congruent met AI-77 (gezondheidseffecten, routes, beheersmaatregelen), maar door de ontbrekende referenties is de afstemming niet aantoonbaar en mist de redacteur het toetsingskader voor toekomstige revisies.</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Aspect</w:t>
            </w:r>
          </w:p>
        </w:tc>
        <w:tc>
          <w:tcPr>
            <w:tcW w:type="dxa" w:w="4759"/>
            <w:shd w:val="clear" w:color="auto" w:fill="003366"/>
          </w:tcPr>
          <w:p>
            <w:r/>
            <w:r>
              <w:rPr>
                <w:rFonts w:ascii="Calibri" w:hAnsi="Calibri"/>
                <w:b/>
                <w:color w:val="FFFFFF"/>
                <w:sz w:val="19"/>
              </w:rPr>
              <w:t>Status</w:t>
            </w:r>
          </w:p>
        </w:tc>
      </w:tr>
      <w:tr>
        <w:tc>
          <w:tcPr>
            <w:tcW w:type="dxa" w:w="4759"/>
          </w:tcPr>
          <w:p>
            <w:r/>
            <w:r>
              <w:rPr>
                <w:rFonts w:ascii="Calibri" w:hAnsi="Calibri"/>
                <w:b w:val="0"/>
                <w:color w:val="1F2937"/>
                <w:sz w:val="19"/>
              </w:rPr>
              <w:t>Klassificatie</w:t>
            </w:r>
          </w:p>
        </w:tc>
        <w:tc>
          <w:tcPr>
            <w:tcW w:type="dxa" w:w="4759"/>
          </w:tcPr>
          <w:p>
            <w:r/>
            <w:r>
              <w:rPr>
                <w:rFonts w:ascii="Calibri" w:hAnsi="Calibri"/>
                <w:b w:val="0"/>
                <w:color w:val="1F2937"/>
                <w:sz w:val="19"/>
              </w:rPr>
              <w:t>P2.</w:t>
            </w:r>
          </w:p>
        </w:tc>
      </w:tr>
    </w:tbl>
    <w:p>
      <w:pPr>
        <w:spacing w:after="40"/>
      </w:pPr>
    </w:p>
    <w:p>
      <w:pPr>
        <w:pStyle w:val="Heading2"/>
      </w:pPr>
      <w:r>
        <w:t>B11 — Beheersregime Chroom-6 (P2)</w:t>
      </w:r>
    </w:p>
    <w:p>
      <w:pPr>
        <w:spacing w:after="120"/>
      </w:pPr>
      <w:r>
        <w:rPr>
          <w:rFonts w:ascii="Calibri" w:hAnsi="Calibri"/>
          <w:b/>
          <w:sz w:val="22"/>
        </w:rPr>
        <w:t xml:space="preserve">Wettelijke eis / kader:  </w:t>
      </w:r>
      <w:r>
        <w:rPr>
          <w:rFonts w:ascii="Calibri" w:hAnsi="Calibri"/>
          <w:sz w:val="22"/>
        </w:rPr>
        <w:t>Branchekader van Rijkswaterstaat, Defensie, ProRail en Rijksvastgoedbedrijf met gestandaardiseerde beheersmaatregelen voor chroom-6.</w:t>
      </w:r>
    </w:p>
    <w:p>
      <w:pPr>
        <w:spacing w:after="120"/>
      </w:pPr>
      <w:r>
        <w:rPr>
          <w:rFonts w:ascii="Calibri" w:hAnsi="Calibri"/>
          <w:b/>
          <w:sz w:val="22"/>
        </w:rPr>
        <w:t xml:space="preserve">Bevinding in het brondocument:  </w:t>
      </w:r>
      <w:r>
        <w:rPr>
          <w:rFonts w:ascii="Calibri" w:hAnsi="Calibri"/>
          <w:sz w:val="22"/>
        </w:rPr>
        <w:t>§6 noemt “Dutch 'Beheersregime Chroom-6'” in de referentielijst — juist en relevant. Het regime wordt echter niet operationeel vertaald (geen beheersmaatregelenmatrix, geen koppeling aan de §§4.5.1–4.5.3).</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Aspect</w:t>
            </w:r>
          </w:p>
        </w:tc>
        <w:tc>
          <w:tcPr>
            <w:tcW w:type="dxa" w:w="4759"/>
            <w:shd w:val="clear" w:color="auto" w:fill="003366"/>
          </w:tcPr>
          <w:p>
            <w:r/>
            <w:r>
              <w:rPr>
                <w:rFonts w:ascii="Calibri" w:hAnsi="Calibri"/>
                <w:b/>
                <w:color w:val="FFFFFF"/>
                <w:sz w:val="19"/>
              </w:rPr>
              <w:t>Status</w:t>
            </w:r>
          </w:p>
        </w:tc>
      </w:tr>
      <w:tr>
        <w:tc>
          <w:tcPr>
            <w:tcW w:type="dxa" w:w="4759"/>
          </w:tcPr>
          <w:p>
            <w:r/>
            <w:r>
              <w:rPr>
                <w:rFonts w:ascii="Calibri" w:hAnsi="Calibri"/>
                <w:b w:val="0"/>
                <w:color w:val="1F2937"/>
                <w:sz w:val="19"/>
              </w:rPr>
              <w:t>Klassificatie</w:t>
            </w:r>
          </w:p>
        </w:tc>
        <w:tc>
          <w:tcPr>
            <w:tcW w:type="dxa" w:w="4759"/>
          </w:tcPr>
          <w:p>
            <w:r/>
            <w:r>
              <w:rPr>
                <w:rFonts w:ascii="Calibri" w:hAnsi="Calibri"/>
                <w:b w:val="0"/>
                <w:color w:val="1F2937"/>
                <w:sz w:val="19"/>
              </w:rPr>
              <w:t>P2 — gerefereerd, niet uitgewerkt.</w:t>
            </w:r>
          </w:p>
        </w:tc>
      </w:tr>
    </w:tbl>
    <w:p>
      <w:pPr>
        <w:spacing w:after="40"/>
      </w:pPr>
    </w:p>
    <w:p>
      <w:pPr>
        <w:pStyle w:val="Heading2"/>
      </w:pPr>
      <w:r>
        <w:t>B12 — 5M-methode / hiërarchie van beheersmaatregelen (P2)</w:t>
      </w:r>
    </w:p>
    <w:p>
      <w:pPr>
        <w:spacing w:after="120"/>
      </w:pPr>
      <w:r>
        <w:rPr>
          <w:rFonts w:ascii="Calibri" w:hAnsi="Calibri"/>
          <w:b/>
          <w:sz w:val="22"/>
        </w:rPr>
        <w:t xml:space="preserve">Wettelijke eis / kader:  </w:t>
      </w:r>
      <w:r>
        <w:rPr>
          <w:rFonts w:ascii="Calibri" w:hAnsi="Calibri"/>
          <w:sz w:val="22"/>
        </w:rPr>
        <w:t>Arbocatalogi; Arbobesluit art. 4.4-structuur — maatregelenhiërarchie met substitutie/bronmaatregelen als hoogste trede.</w:t>
      </w:r>
    </w:p>
    <w:p>
      <w:pPr>
        <w:spacing w:after="120"/>
      </w:pPr>
      <w:r>
        <w:rPr>
          <w:rFonts w:ascii="Calibri" w:hAnsi="Calibri"/>
          <w:b/>
          <w:sz w:val="22"/>
        </w:rPr>
        <w:t xml:space="preserve">Bevinding in het brondocument:  </w:t>
      </w:r>
      <w:r>
        <w:rPr>
          <w:rFonts w:ascii="Calibri" w:hAnsi="Calibri"/>
          <w:sz w:val="22"/>
        </w:rPr>
        <w:t>§4.5 beschrijft expliciet “hierarchy of controls”: minimaliseren verstoring, beperken verspreiding, toegangsbeperking, ventilatie/extractie/natte methoden, en pas daarna PBM — dit sluit aan bij de MAC/5M-methodiek. Ontbrekend: de hoogste trede(s) — substitutie/bronmaatregelen en organisatorische maatregelen (taakroulatie/tijdsbeperking blootstelling) — worden niet als vast onderdeel van de afweging gedocumenteerd (zie ook B4). Voor decommissioning is substitutie van de coating geen optie; dat moet dan als onderbouwing zijn vastgelegd, en overige bronmaatregelen (koude technieken, extractie) moeten aantoonbaar zijn afgewogen.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Aspect</w:t>
            </w:r>
          </w:p>
        </w:tc>
        <w:tc>
          <w:tcPr>
            <w:tcW w:type="dxa" w:w="4759"/>
            <w:shd w:val="clear" w:color="auto" w:fill="003366"/>
          </w:tcPr>
          <w:p>
            <w:r/>
            <w:r>
              <w:rPr>
                <w:rFonts w:ascii="Calibri" w:hAnsi="Calibri"/>
                <w:b/>
                <w:color w:val="FFFFFF"/>
                <w:sz w:val="19"/>
              </w:rPr>
              <w:t>Status</w:t>
            </w:r>
          </w:p>
        </w:tc>
      </w:tr>
      <w:tr>
        <w:tc>
          <w:tcPr>
            <w:tcW w:type="dxa" w:w="4759"/>
          </w:tcPr>
          <w:p>
            <w:r/>
            <w:r>
              <w:rPr>
                <w:rFonts w:ascii="Calibri" w:hAnsi="Calibri"/>
                <w:b w:val="0"/>
                <w:color w:val="1F2937"/>
                <w:sz w:val="19"/>
              </w:rPr>
              <w:t>Klassificatie</w:t>
            </w:r>
          </w:p>
        </w:tc>
        <w:tc>
          <w:tcPr>
            <w:tcW w:type="dxa" w:w="4759"/>
          </w:tcPr>
          <w:p>
            <w:r/>
            <w:r>
              <w:rPr>
                <w:rFonts w:ascii="Calibri" w:hAnsi="Calibri"/>
                <w:b w:val="0"/>
                <w:color w:val="1F2937"/>
                <w:sz w:val="19"/>
              </w:rPr>
              <w:t>P2 — hiërarchie grotendeels gevolgd, hoogste tredes niet gedocumenteerd.</w:t>
            </w:r>
          </w:p>
        </w:tc>
      </w:tr>
    </w:tbl>
    <w:p>
      <w:pPr>
        <w:spacing w:after="40"/>
      </w:pPr>
    </w:p>
    <w:p>
      <w:pPr>
        <w:pStyle w:val="Heading2"/>
      </w:pPr>
      <w:r>
        <w:t>B14 — Documentbeheer (P2)</w:t>
      </w:r>
    </w:p>
    <w:p>
      <w:pPr>
        <w:spacing w:after="120"/>
      </w:pPr>
      <w:r>
        <w:rPr>
          <w:rFonts w:ascii="Calibri" w:hAnsi="Calibri"/>
          <w:b/>
          <w:sz w:val="22"/>
        </w:rPr>
        <w:t xml:space="preserve">Wettelijke eis / kader:  </w:t>
      </w:r>
      <w:r>
        <w:rPr>
          <w:rFonts w:ascii="Calibri" w:hAnsi="Calibri"/>
          <w:sz w:val="22"/>
        </w:rPr>
        <w:t>Eigen QC / ISO 9001-logica — versiebeheer, revision log met wijzigingsbeschrijving, gedateerde interne referenties.</w:t>
      </w:r>
    </w:p>
    <w:p>
      <w:pPr>
        <w:spacing w:after="120"/>
      </w:pPr>
      <w:r>
        <w:rPr>
          <w:rFonts w:ascii="Calibri" w:hAnsi="Calibri"/>
          <w:b/>
          <w:sz w:val="22"/>
        </w:rPr>
        <w:t xml:space="preserve">Bevinding in het brondocument:  </w:t>
      </w:r>
      <w:r>
        <w:rPr>
          <w:rFonts w:ascii="Calibri" w:hAnsi="Calibri"/>
          <w:sz w:val="22"/>
        </w:rPr>
        <w:t>Zie hoofdstuk 2 (versie-inconsistentie). Daarnaast: “Hoondert Study” (§6, Ref. [2]) is als interne referentie zonder datum/versie opgenomen; de revision log bevat geen wijzigingsbeschrijving. Voor een “Issued for Implementation”-procedure is dit een beheerskundige non-conformiteit.</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Aspect</w:t>
            </w:r>
          </w:p>
        </w:tc>
        <w:tc>
          <w:tcPr>
            <w:tcW w:type="dxa" w:w="4759"/>
            <w:shd w:val="clear" w:color="auto" w:fill="003366"/>
          </w:tcPr>
          <w:p>
            <w:r/>
            <w:r>
              <w:rPr>
                <w:rFonts w:ascii="Calibri" w:hAnsi="Calibri"/>
                <w:b/>
                <w:color w:val="FFFFFF"/>
                <w:sz w:val="19"/>
              </w:rPr>
              <w:t>Status</w:t>
            </w:r>
          </w:p>
        </w:tc>
      </w:tr>
      <w:tr>
        <w:tc>
          <w:tcPr>
            <w:tcW w:type="dxa" w:w="4759"/>
          </w:tcPr>
          <w:p>
            <w:r/>
            <w:r>
              <w:rPr>
                <w:rFonts w:ascii="Calibri" w:hAnsi="Calibri"/>
                <w:b w:val="0"/>
                <w:color w:val="1F2937"/>
                <w:sz w:val="19"/>
              </w:rPr>
              <w:t>Klassificatie</w:t>
            </w:r>
          </w:p>
        </w:tc>
        <w:tc>
          <w:tcPr>
            <w:tcW w:type="dxa" w:w="4759"/>
          </w:tcPr>
          <w:p>
            <w:r/>
            <w:r>
              <w:rPr>
                <w:rFonts w:ascii="Calibri" w:hAnsi="Calibri"/>
                <w:b w:val="0"/>
                <w:color w:val="1F2937"/>
                <w:sz w:val="19"/>
              </w:rPr>
              <w:t>P2.</w:t>
            </w:r>
          </w:p>
        </w:tc>
      </w:tr>
    </w:tbl>
    <w:p>
      <w:pPr>
        <w:spacing w:after="40"/>
      </w:pPr>
    </w:p>
    <w:p>
      <w:pPr>
        <w:pStyle w:val="Heading2"/>
      </w:pPr>
      <w:r>
        <w:t>B15-B18 — Conforme onderdelen (samengevat)</w:t>
      </w:r>
    </w:p>
    <w:p>
      <w:pPr>
        <w:spacing w:after="120"/>
      </w:pPr>
      <w:r>
        <w:rPr>
          <w:rFonts w:ascii="Calibri" w:hAnsi="Calibri"/>
          <w:b w:val="0"/>
          <w:i w:val="0"/>
          <w:sz w:val="22"/>
        </w:rPr>
        <w:t>De volgende onderdelen zijn conform getoetst en vormen de sterke basis van de procedure:</w:t>
      </w:r>
    </w:p>
    <w:p>
      <w:pPr>
        <w:pStyle w:val="ListBullet"/>
        <w:spacing w:after="60"/>
      </w:pPr>
      <w:r>
        <w:t>B15: Gevareninformatie (§4.1–4.3): stofeigenschappen, bronnen (coatings, rvs-lassen, verduurzaamd hout, cement), blootstellingsroutes en gezondheidseffecten (longkanker, neusholtekanker, neusseptumperforatie, COPD, astma, dermatitis; vermoedelijk maag- en strottenhoofdkanker) — feitelijk consistent met AI-blad 77.</w:t>
      </w:r>
    </w:p>
    <w:p>
      <w:pPr>
        <w:pStyle w:val="ListBullet"/>
        <w:spacing w:after="60"/>
      </w:pPr>
      <w:r>
        <w:t>B16: Identificatie &amp; marking (§4.4): third-party surveys, markering (verf, borden, “Cr6”-spray), “treat as contaminated until confirmed otherwise”, verplichte koppeling aan TRA/JSA + PTW vóór werk.</w:t>
      </w:r>
    </w:p>
    <w:p>
      <w:pPr>
        <w:pStyle w:val="ListBullet"/>
        <w:spacing w:after="60"/>
      </w:pPr>
      <w:r>
        <w:t>B17: Hygiëne/PBM (§4.5.1–4.5.3): eet-/rookverbod in werkgebied, wassen/douchen, decontaminatiestations, 5 m restrictiezone (of groter volgens TRA), volgelaatsmasker met P3 (≥ 99,95% filtratie), filterinspectie/vervanging, verbod perslucht (geminimaliseerd), stofzuigsystemen met filtratie, afvoer PBM als gevaarlijk afval — concreet en uitvoerbaar per activiteit.</w:t>
      </w:r>
    </w:p>
    <w:p>
      <w:pPr>
        <w:pStyle w:val="ListBullet"/>
        <w:spacing w:after="60"/>
      </w:pPr>
      <w:r>
        <w:t>B18: Rollen (§3): Management, QHSE Manager, OIM/Site Manager, Supervisors, Personnel, Contractors — compleet met stop-work-bevoegdheid op werkvloer.</w:t>
      </w:r>
    </w:p>
    <w:p>
      <w:pPr>
        <w:pStyle w:val="Heading1"/>
      </w:pPr>
      <w:r>
        <w:t>5B. Bronnen van de audit</w:t>
      </w:r>
    </w:p>
    <w:p>
      <w:pPr>
        <w:pStyle w:val="ListNumber"/>
        <w:spacing w:after="60"/>
      </w:pPr>
      <w:r>
        <w:t>Brondocument: 003.056 Chromium VI Exposure Control Procedure, Rev A (02-03-2026) / Rev 1 (15-04-2026), KOO B.V. — integrale tekst geëxtraheerd (12 p.).</w:t>
      </w:r>
    </w:p>
    <w:p>
      <w:pPr>
        <w:pStyle w:val="ListNumber"/>
        <w:spacing w:after="60"/>
      </w:pPr>
      <w:r>
        <w:t>Arbobesluit (Hoofdstuk 4, Afdeling 3 — kankerverwekkende en mutagene stoffen): art. 4.2 lid 1 en lid 4, art. 4.2a, art. 4.10a, art. 4.10c, art. 4.13, art. 4.15, art. 4.21.</w:t>
      </w:r>
    </w:p>
    <w:p>
      <w:pPr>
        <w:pStyle w:val="ListNumber"/>
        <w:spacing w:after="60"/>
      </w:pPr>
      <w:r>
        <w:t>Arbo-Informatieblad 77 — Chroom-6 (SZW/SDU): grenswaarde 1 µg/m³ per 1-3-2017 (Gezondheidsraad-beredenering: 4 extra longkankergevallen per 1.000 bij 40 jaar dagelijkse blootstelling), meetstrategie NEN-EN 689/482, art. 4.15-lijst, 40-jaar bewaring, voorbeelden Defensie/Tilburg/ProRail.</w:t>
      </w:r>
    </w:p>
    <w:p>
      <w:pPr>
        <w:pStyle w:val="ListNumber"/>
        <w:spacing w:after="60"/>
      </w:pPr>
      <w:r>
        <w:t>REACH Verordening (EG) 1907/2006, Bijlage XIV (autorisatie chroomtrioxide en zuurchromaten).</w:t>
      </w:r>
    </w:p>
    <w:p>
      <w:pPr>
        <w:pStyle w:val="ListNumber"/>
        <w:spacing w:after="60"/>
      </w:pPr>
      <w:r>
        <w:t>Besluit activiteiten leefomgeving (Bal) en Wet milieubeheer / Landelijk Afvalbeheerplan — gevaarlijk afvalregime.</w:t>
      </w:r>
    </w:p>
    <w:p>
      <w:pPr>
        <w:pStyle w:val="ListNumber"/>
        <w:spacing w:after="60"/>
      </w:pPr>
      <w:r>
        <w:t>Beheersregime Chroom-6 — Rijkswaterstaat/Defensie/ProRail/Rijksvastgoedbedrijf.</w:t>
      </w:r>
    </w:p>
    <w:p>
      <w:pPr>
        <w:pStyle w:val="ListNumber"/>
        <w:spacing w:after="60"/>
      </w:pPr>
      <w:r>
        <w:t>SER-wettelijke grenswaardenlijst — Chroom VI: 1 µg/m³ (8-uurs TGG).</w:t>
      </w:r>
    </w:p>
    <w:p>
      <w:pPr>
        <w:pStyle w:val="ListNumber"/>
        <w:spacing w:after="60"/>
      </w:pPr>
      <w:r>
        <w:t>NEN-EN 689 (meetstrategie werkplekblootstelling) en NEN-EN 482 (algemene eisen meetprocedures).</w:t>
      </w:r>
    </w:p>
    <w:p>
      <w:pPr>
        <w:pStyle w:val="ListNumber"/>
        <w:spacing w:after="60"/>
      </w:pPr>
      <w:r>
        <w:t>Richtlijn (EU) 2017/2398 tot wijziging van richtlijn 2004/37/EG (kankerverwekkende en mutagene stoffen op het werk) — reeds opgenomen in §6 van het brondocument.</w:t>
      </w:r>
    </w:p>
    <w:p>
      <w:pPr>
        <w:pStyle w:val="ListNumber"/>
        <w:spacing w:after="60"/>
      </w:pPr>
      <w:r>
        <w:t>AI-bladen 67, 31, 18 (kankerverwekkende stoffen; gezondheidsrisico's gevaarlijke stoffen; PBM).</w:t>
      </w:r>
    </w:p>
    <w:p>
      <w:pPr>
        <w:pStyle w:val="Heading1"/>
      </w:pPr>
      <w:r>
        <w:t>6. Verificatiepunten (Veldinspectie Vereist)</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Vp</w:t>
            </w:r>
          </w:p>
        </w:tc>
        <w:tc>
          <w:tcPr>
            <w:tcW w:type="dxa" w:w="3173"/>
            <w:shd w:val="clear" w:color="auto" w:fill="003366"/>
          </w:tcPr>
          <w:p>
            <w:r/>
            <w:r>
              <w:rPr>
                <w:rFonts w:ascii="Calibri" w:hAnsi="Calibri"/>
                <w:b/>
                <w:color w:val="FFFFFF"/>
                <w:sz w:val="19"/>
              </w:rPr>
              <w:t>Punt</w:t>
            </w:r>
          </w:p>
        </w:tc>
        <w:tc>
          <w:tcPr>
            <w:tcW w:type="dxa" w:w="3173"/>
            <w:shd w:val="clear" w:color="auto" w:fill="003366"/>
          </w:tcPr>
          <w:p>
            <w:r/>
            <w:r>
              <w:rPr>
                <w:rFonts w:ascii="Calibri" w:hAnsi="Calibri"/>
                <w:b/>
                <w:color w:val="FFFFFF"/>
                <w:sz w:val="19"/>
              </w:rPr>
              <w:t>Waarom vereist</w:t>
            </w:r>
          </w:p>
        </w:tc>
      </w:tr>
      <w:tr>
        <w:tc>
          <w:tcPr>
            <w:tcW w:type="dxa" w:w="3173"/>
          </w:tcPr>
          <w:p>
            <w:r/>
            <w:r>
              <w:rPr>
                <w:rFonts w:ascii="Calibri" w:hAnsi="Calibri"/>
                <w:b w:val="0"/>
                <w:color w:val="1F2937"/>
                <w:sz w:val="19"/>
              </w:rPr>
              <w:t>V-1</w:t>
            </w:r>
          </w:p>
        </w:tc>
        <w:tc>
          <w:tcPr>
            <w:tcW w:type="dxa" w:w="3173"/>
          </w:tcPr>
          <w:p>
            <w:r/>
            <w:r>
              <w:rPr>
                <w:rFonts w:ascii="Calibri" w:hAnsi="Calibri"/>
                <w:b w:val="0"/>
                <w:color w:val="1F2937"/>
                <w:sz w:val="19"/>
              </w:rPr>
              <w:t>Uitvoering van marking/surveys op het platform (‘treat as contaminated’-praktijk)</w:t>
            </w:r>
          </w:p>
        </w:tc>
        <w:tc>
          <w:tcPr>
            <w:tcW w:type="dxa" w:w="3173"/>
          </w:tcPr>
          <w:p>
            <w:r/>
            <w:r>
              <w:rPr>
                <w:rFonts w:ascii="Calibri" w:hAnsi="Calibri"/>
                <w:b w:val="0"/>
                <w:color w:val="1F2937"/>
                <w:sz w:val="19"/>
              </w:rPr>
              <w:t>Conforme tekst (B16) moet in uitvoering worden bevestigd</w:t>
            </w:r>
          </w:p>
        </w:tc>
      </w:tr>
      <w:tr>
        <w:tc>
          <w:tcPr>
            <w:tcW w:type="dxa" w:w="3173"/>
          </w:tcPr>
          <w:p>
            <w:r/>
            <w:r>
              <w:rPr>
                <w:rFonts w:ascii="Calibri" w:hAnsi="Calibri"/>
                <w:b w:val="0"/>
                <w:color w:val="1F2937"/>
                <w:sz w:val="19"/>
              </w:rPr>
              <w:t>V-2</w:t>
            </w:r>
          </w:p>
        </w:tc>
        <w:tc>
          <w:tcPr>
            <w:tcW w:type="dxa" w:w="3173"/>
          </w:tcPr>
          <w:p>
            <w:r/>
            <w:r>
              <w:rPr>
                <w:rFonts w:ascii="Calibri" w:hAnsi="Calibri"/>
                <w:b w:val="0"/>
                <w:color w:val="1F2937"/>
                <w:sz w:val="19"/>
              </w:rPr>
              <w:t>Feitelijke afvalafvoer: afvalstroomklassering, afgiftebewijzen, erkende verwerker</w:t>
            </w:r>
          </w:p>
        </w:tc>
        <w:tc>
          <w:tcPr>
            <w:tcW w:type="dxa" w:w="3173"/>
          </w:tcPr>
          <w:p>
            <w:r/>
            <w:r>
              <w:rPr>
                <w:rFonts w:ascii="Calibri" w:hAnsi="Calibri"/>
                <w:b w:val="0"/>
                <w:color w:val="1F2937"/>
                <w:sz w:val="19"/>
              </w:rPr>
              <w:t>B9 tekst is generiek; keten moet aantoonbaar zijn</w:t>
            </w:r>
          </w:p>
        </w:tc>
      </w:tr>
      <w:tr>
        <w:tc>
          <w:tcPr>
            <w:tcW w:type="dxa" w:w="3173"/>
          </w:tcPr>
          <w:p>
            <w:r/>
            <w:r>
              <w:rPr>
                <w:rFonts w:ascii="Calibri" w:hAnsi="Calibri"/>
                <w:b w:val="0"/>
                <w:color w:val="1F2937"/>
                <w:sz w:val="19"/>
              </w:rPr>
              <w:t>V-3</w:t>
            </w:r>
          </w:p>
        </w:tc>
        <w:tc>
          <w:tcPr>
            <w:tcW w:type="dxa" w:w="3173"/>
          </w:tcPr>
          <w:p>
            <w:r/>
            <w:r>
              <w:rPr>
                <w:rFonts w:ascii="Calibri" w:hAnsi="Calibri"/>
                <w:b w:val="0"/>
                <w:color w:val="1F2937"/>
                <w:sz w:val="19"/>
              </w:rPr>
              <w:t>Toekomstige implementatie H1-H5: meetrapporten, AGO-aanbiedingen, registratielijst</w:t>
            </w:r>
          </w:p>
        </w:tc>
        <w:tc>
          <w:tcPr>
            <w:tcW w:type="dxa" w:w="3173"/>
          </w:tcPr>
          <w:p>
            <w:r/>
            <w:r>
              <w:rPr>
                <w:rFonts w:ascii="Calibri" w:hAnsi="Calibri"/>
                <w:b w:val="0"/>
                <w:color w:val="1F2937"/>
                <w:sz w:val="19"/>
              </w:rPr>
              <w:t>Herstel van P1-hiaten moet worden geverifieerd</w:t>
            </w:r>
          </w:p>
        </w:tc>
      </w:tr>
    </w:tbl>
    <w:p>
      <w:pPr>
        <w:spacing w:after="40"/>
      </w:pPr>
    </w:p>
    <w:p>
      <w:pPr>
        <w:pStyle w:val="Heading1"/>
      </w:pPr>
      <w:r>
        <w:t>7. Beperkingen van deze Audit</w:t>
      </w:r>
    </w:p>
    <w:p>
      <w:pPr>
        <w:pStyle w:val="ListBullet"/>
        <w:spacing w:after="60"/>
      </w:pPr>
      <w:r>
        <w:t>Document-based: geen veldinspectie, interviews of steekproeven van uitvoering.</w:t>
      </w:r>
    </w:p>
    <w:p>
      <w:pPr>
        <w:pStyle w:val="ListBullet"/>
        <w:spacing w:after="60"/>
      </w:pPr>
      <w:r>
        <w:t>Auditbasis is de geëxtraheerde integrale tekst van de PDF; originel PDF aanwezig in research/.</w:t>
      </w:r>
    </w:p>
    <w:p>
      <w:pPr>
        <w:pStyle w:val="ListBullet"/>
        <w:spacing w:after="60"/>
      </w:pPr>
      <w:r>
        <w:t>REACH-relevantie voor verwijderingswerk is beperkt en genuanceerd getoetst (B8).</w:t>
      </w:r>
    </w:p>
    <w:p>
      <w:pPr>
        <w:pStyle w:val="ListBullet"/>
        <w:spacing w:after="60"/>
      </w:pPr>
      <w:r>
        <w:t>Wetgevingversies geldig op auditdatum; wijzigingen nadien zijn niet verwerkt.</w:t>
      </w:r>
    </w:p>
    <w:p>
      <w:pPr>
        <w:pStyle w:val="Heading1"/>
      </w:pPr>
      <w:r>
        <w:t>8. Bevindingenstatistiek en Definitief Oordeel</w:t>
      </w:r>
    </w:p>
    <w:p>
      <w:pPr>
        <w:pStyle w:val="Heading2"/>
      </w:pPr>
      <w:r>
        <w:t>8.1 Overall conclusie</w:t>
      </w:r>
    </w:p>
    <w:p>
      <w:pPr>
        <w:spacing w:after="120"/>
      </w:pPr>
      <w:r>
        <w:rPr>
          <w:rFonts w:ascii="Calibri" w:hAnsi="Calibri"/>
          <w:b w:val="0"/>
          <w:i w:val="0"/>
          <w:sz w:val="22"/>
        </w:rPr>
        <w:t>Het brondocument is operationeel sterk maar juridisch onvolledig als procedure voor een kankerverwekkende stof. De vijf P1-hiaten vormen tezamen het ontbreken van de volledige formele arbo-zorgstructuur: meten, bewaken, registreren, bewaren en onderbouwen. Deze hiaten zijn niet af te dekken met TRA/JSA-verwijzingen en moeten vóór projectuitvoering worden hersteld (H1-H5).</w:t>
      </w:r>
    </w:p>
    <w:p>
      <w:pPr>
        <w:pStyle w:val="Heading2"/>
      </w:pPr>
      <w:r>
        <w:t>8.2 Bevindingenstatistiek</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Classificatie</w:t>
            </w:r>
          </w:p>
        </w:tc>
        <w:tc>
          <w:tcPr>
            <w:tcW w:type="dxa" w:w="3173"/>
            <w:shd w:val="clear" w:color="auto" w:fill="003366"/>
          </w:tcPr>
          <w:p>
            <w:r/>
            <w:r>
              <w:rPr>
                <w:rFonts w:ascii="Calibri" w:hAnsi="Calibri"/>
                <w:b/>
                <w:color w:val="FFFFFF"/>
                <w:sz w:val="19"/>
              </w:rPr>
              <w:t>Aantal</w:t>
            </w:r>
          </w:p>
        </w:tc>
        <w:tc>
          <w:tcPr>
            <w:tcW w:type="dxa" w:w="3173"/>
            <w:shd w:val="clear" w:color="auto" w:fill="003366"/>
          </w:tcPr>
          <w:p>
            <w:r/>
            <w:r>
              <w:rPr>
                <w:rFonts w:ascii="Calibri" w:hAnsi="Calibri"/>
                <w:b/>
                <w:color w:val="FFFFFF"/>
                <w:sz w:val="19"/>
              </w:rPr>
              <w:t>Items</w:t>
            </w:r>
          </w:p>
        </w:tc>
      </w:tr>
      <w:tr>
        <w:tc>
          <w:tcPr>
            <w:tcW w:type="dxa" w:w="3173"/>
          </w:tcPr>
          <w:p>
            <w:r/>
            <w:r>
              <w:rPr>
                <w:rFonts w:ascii="Calibri" w:hAnsi="Calibri"/>
                <w:b w:val="0"/>
                <w:color w:val="1F2937"/>
                <w:sz w:val="19"/>
              </w:rPr>
              <w:t>P1 — wettelijk verplicht, ontbreekt</w:t>
            </w:r>
          </w:p>
        </w:tc>
        <w:tc>
          <w:tcPr>
            <w:tcW w:type="dxa" w:w="3173"/>
          </w:tcPr>
          <w:p>
            <w:r/>
            <w:r>
              <w:rPr>
                <w:rFonts w:ascii="Calibri" w:hAnsi="Calibri"/>
                <w:b w:val="0"/>
                <w:color w:val="1F2937"/>
                <w:sz w:val="19"/>
              </w:rPr>
              <w:t>5 (+B13)</w:t>
            </w:r>
          </w:p>
        </w:tc>
        <w:tc>
          <w:tcPr>
            <w:tcW w:type="dxa" w:w="3173"/>
          </w:tcPr>
          <w:p>
            <w:r/>
            <w:r>
              <w:rPr>
                <w:rFonts w:ascii="Calibri" w:hAnsi="Calibri"/>
                <w:b w:val="0"/>
                <w:color w:val="1F2937"/>
                <w:sz w:val="19"/>
              </w:rPr>
              <w:t>B1 meetstrategie; B2 AGO; B3 40-jaar bewaring; B4 RI&amp;E; B5 register</w:t>
            </w:r>
          </w:p>
        </w:tc>
      </w:tr>
      <w:tr>
        <w:tc>
          <w:tcPr>
            <w:tcW w:type="dxa" w:w="3173"/>
          </w:tcPr>
          <w:p>
            <w:r/>
            <w:r>
              <w:rPr>
                <w:rFonts w:ascii="Calibri" w:hAnsi="Calibri"/>
                <w:b w:val="0"/>
                <w:color w:val="1F2937"/>
                <w:sz w:val="19"/>
              </w:rPr>
              <w:t>P2 — verplicht/verwacht, onvolledig</w:t>
            </w:r>
          </w:p>
        </w:tc>
        <w:tc>
          <w:tcPr>
            <w:tcW w:type="dxa" w:w="3173"/>
          </w:tcPr>
          <w:p>
            <w:r/>
            <w:r>
              <w:rPr>
                <w:rFonts w:ascii="Calibri" w:hAnsi="Calibri"/>
                <w:b w:val="0"/>
                <w:color w:val="1F2937"/>
                <w:sz w:val="19"/>
              </w:rPr>
              <w:t>7</w:t>
            </w:r>
          </w:p>
        </w:tc>
        <w:tc>
          <w:tcPr>
            <w:tcW w:type="dxa" w:w="3173"/>
          </w:tcPr>
          <w:p>
            <w:r/>
            <w:r>
              <w:rPr>
                <w:rFonts w:ascii="Calibri" w:hAnsi="Calibri"/>
                <w:b w:val="0"/>
                <w:color w:val="1F2937"/>
                <w:sz w:val="19"/>
              </w:rPr>
              <w:t>B6 OR/PVT; B8 REACH; B9 afval; B10 AI-bladen; B11 beheersregime; B12 hiërarchie; B14 documentbeheer</w:t>
            </w:r>
          </w:p>
        </w:tc>
      </w:tr>
      <w:tr>
        <w:tc>
          <w:tcPr>
            <w:tcW w:type="dxa" w:w="3173"/>
          </w:tcPr>
          <w:p>
            <w:r/>
            <w:r>
              <w:rPr>
                <w:rFonts w:ascii="Calibri" w:hAnsi="Calibri"/>
                <w:b w:val="0"/>
                <w:color w:val="1F2937"/>
                <w:sz w:val="19"/>
              </w:rPr>
              <w:t>Conform</w:t>
            </w:r>
          </w:p>
        </w:tc>
        <w:tc>
          <w:tcPr>
            <w:tcW w:type="dxa" w:w="3173"/>
          </w:tcPr>
          <w:p>
            <w:r/>
            <w:r>
              <w:rPr>
                <w:rFonts w:ascii="Calibri" w:hAnsi="Calibri"/>
                <w:b w:val="0"/>
                <w:color w:val="1F2937"/>
                <w:sz w:val="19"/>
              </w:rPr>
              <w:t>6</w:t>
            </w:r>
          </w:p>
        </w:tc>
        <w:tc>
          <w:tcPr>
            <w:tcW w:type="dxa" w:w="3173"/>
          </w:tcPr>
          <w:p>
            <w:r/>
            <w:r>
              <w:rPr>
                <w:rFonts w:ascii="Calibri" w:hAnsi="Calibri"/>
                <w:b w:val="0"/>
                <w:color w:val="1F2937"/>
                <w:sz w:val="19"/>
              </w:rPr>
              <w:t>B7 grenswaarde; B15 gevareninformatie; B16 marking; B17 hygiëne/PBM; B18 rollen (+B13-notitie)</w:t>
            </w:r>
          </w:p>
        </w:tc>
      </w:tr>
    </w:tbl>
    <w:p>
      <w:pPr>
        <w:spacing w:after="40"/>
      </w:pPr>
    </w:p>
    <w:p>
      <w:pPr>
        <w:pStyle w:val="Heading2"/>
      </w:pPr>
      <w:r>
        <w:t>8.3 Top-kritieke tekortkomingen</w:t>
      </w:r>
    </w:p>
    <w:p>
      <w:pPr>
        <w:pStyle w:val="ListNumber"/>
        <w:spacing w:after="60"/>
      </w:pPr>
      <w:r>
        <w:t>B1 — Geen meetstrategie conform NEN-EN 689/482; de 1 µg/m³ wordt nergens als toetskader gebruikt (art. 4.2 lid 4).</w:t>
      </w:r>
    </w:p>
    <w:p>
      <w:pPr>
        <w:pStyle w:val="ListNumber"/>
        <w:spacing w:after="60"/>
      </w:pPr>
      <w:r>
        <w:t>B2 — Geen arbeidsgezondheidskundig onderzoek voor aanvang en periodiek (art. 4.10a); geen bedrijfsartsrol in §3.</w:t>
      </w:r>
    </w:p>
    <w:p>
      <w:pPr>
        <w:pStyle w:val="ListNumber"/>
        <w:spacing w:after="60"/>
      </w:pPr>
      <w:r>
        <w:t>B3 — Geen 40-jaar bewaar- en overdrachtsregeling van blootstellingsgegevens (art. 4.10c).</w:t>
      </w:r>
    </w:p>
    <w:p>
      <w:pPr>
        <w:pStyle w:val="ListNumber"/>
        <w:spacing w:after="60"/>
      </w:pPr>
      <w:r>
        <w:t>B4 — Geen RI&amp;E-registratie met tox-elementen; geen gedocumenteerde vervangings-/techniekafweging (art. 4.13).</w:t>
      </w:r>
    </w:p>
    <w:p>
      <w:pPr>
        <w:pStyle w:val="ListNumber"/>
        <w:spacing w:after="60"/>
      </w:pPr>
      <w:r>
        <w:t>B5 — Geen lijst van blootgestelde werknemers met inzage-/afschriftrecht (art. 4.15).</w:t>
      </w:r>
    </w:p>
    <w:p>
      <w:pPr>
        <w:pStyle w:val="Heading2"/>
      </w:pPr>
      <w:r>
        <w:t>8.4 Aanbevelingen</w:t>
      </w:r>
    </w:p>
    <w:p>
      <w:pPr>
        <w:pStyle w:val="ListBullet"/>
        <w:spacing w:after="60"/>
      </w:pPr>
      <w:r>
        <w:t>Implementeer H1-H5 (P1) vóór projectuitvoering als spoedrevisie; H6-H12 (P2) in dezelfde of opvolgende revisie.</w:t>
      </w:r>
    </w:p>
    <w:p>
      <w:pPr>
        <w:pStyle w:val="ListBullet"/>
        <w:spacing w:after="60"/>
      </w:pPr>
      <w:r>
        <w:t>Neem de herstelteksten uit het Tekstueel Verbeteradvies v3.0 integraal over (kant-en-klaar herformuleerd).</w:t>
      </w:r>
    </w:p>
    <w:p>
      <w:pPr>
        <w:pStyle w:val="ListBullet"/>
        <w:spacing w:after="60"/>
      </w:pPr>
      <w:r>
        <w:t>Corrigeer horizontaal op MSD 003-serieniveau (kwik 003.057 en asbest 003.059 hebben dezelfde KMR-gaten).</w:t>
      </w:r>
    </w:p>
    <w:p>
      <w:pPr>
        <w:pStyle w:val="ListBullet"/>
        <w:spacing w:after="60"/>
      </w:pPr>
      <w:r>
        <w:t>Verifieer na implementatie opnieuw tegen Conformiteitsmatrix_ChroomVI_v1.0.xlsx en rond V-1 t/m V-3 af.</w:t>
      </w:r>
    </w:p>
    <w:p>
      <w:pPr>
        <w:pStyle w:val="Heading2"/>
      </w:pPr>
      <w:r>
        <w:t>8.5 Definitief oordeel</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Aspect</w:t>
            </w:r>
          </w:p>
        </w:tc>
        <w:tc>
          <w:tcPr>
            <w:tcW w:type="dxa" w:w="4759"/>
            <w:shd w:val="clear" w:color="auto" w:fill="003366"/>
          </w:tcPr>
          <w:p>
            <w:r/>
            <w:r>
              <w:rPr>
                <w:rFonts w:ascii="Calibri" w:hAnsi="Calibri"/>
                <w:b/>
                <w:color w:val="FFFFFF"/>
                <w:sz w:val="19"/>
              </w:rPr>
              <w:t>Oordeel</w:t>
            </w:r>
          </w:p>
        </w:tc>
      </w:tr>
      <w:tr>
        <w:tc>
          <w:tcPr>
            <w:tcW w:type="dxa" w:w="4759"/>
          </w:tcPr>
          <w:p>
            <w:r/>
            <w:r>
              <w:rPr>
                <w:rFonts w:ascii="Calibri" w:hAnsi="Calibri"/>
                <w:b w:val="0"/>
                <w:color w:val="1F2937"/>
                <w:sz w:val="19"/>
              </w:rPr>
              <w:t>Operationele kwaliteit</w:t>
            </w:r>
          </w:p>
        </w:tc>
        <w:tc>
          <w:tcPr>
            <w:tcW w:type="dxa" w:w="4759"/>
          </w:tcPr>
          <w:p>
            <w:r/>
            <w:r>
              <w:rPr>
                <w:rFonts w:ascii="Calibri" w:hAnsi="Calibri"/>
                <w:b w:val="0"/>
                <w:color w:val="1F2937"/>
                <w:sz w:val="19"/>
              </w:rPr>
              <w:t>GOED — uitvoerbaar, concreet, boven branchegemiddelde</w:t>
            </w:r>
          </w:p>
        </w:tc>
      </w:tr>
      <w:tr>
        <w:tc>
          <w:tcPr>
            <w:tcW w:type="dxa" w:w="4759"/>
          </w:tcPr>
          <w:p>
            <w:r/>
            <w:r>
              <w:rPr>
                <w:rFonts w:ascii="Calibri" w:hAnsi="Calibri"/>
                <w:b w:val="0"/>
                <w:color w:val="1F2937"/>
                <w:sz w:val="19"/>
              </w:rPr>
              <w:t>Wettelijke conformiteit KMR-regime</w:t>
            </w:r>
          </w:p>
        </w:tc>
        <w:tc>
          <w:tcPr>
            <w:tcW w:type="dxa" w:w="4759"/>
          </w:tcPr>
          <w:p>
            <w:r/>
            <w:r>
              <w:rPr>
                <w:rFonts w:ascii="Calibri" w:hAnsi="Calibri"/>
                <w:b w:val="0"/>
                <w:color w:val="1F2937"/>
                <w:sz w:val="19"/>
              </w:rPr>
              <w:t>ONVOLDOENDE — 5 P1-hiaten</w:t>
            </w:r>
          </w:p>
        </w:tc>
      </w:tr>
      <w:tr>
        <w:tc>
          <w:tcPr>
            <w:tcW w:type="dxa" w:w="4759"/>
          </w:tcPr>
          <w:p>
            <w:r/>
            <w:r>
              <w:rPr>
                <w:rFonts w:ascii="Calibri" w:hAnsi="Calibri"/>
                <w:b w:val="0"/>
                <w:color w:val="1F2937"/>
                <w:sz w:val="19"/>
              </w:rPr>
              <w:t>Documentbeheer</w:t>
            </w:r>
          </w:p>
        </w:tc>
        <w:tc>
          <w:tcPr>
            <w:tcW w:type="dxa" w:w="4759"/>
          </w:tcPr>
          <w:p>
            <w:r/>
            <w:r>
              <w:rPr>
                <w:rFonts w:ascii="Calibri" w:hAnsi="Calibri"/>
                <w:b w:val="0"/>
                <w:color w:val="1F2937"/>
                <w:sz w:val="19"/>
              </w:rPr>
              <w:t>ONVOLDOENDE — versie-inconsistentie, lege revision log</w:t>
            </w:r>
          </w:p>
        </w:tc>
      </w:tr>
      <w:tr>
        <w:tc>
          <w:tcPr>
            <w:tcW w:type="dxa" w:w="4759"/>
          </w:tcPr>
          <w:p>
            <w:r/>
            <w:r>
              <w:rPr>
                <w:rFonts w:ascii="Calibri" w:hAnsi="Calibri"/>
                <w:b w:val="0"/>
                <w:color w:val="1F2937"/>
                <w:sz w:val="19"/>
              </w:rPr>
              <w:t>Eindoordeel</w:t>
            </w:r>
          </w:p>
        </w:tc>
        <w:tc>
          <w:tcPr>
            <w:tcW w:type="dxa" w:w="4759"/>
          </w:tcPr>
          <w:p>
            <w:r/>
            <w:r>
              <w:rPr>
                <w:rFonts w:ascii="Calibri" w:hAnsi="Calibri"/>
                <w:b w:val="0"/>
                <w:color w:val="1F2937"/>
                <w:sz w:val="19"/>
              </w:rPr>
              <w:t>HERZIENING VEREIST (H1-H5) vóór projectuitvoering</w:t>
            </w:r>
          </w:p>
        </w:tc>
      </w:tr>
    </w:tbl>
    <w:p>
      <w:pPr>
        <w:spacing w:after="40"/>
      </w:pPr>
    </w:p>
    <w:p>
      <w:pPr>
        <w:pStyle w:val="Heading1"/>
      </w:pPr>
      <w:r>
        <w:t>9. TierVerify Log</w:t>
      </w:r>
    </w:p>
    <w:p>
      <w:pPr>
        <w:pStyle w:val="Heading2"/>
      </w:pPr>
      <w:r>
        <w:t>9.1 Bronverificatie</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Feit</w:t>
            </w:r>
          </w:p>
        </w:tc>
        <w:tc>
          <w:tcPr>
            <w:tcW w:type="dxa" w:w="3173"/>
            <w:shd w:val="clear" w:color="auto" w:fill="003366"/>
          </w:tcPr>
          <w:p>
            <w:r/>
            <w:r>
              <w:rPr>
                <w:rFonts w:ascii="Calibri" w:hAnsi="Calibri"/>
                <w:b/>
                <w:color w:val="FFFFFF"/>
                <w:sz w:val="19"/>
              </w:rPr>
              <w:t>Bron</w:t>
            </w:r>
          </w:p>
        </w:tc>
        <w:tc>
          <w:tcPr>
            <w:tcW w:type="dxa" w:w="3173"/>
            <w:shd w:val="clear" w:color="auto" w:fill="003366"/>
          </w:tcPr>
          <w:p>
            <w:r/>
            <w:r>
              <w:rPr>
                <w:rFonts w:ascii="Calibri" w:hAnsi="Calibri"/>
                <w:b/>
                <w:color w:val="FFFFFF"/>
                <w:sz w:val="19"/>
              </w:rPr>
              <w:t>Status</w:t>
            </w:r>
          </w:p>
        </w:tc>
      </w:tr>
      <w:tr>
        <w:tc>
          <w:tcPr>
            <w:tcW w:type="dxa" w:w="3173"/>
          </w:tcPr>
          <w:p>
            <w:r/>
            <w:r>
              <w:rPr>
                <w:rFonts w:ascii="Calibri" w:hAnsi="Calibri"/>
                <w:b w:val="0"/>
                <w:color w:val="1F2937"/>
                <w:sz w:val="19"/>
              </w:rPr>
              <w:t>Grenswaarde 1 µg/m³ per 1-3-2017</w:t>
            </w:r>
          </w:p>
        </w:tc>
        <w:tc>
          <w:tcPr>
            <w:tcW w:type="dxa" w:w="3173"/>
          </w:tcPr>
          <w:p>
            <w:r/>
            <w:r>
              <w:rPr>
                <w:rFonts w:ascii="Calibri" w:hAnsi="Calibri"/>
                <w:b w:val="0"/>
                <w:color w:val="1F2937"/>
                <w:sz w:val="19"/>
              </w:rPr>
              <w:t>SER-lijst; AI-77</w:t>
            </w:r>
          </w:p>
        </w:tc>
        <w:tc>
          <w:tcPr>
            <w:tcW w:type="dxa" w:w="3173"/>
          </w:tcPr>
          <w:p>
            <w:r/>
            <w:r>
              <w:rPr>
                <w:rFonts w:ascii="Calibri" w:hAnsi="Calibri"/>
                <w:b w:val="0"/>
                <w:color w:val="1F2937"/>
                <w:sz w:val="19"/>
              </w:rPr>
              <w:t>GEVERIFIEERD</w:t>
            </w:r>
          </w:p>
        </w:tc>
      </w:tr>
      <w:tr>
        <w:tc>
          <w:tcPr>
            <w:tcW w:type="dxa" w:w="3173"/>
          </w:tcPr>
          <w:p>
            <w:r/>
            <w:r>
              <w:rPr>
                <w:rFonts w:ascii="Calibri" w:hAnsi="Calibri"/>
                <w:b w:val="0"/>
                <w:color w:val="1F2937"/>
                <w:sz w:val="19"/>
              </w:rPr>
              <w:t>Streefrisico 0,01 µg/m³</w:t>
            </w:r>
          </w:p>
        </w:tc>
        <w:tc>
          <w:tcPr>
            <w:tcW w:type="dxa" w:w="3173"/>
          </w:tcPr>
          <w:p>
            <w:r/>
            <w:r>
              <w:rPr>
                <w:rFonts w:ascii="Calibri" w:hAnsi="Calibri"/>
                <w:b w:val="0"/>
                <w:color w:val="1F2937"/>
                <w:sz w:val="19"/>
              </w:rPr>
              <w:t>SER; AI-77</w:t>
            </w:r>
          </w:p>
        </w:tc>
        <w:tc>
          <w:tcPr>
            <w:tcW w:type="dxa" w:w="3173"/>
          </w:tcPr>
          <w:p>
            <w:r/>
            <w:r>
              <w:rPr>
                <w:rFonts w:ascii="Calibri" w:hAnsi="Calibri"/>
                <w:b w:val="0"/>
                <w:color w:val="1F2937"/>
                <w:sz w:val="19"/>
              </w:rPr>
              <w:t>GEVERIFIEERD</w:t>
            </w:r>
          </w:p>
        </w:tc>
      </w:tr>
      <w:tr>
        <w:tc>
          <w:tcPr>
            <w:tcW w:type="dxa" w:w="3173"/>
          </w:tcPr>
          <w:p>
            <w:r/>
            <w:r>
              <w:rPr>
                <w:rFonts w:ascii="Calibri" w:hAnsi="Calibri"/>
                <w:b w:val="0"/>
                <w:color w:val="1F2937"/>
                <w:sz w:val="19"/>
              </w:rPr>
              <w:t>Gezondheidsraad-beredenering</w:t>
            </w:r>
          </w:p>
        </w:tc>
        <w:tc>
          <w:tcPr>
            <w:tcW w:type="dxa" w:w="3173"/>
          </w:tcPr>
          <w:p>
            <w:r/>
            <w:r>
              <w:rPr>
                <w:rFonts w:ascii="Calibri" w:hAnsi="Calibri"/>
                <w:b w:val="0"/>
                <w:color w:val="1F2937"/>
                <w:sz w:val="19"/>
              </w:rPr>
              <w:t>AI-77 §7</w:t>
            </w:r>
          </w:p>
        </w:tc>
        <w:tc>
          <w:tcPr>
            <w:tcW w:type="dxa" w:w="3173"/>
          </w:tcPr>
          <w:p>
            <w:r/>
            <w:r>
              <w:rPr>
                <w:rFonts w:ascii="Calibri" w:hAnsi="Calibri"/>
                <w:b w:val="0"/>
                <w:color w:val="1F2937"/>
                <w:sz w:val="19"/>
              </w:rPr>
              <w:t>OVERGENOMEN</w:t>
            </w:r>
          </w:p>
        </w:tc>
      </w:tr>
      <w:tr>
        <w:tc>
          <w:tcPr>
            <w:tcW w:type="dxa" w:w="3173"/>
          </w:tcPr>
          <w:p>
            <w:r/>
            <w:r>
              <w:rPr>
                <w:rFonts w:ascii="Calibri" w:hAnsi="Calibri"/>
                <w:b w:val="0"/>
                <w:color w:val="1F2937"/>
                <w:sz w:val="19"/>
              </w:rPr>
              <w:t>REACH Bijlage XIV sunset dates 2017/2019</w:t>
            </w:r>
          </w:p>
        </w:tc>
        <w:tc>
          <w:tcPr>
            <w:tcW w:type="dxa" w:w="3173"/>
          </w:tcPr>
          <w:p>
            <w:r/>
            <w:r>
              <w:rPr>
                <w:rFonts w:ascii="Calibri" w:hAnsi="Calibri"/>
                <w:b w:val="0"/>
                <w:color w:val="1F2937"/>
                <w:sz w:val="19"/>
              </w:rPr>
              <w:t>REACH</w:t>
            </w:r>
          </w:p>
        </w:tc>
        <w:tc>
          <w:tcPr>
            <w:tcW w:type="dxa" w:w="3173"/>
          </w:tcPr>
          <w:p>
            <w:r/>
            <w:r>
              <w:rPr>
                <w:rFonts w:ascii="Calibri" w:hAnsi="Calibri"/>
                <w:b w:val="0"/>
                <w:color w:val="1F2937"/>
                <w:sz w:val="19"/>
              </w:rPr>
              <w:t>GEVERIFIEERD</w:t>
            </w:r>
          </w:p>
        </w:tc>
      </w:tr>
      <w:tr>
        <w:tc>
          <w:tcPr>
            <w:tcW w:type="dxa" w:w="3173"/>
          </w:tcPr>
          <w:p>
            <w:r/>
            <w:r>
              <w:rPr>
                <w:rFonts w:ascii="Calibri" w:hAnsi="Calibri"/>
                <w:b w:val="0"/>
                <w:color w:val="1F2937"/>
                <w:sz w:val="19"/>
              </w:rPr>
              <w:t>Versie-inconsistentie brondocument</w:t>
            </w:r>
          </w:p>
        </w:tc>
        <w:tc>
          <w:tcPr>
            <w:tcW w:type="dxa" w:w="3173"/>
          </w:tcPr>
          <w:p>
            <w:r/>
            <w:r>
              <w:rPr>
                <w:rFonts w:ascii="Calibri" w:hAnsi="Calibri"/>
                <w:b w:val="0"/>
                <w:color w:val="1F2937"/>
                <w:sz w:val="19"/>
              </w:rPr>
              <w:t>Cover/log/voettekst</w:t>
            </w:r>
          </w:p>
        </w:tc>
        <w:tc>
          <w:tcPr>
            <w:tcW w:type="dxa" w:w="3173"/>
          </w:tcPr>
          <w:p>
            <w:r/>
            <w:r>
              <w:rPr>
                <w:rFonts w:ascii="Calibri" w:hAnsi="Calibri"/>
                <w:b w:val="0"/>
                <w:color w:val="1F2937"/>
                <w:sz w:val="19"/>
              </w:rPr>
              <w:t>GECONSTATEERD</w:t>
            </w:r>
          </w:p>
        </w:tc>
      </w:tr>
    </w:tbl>
    <w:p>
      <w:pPr>
        <w:spacing w:after="40"/>
      </w:pPr>
    </w:p>
    <w:p>
      <w:pPr>
        <w:pStyle w:val="Heading2"/>
      </w:pPr>
      <w:r>
        <w:t>9.2 Consistency checks</w:t>
      </w:r>
    </w:p>
    <w:p>
      <w:pPr>
        <w:pStyle w:val="ListBullet"/>
        <w:spacing w:after="60"/>
      </w:pPr>
      <w:r>
        <w:t>Grenswaarde intern consistent verwoord in §6 (NL 1 µg/m³ vs. Belgische 0,005 mg/m³ expliciet als onderscheidene regimes gepresenteerd).</w:t>
      </w:r>
    </w:p>
    <w:p>
      <w:pPr>
        <w:pStyle w:val="ListBullet"/>
        <w:spacing w:after="60"/>
      </w:pPr>
      <w:r>
        <w:t>P3/PBM-regime consistent met §4.5-subparagrafen.</w:t>
      </w:r>
    </w:p>
    <w:p>
      <w:pPr>
        <w:pStyle w:val="ListBullet"/>
        <w:spacing w:after="60"/>
      </w:pPr>
      <w:r>
        <w:t>Koppeling B/H/matrix 1-op-1 gecontroleerd (18 items, 12 voorstellen).</w:t>
      </w:r>
    </w:p>
    <w:p>
      <w:pPr>
        <w:pStyle w:val="Heading2"/>
      </w:pPr>
      <w:r>
        <w:t>9.3 Source hierarchy</w:t>
      </w:r>
    </w:p>
    <w:p>
      <w:pPr>
        <w:spacing w:after="120"/>
      </w:pPr>
      <w:r>
        <w:rPr>
          <w:rFonts w:ascii="Calibri" w:hAnsi="Calibri"/>
          <w:b w:val="0"/>
          <w:i w:val="0"/>
          <w:sz w:val="22"/>
        </w:rPr>
        <w:t>Bij tegenstrijdigheid: (1) wettekst/regeling; (2) EU-verordening/richtlijn; (3) normen/AI-bladen; (4) branchestandaarden (Beheersregime); (5) brondocument. Alle P1-bevindingen berusten op niveau 1.</w:t>
      </w:r>
    </w:p>
    <w:p>
      <w:pPr>
        <w:pStyle w:val="Heading1"/>
      </w:pPr>
      <w:r>
        <w:t>10. Bronverwijzingen</w:t>
      </w:r>
    </w:p>
    <w:p>
      <w:pPr>
        <w:spacing w:after="120"/>
      </w:pPr>
      <w:r>
        <w:rPr>
          <w:rFonts w:ascii="Calibri" w:hAnsi="Calibri"/>
          <w:b w:val="0"/>
          <w:i w:val="0"/>
          <w:sz w:val="22"/>
        </w:rPr>
        <w:t>De volledige bronnenlijst (10 bronnen) is opgenomen in Bijlage A en identiek aan het auditregister van de Compliance Audit v3.0: brondocument (integrale tekst), Arbobesluit H4 Afd. 3-artikelen, AI-blad 77, REACH Bijlage XIV, Bal/Wet milieubeheer, Beheersregime Chroom-6, SER-lijst, NEN-EN 689/482, Richtlijn (EU) 2017/2398 en AI-bladen 67/31/18.</w:t>
      </w:r>
    </w:p>
    <w:p>
      <w:pPr>
        <w:pStyle w:val="ListBullet"/>
        <w:spacing w:after="60"/>
      </w:pPr>
      <w:r>
        <w:t>Brondocument: 003.056 Chromium VI Exposure Control Procedure, Rev A/Rev 1, KOO B.V. — integrale tekst (12 p.), PDF in research/.</w:t>
      </w:r>
    </w:p>
    <w:p>
      <w:pPr>
        <w:pStyle w:val="ListBullet"/>
        <w:spacing w:after="60"/>
      </w:pPr>
      <w:r>
        <w:t>Arbo-Informatieblad 77 — Chroom-6 (SZW/SDU).</w:t>
      </w:r>
    </w:p>
    <w:p>
      <w:pPr>
        <w:pStyle w:val="ListBullet"/>
        <w:spacing w:after="60"/>
      </w:pPr>
      <w:r>
        <w:t>Arbobesluit Hoofdstuk 4, Afdeling 3 — kankerverwekkende en mutagene stoffen.</w:t>
      </w:r>
    </w:p>
    <w:p>
      <w:pPr>
        <w:spacing w:after="80"/>
      </w:pPr>
      <w:r>
        <w:rPr>
          <w:rFonts w:ascii="Calibri" w:hAnsi="Calibri"/>
          <w:b w:val="0"/>
          <w:i/>
          <w:sz w:val="19"/>
        </w:rPr>
        <w:t>Golden Standard Audit ChroomVI 003.056 v2.0 — JvG Consultancy — 24-08-2026 — Vertrouwelijk. Dit rapport is auditwerk op documentbasis; het vervangt geen juridisch advies noch veldinspectie.</w:t>
      </w:r>
    </w:p>
    <w:sectPr w:rsidR="00FC693F" w:rsidRPr="0006063C" w:rsidSect="00034616">
      <w:headerReference w:type="default" r:id="rId9"/>
      <w:footerReference w:type="default" r:id="rId10"/>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3366"/>
        <w:sz w:val="16"/>
      </w:rPr>
      <w:t>JvG Consultancy — Golden Standard Audit ChroomVI 003.056 v2.0 — 24-08-2026 — Vertrouwelijk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5231"/>
          <wp:docPr id="1" name="Picture 1"/>
          <wp:cNvGraphicFramePr>
            <a:graphicFrameLocks noChangeAspect="1"/>
          </wp:cNvGraphicFramePr>
          <a:graphic>
            <a:graphicData uri="http://schemas.openxmlformats.org/drawingml/2006/picture">
              <pic:pic>
                <pic:nvPicPr>
                  <pic:cNvPr id="0" name="jvg-logo-small-upgrade.png"/>
                  <pic:cNvPicPr/>
                </pic:nvPicPr>
                <pic:blipFill>
                  <a:blip r:embed="rId1"/>
                  <a:stretch>
                    <a:fillRect/>
                  </a:stretch>
                </pic:blipFill>
                <pic:spPr>
                  <a:xfrm>
                    <a:off x="0" y="0"/>
                    <a:ext cx="720000" cy="645231"/>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