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28"/>
        </w:rPr>
        <w:t>JvG CONSULTANCY — HSEQ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48"/>
        </w:rPr>
        <w:t>COMPLIANCE AUDIT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32"/>
        </w:rPr>
        <w:t>ChroomVI — Koole 003.056</w:t>
      </w:r>
    </w:p>
    <w:p>
      <w:pPr>
        <w:spacing w:after="320"/>
        <w:jc w:val="center"/>
      </w:pPr>
      <w:r>
        <w:rPr>
          <w:rFonts w:ascii="Calibri" w:hAnsi="Calibri"/>
          <w:b w:val="0"/>
          <w:i w:val="0"/>
          <w:sz w:val="24"/>
        </w:rPr>
        <w:t>Document-based compliance audit — diepgaand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Brondocument: 003.056 "Chromium VI Exposure Control Procedure" Rev A/Rev 1 (2026)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Iteratie v1.0 → v2.0 (volledig rapport incl. nood-QC)</w:t>
      </w:r>
    </w:p>
    <w:p>
      <w:pPr>
        <w:spacing w:after="400"/>
        <w:jc w:val="center"/>
      </w:pPr>
      <w:r>
        <w:rPr>
          <w:rFonts w:ascii="Calibri" w:hAnsi="Calibri"/>
          <w:b w:val="0"/>
          <w:i/>
          <w:sz w:val="20"/>
        </w:rPr>
        <w:t>Status: Definitief — Vertrouwelijk</w:t>
      </w:r>
    </w:p>
    <w:p>
      <w:pPr>
        <w:pStyle w:val="Heading1"/>
      </w:pPr>
      <w:r>
        <w:t>1. Managementsamenvatting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Het brondocument 003.056 Chromium VI Exposure Control Procedure (Rev A/Rev 1, 2026) is een degelijke, praktisch uitvoerbare operationele procedure op het gebied van gevareninformatie, marking, hiërarchie van beheersmaatregelen, hygiëne/decontaminatie en PBM-regime. De procedure noemt de Nederlandse grenswaarde (1 µg/m³) en het streefrisiconiveau (0,01 µg/m³) correct (§6). Echter, de formele arbo-juridische verslagleggings- en zorgstructuur ontbreekt vrijwel volledig: geen meetstrategie conform NEN-EN 689, geen arbeidsgezondheidskundig onderzoek (AGO), geen 40-jaar bewaartermijn, geen lijst van blootgestelde werknemers en geen expliciete RI&amp;E-registratie met vervangingsonderbouwing. Dit zijn verplichtingen uit het Arbobesluit (Hoofdstuk 4, Afdeling 3) die niet via TRA/JSA-verwijzingen kunnen worden afgedekt.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Classificatie</w:t>
            </w:r>
          </w:p>
        </w:tc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Aantal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 — Wettelijk verplicht, ontbreekt (Kritiek)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 — Verplicht/verwacht, onvolledig (Verbetering)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7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6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Totaal beoordeelde items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18 (B1-B18; B13 separaat i.v.m. referentielijst)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Kernoordeel: herziening H1-H5 vereist vóór projectuitvoering; H6-H12 in dezelfde of opvolgende revisie. Voor kankerverwekkende stoffen geldt in Nederland verscherpte aandacht, mede gezien de chroom-6-dossiers bij Defensie, ProRail en de gemeente Tilburg.</w:t>
      </w:r>
    </w:p>
    <w:p>
      <w:pPr>
        <w:pStyle w:val="Heading1"/>
      </w:pPr>
      <w:r>
        <w:t>2. Toetsingskader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Arbobesluit H4 Afdeling 3 (kankerverwekkende/mutagene stoffen): art. 4.2 lid 1+4, 4.2a, 4.10a, 4.10c, 4.13, 4.15, 4.21-structuur; SER-grenswaarden (Cr(VI) 1 µg/m³); REACH Bijlage XIV; Richtlijn (EU) 2017/2398; Bal/Wet milieubeheer-LAP; Beheersregime Chroom-6; AI-bladen 67/31/18/77; NEN-EN 689/482.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Kernfeit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Waarde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Bron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Grenswaarde Cr(VI)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 µg/m³ (8-uurs TGG), per 1-3-2017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SER/AI-77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Streefrisiconiveau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0,01 µg/m³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SER/AI-77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Gezondheidsraad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≈4 extra longkankergevallen/1.000 bij 40 jr × 1 µg/m³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AI-77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REACH Bijlage XIV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Chroomtrioxide/zuurchromaten — sunset 2017/2019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REACH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Versie-inconsistentie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Rev A vs Rev 1; lege revision log; ‘May 2026’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Brondocument</w:t>
            </w:r>
          </w:p>
        </w:tc>
      </w:tr>
    </w:tbl>
    <w:p>
      <w:pPr>
        <w:spacing w:after="40"/>
      </w:pPr>
    </w:p>
    <w:p>
      <w:pPr>
        <w:pStyle w:val="Heading1"/>
      </w:pPr>
      <w:r>
        <w:t>3. Bevindingen per eis (overzicht)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#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Eis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Klasse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Meetstrategie NEN-EN 689/482 + toetsing 1 µg/m³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B2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AGO vóór aanvang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B3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40-jaar bewaring blootstellingsgegevens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B4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RI&amp;E incl. tox-elementen + vervangingsonderbouwing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B5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Lijst blootgestelde werknemers + inzagerecht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B6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Abnormale blootstelling: melding + OR/PVT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B7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Wettelijke grenswaarde 1 µg/m³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B8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REACH Bijlage XIV (autorisatie Cr(VI))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B9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Afvalstroom Cr(VI): klassering + afvoer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B10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AI-bladen 67, 31, 18, 77 als praktijkkader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B11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Beheersregime Chroom-6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B12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5M-methode / hiërarchie incl. substitutie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B13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NEN-EN 689/482-normverwijzing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P1*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B14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Documentbeheer / versieconsistentie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B15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Gevareninformatie &amp; gezondheidseffecten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B16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Identificatie, marking, surveys, PTW/TRA-koppeling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B17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Hygiëne, decontaminatie, PBM-regime (P3, volgelaatsmasker)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B18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Rollen &amp; verantwoordelijkheden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De volledige overzichtsmatrix B1-B18 (eis, bron, bevinding, klasse) is opgenomen in Conformiteitsmatrix_ChroomVI_v1.0.xlsx en in het detailrapport per wetsartikel in de Golden Standard Audit v2.0. Kernpunten: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P1-hiaten (B1-B5): </w:t>
      </w:r>
      <w:r>
        <w:rPr>
          <w:rFonts w:ascii="Calibri" w:hAnsi="Calibri"/>
          <w:sz w:val="22"/>
        </w:rPr>
        <w:t>meetstrategie (NEN-EN 689/482 + toetsing 1 µg/m³); AGO vóór aanvang; 40-jaar bewaring; RI&amp;E incl. tox-elementen + vervangingsonderbouwing; lijst blootgestelde werknemers + inzagerecht.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P2-hiaten (B6, B8-B12, B14): </w:t>
      </w:r>
      <w:r>
        <w:rPr>
          <w:rFonts w:ascii="Calibri" w:hAnsi="Calibri"/>
          <w:sz w:val="22"/>
        </w:rPr>
        <w:t>OR/PVT-informering bij abnormale blootstelling; REACH Bijlage XIV; afvalstroomklassering; AI-bladen in referentielijst; Beheersregime operationeel; substitutie/bronmaatregelen gedocumenteerd; versieconsistentie.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Conform (B7, B15-B18): </w:t>
      </w:r>
      <w:r>
        <w:rPr>
          <w:rFonts w:ascii="Calibri" w:hAnsi="Calibri"/>
          <w:sz w:val="22"/>
        </w:rPr>
        <w:t>grenswaarden correct; gevareninformatie volledig; identificatie/marking/PTW goed uitgewerkt; hygiëne/PBM-regime concreet; rollen compleet met stop-work.</w:t>
      </w:r>
    </w:p>
    <w:p>
      <w:pPr>
        <w:pStyle w:val="Heading1"/>
      </w:pPr>
      <w:r>
        <w:t>4. Beperkingen en verificatiepunten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Document-based audit op de integrale tekst (12 p.); geen veldverificatie. Verificatie vereist voor: (V-1) marking/survey-praktijk op platform; (V-2) feitelijke afvalafvoer en verwerkerserkenning; (V-3) toekomstige implementatie H1-H5 (meetrapporten, AGO-aanbiedingen, registratielijst).</w:t>
      </w:r>
    </w:p>
    <w:p>
      <w:pPr>
        <w:pStyle w:val="Heading1"/>
      </w:pPr>
      <w:r>
        <w:t>5. Conclusie en aanbeveling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Prioriteit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Items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Actie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 — spoed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B1-B5 (H1-H5)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Herzien vóór projectuitvoering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B6, B8-B12, B14 (H6-H12)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Opnemen in dezelfde/opvolgende revisie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B7, B15-B18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Handhaven als best practice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Gedetailleerde herstelteksten: zie ChroomVI Tekstueel Verbeteradvies v3.0 (T-01 t/m T-24) en het Herzieningsvoorstel v1.0.</w:t>
      </w:r>
    </w:p>
    <w:p>
      <w:pPr>
        <w:spacing w:after="80"/>
      </w:pPr>
      <w:r>
        <w:rPr>
          <w:rFonts w:ascii="Calibri" w:hAnsi="Calibri"/>
          <w:b w:val="0"/>
          <w:i/>
          <w:sz w:val="19"/>
        </w:rPr>
        <w:t>Bronnen: brondocument 003.056 (integrale tekst); Arbobesluit H4 Afd. 3; AI-blad 77; SER-lijst; REACH Bijlage XIV; Bal/Wet milieubeheer; Beheersregime Chroom-6; NEN-EN 689/482.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6"/>
      </w:rPr>
      <w:t>JvG Consultancy — Compliance Audit ChroomVI 003.056 v2.0 — 24-08-2026 —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523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-upgra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52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